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  <w:t>“涉企行政检查公示专栏”公示信息</w:t>
      </w:r>
    </w:p>
    <w:bookmarkEnd w:id="0"/>
    <w:p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涉企行政检查事项：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养老机构服务质量及安全专项生产检查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涉企行政检查主体：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库尔勒市民政局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检查事项：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养老机构资质备案管理、运营收费与合同管理、安全生产管理、服务质量管理。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检查依据：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《养老机构管理办法》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检查频次上限：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对同一企业涉企行政检查原则上不超过4次/年。存在投诉举报、转办交办等线索的不计算在全年次数范围内。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检查标准：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《养老机构基本规范》、《养老机构服务安全基本规范》及相关制度规定，涉及养老机构强制规范。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检查计划：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1月-3月、4月-6月、7月-9月、10月-12月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871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366A3A"/>
    <w:rsid w:val="48366A3A"/>
    <w:rsid w:val="5537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2026-10-13T07:51:00Z</dcterms:created>
  <dc:creator>Administrator</dc:creator>
  <cp:lastModifiedBy>Administrator</cp:lastModifiedBy>
  <dcterms:modified xsi:type="dcterms:W3CDTF">2026-10-13T07:58:04Z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