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1320" w:firstLineChars="300"/>
        <w:jc w:val="both"/>
        <w:textAlignment w:val="auto"/>
        <w:outlineLvl w:val="0"/>
        <w:rPr>
          <w:rFonts w:hint="default" w:ascii="Times New Roman" w:hAnsi="Times New Roman" w:eastAsia="方正小标宋_GBK" w:cs="Times New Roman"/>
          <w:bCs/>
          <w:color w:val="auto"/>
          <w:kern w:val="0"/>
          <w:sz w:val="44"/>
          <w:szCs w:val="44"/>
          <w:highlight w:val="none"/>
          <w:shd w:val="clear" w:color="auto" w:fill="FFFFFF"/>
        </w:rPr>
      </w:pPr>
      <w:r>
        <w:rPr>
          <w:rFonts w:hint="default" w:ascii="Times New Roman" w:hAnsi="Times New Roman" w:eastAsia="方正小标宋_GBK" w:cs="Times New Roman"/>
          <w:bCs/>
          <w:color w:val="auto"/>
          <w:kern w:val="0"/>
          <w:sz w:val="44"/>
          <w:szCs w:val="44"/>
          <w:highlight w:val="none"/>
          <w:shd w:val="clear" w:color="auto" w:fill="FFFFFF"/>
        </w:rPr>
        <w:t>库尔勒市第五次全国经济普查公报</w:t>
      </w:r>
    </w:p>
    <w:p>
      <w:pPr>
        <w:adjustRightInd w:val="0"/>
        <w:snapToGrid w:val="0"/>
        <w:spacing w:line="600" w:lineRule="exact"/>
        <w:ind w:firstLine="0" w:firstLineChars="0"/>
        <w:jc w:val="center"/>
        <w:textAlignment w:val="auto"/>
        <w:outlineLvl w:val="0"/>
        <w:rPr>
          <w:rFonts w:hint="default" w:ascii="Times New Roman" w:hAnsi="Times New Roman" w:eastAsia="方正小标宋_GBK" w:cs="Times New Roman"/>
          <w:bCs/>
          <w:color w:val="auto"/>
          <w:kern w:val="0"/>
          <w:sz w:val="44"/>
          <w:szCs w:val="44"/>
          <w:highlight w:val="none"/>
          <w:shd w:val="clear" w:color="auto" w:fill="FFFFFF"/>
        </w:rPr>
      </w:pPr>
      <w:r>
        <w:rPr>
          <w:rFonts w:hint="default" w:ascii="Times New Roman" w:hAnsi="Times New Roman" w:eastAsia="方正小标宋_GBK" w:cs="Times New Roman"/>
          <w:bCs/>
          <w:color w:val="auto"/>
          <w:kern w:val="0"/>
          <w:sz w:val="44"/>
          <w:szCs w:val="44"/>
          <w:highlight w:val="none"/>
          <w:shd w:val="clear" w:color="auto" w:fill="FFFFFF"/>
        </w:rPr>
        <w:t>（第五号）</w:t>
      </w:r>
    </w:p>
    <w:p>
      <w:pPr>
        <w:adjustRightInd w:val="0"/>
        <w:snapToGrid w:val="0"/>
        <w:spacing w:line="600" w:lineRule="exact"/>
        <w:ind w:firstLine="0" w:firstLineChars="0"/>
        <w:jc w:val="center"/>
        <w:textAlignment w:val="auto"/>
        <w:rPr>
          <w:rFonts w:hint="default" w:ascii="Times New Roman" w:hAnsi="Times New Roman" w:eastAsia="方正小标宋_GBK" w:cs="Times New Roman"/>
          <w:bCs/>
          <w:color w:val="auto"/>
          <w:kern w:val="0"/>
          <w:sz w:val="44"/>
          <w:szCs w:val="44"/>
          <w:highlight w:val="none"/>
          <w:shd w:val="clear" w:color="auto" w:fill="FFFFFF"/>
        </w:rPr>
      </w:pPr>
      <w:r>
        <w:rPr>
          <w:rFonts w:hint="default" w:ascii="Times New Roman" w:hAnsi="Times New Roman" w:eastAsia="方正小标宋_GBK" w:cs="Times New Roman"/>
          <w:bCs/>
          <w:color w:val="auto"/>
          <w:kern w:val="0"/>
          <w:sz w:val="44"/>
          <w:szCs w:val="44"/>
          <w:highlight w:val="none"/>
          <w:shd w:val="clear" w:color="auto" w:fill="FFFFFF"/>
        </w:rPr>
        <w:t>——第三产业基本情况之二</w:t>
      </w:r>
    </w:p>
    <w:p>
      <w:pPr>
        <w:adjustRightInd w:val="0"/>
        <w:snapToGrid w:val="0"/>
        <w:spacing w:line="600" w:lineRule="exact"/>
        <w:ind w:firstLine="0" w:firstLineChars="0"/>
        <w:jc w:val="center"/>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库尔勒市统计局</w:t>
      </w:r>
    </w:p>
    <w:p>
      <w:pPr>
        <w:adjustRightInd w:val="0"/>
        <w:snapToGrid w:val="0"/>
        <w:spacing w:line="500" w:lineRule="exact"/>
        <w:ind w:firstLine="0" w:firstLineChars="0"/>
        <w:jc w:val="center"/>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库尔勒市第五次全国经济普查领导小组办公室</w:t>
      </w:r>
      <w:bookmarkStart w:id="0" w:name="_GoBack"/>
      <w:bookmarkEnd w:id="0"/>
    </w:p>
    <w:p>
      <w:pPr>
        <w:pStyle w:val="4"/>
        <w:spacing w:line="500" w:lineRule="exact"/>
        <w:ind w:firstLine="0" w:firstLineChars="0"/>
        <w:jc w:val="center"/>
        <w:textAlignment w:val="baseline"/>
        <w:rPr>
          <w:rFonts w:hint="default" w:ascii="Times New Roman" w:hAnsi="Times New Roman" w:cs="Times New Roman"/>
          <w:color w:val="auto"/>
          <w:sz w:val="32"/>
          <w:szCs w:val="32"/>
          <w:highlight w:val="none"/>
        </w:rPr>
      </w:pPr>
      <w:r>
        <w:rPr>
          <w:rFonts w:hint="default" w:ascii="Times New Roman" w:hAnsi="Times New Roman" w:eastAsia="方正楷体_GBK" w:cs="Times New Roman"/>
          <w:color w:val="auto"/>
          <w:sz w:val="32"/>
          <w:szCs w:val="32"/>
          <w:highlight w:val="none"/>
        </w:rPr>
        <w:t>（2025年</w:t>
      </w:r>
      <w:r>
        <w:rPr>
          <w:rFonts w:hint="eastAsia" w:eastAsia="方正楷体_GBK" w:cs="Times New Roman"/>
          <w:color w:val="auto"/>
          <w:sz w:val="32"/>
          <w:szCs w:val="32"/>
          <w:highlight w:val="none"/>
          <w:lang w:val="en-US" w:eastAsia="zh-CN"/>
        </w:rPr>
        <w:t>8</w:t>
      </w:r>
      <w:r>
        <w:rPr>
          <w:rFonts w:hint="default" w:ascii="Times New Roman" w:hAnsi="Times New Roman" w:eastAsia="方正楷体_GBK" w:cs="Times New Roman"/>
          <w:color w:val="auto"/>
          <w:sz w:val="32"/>
          <w:szCs w:val="32"/>
          <w:highlight w:val="none"/>
        </w:rPr>
        <w:t>月</w:t>
      </w:r>
      <w:r>
        <w:rPr>
          <w:rFonts w:hint="eastAsia" w:eastAsia="方正楷体_GBK" w:cs="Times New Roman"/>
          <w:color w:val="auto"/>
          <w:sz w:val="32"/>
          <w:szCs w:val="32"/>
          <w:highlight w:val="none"/>
          <w:lang w:val="en-US" w:eastAsia="zh-CN"/>
        </w:rPr>
        <w:t>25</w:t>
      </w:r>
      <w:r>
        <w:rPr>
          <w:rFonts w:hint="default" w:ascii="Times New Roman" w:hAnsi="Times New Roman" w:eastAsia="方正楷体_GBK" w:cs="Times New Roman"/>
          <w:color w:val="auto"/>
          <w:sz w:val="32"/>
          <w:szCs w:val="32"/>
          <w:highlight w:val="none"/>
        </w:rPr>
        <w:t>日）</w:t>
      </w:r>
    </w:p>
    <w:p>
      <w:pPr>
        <w:widowControl/>
        <w:spacing w:line="500" w:lineRule="exact"/>
        <w:ind w:firstLine="0" w:firstLineChars="0"/>
        <w:textAlignment w:val="auto"/>
        <w:rPr>
          <w:rFonts w:hint="default" w:ascii="Times New Roman" w:hAnsi="Times New Roman" w:cs="Times New Roman"/>
          <w:color w:val="auto"/>
          <w:sz w:val="36"/>
          <w:szCs w:val="36"/>
          <w:highlight w:val="none"/>
        </w:rPr>
      </w:pPr>
    </w:p>
    <w:p>
      <w:pPr>
        <w:pStyle w:val="4"/>
        <w:spacing w:line="600" w:lineRule="exact"/>
        <w:ind w:firstLine="616"/>
        <w:rPr>
          <w:rFonts w:hint="default" w:ascii="Times New Roman" w:hAnsi="Times New Roman" w:cs="Times New Roman"/>
          <w:color w:val="auto"/>
          <w:sz w:val="32"/>
          <w:szCs w:val="32"/>
          <w:highlight w:val="none"/>
        </w:rPr>
      </w:pPr>
      <w:r>
        <w:rPr>
          <w:rFonts w:hint="default" w:ascii="Times New Roman" w:hAnsi="Times New Roman" w:cs="Times New Roman"/>
          <w:color w:val="auto"/>
          <w:spacing w:val="-6"/>
          <w:sz w:val="32"/>
          <w:szCs w:val="32"/>
          <w:highlight w:val="none"/>
        </w:rPr>
        <w:t>根据第五次全国经济普查结果，现将我市第三产业中科学研究和技术服务业，水利、环境和公共设施管理业，居民服务、修理和其他服务业，教育，卫生和社会工作，文化、体育和娱乐业，公共管理、社会保障和社会组织的主要数据公布如下：</w:t>
      </w:r>
    </w:p>
    <w:p>
      <w:pPr>
        <w:widowControl/>
        <w:spacing w:line="600" w:lineRule="exact"/>
        <w:ind w:firstLine="645" w:firstLineChars="0"/>
        <w:jc w:val="left"/>
        <w:textAlignment w:val="auto"/>
        <w:outlineLvl w:val="1"/>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 xml:space="preserve">一、科学研究和技术服务业   </w:t>
      </w:r>
    </w:p>
    <w:p>
      <w:pPr>
        <w:widowControl/>
        <w:spacing w:line="600" w:lineRule="exact"/>
        <w:ind w:firstLine="645" w:firstLineChars="0"/>
        <w:jc w:val="left"/>
        <w:textAlignment w:val="auto"/>
        <w:outlineLvl w:val="2"/>
        <w:rPr>
          <w:rFonts w:hint="default" w:ascii="Times New Roman" w:hAnsi="Times New Roman" w:eastAsia="方正楷体_GB2312" w:cs="Times New Roman"/>
          <w:color w:val="auto"/>
          <w:kern w:val="0"/>
          <w:sz w:val="32"/>
          <w:szCs w:val="32"/>
          <w:highlight w:val="none"/>
        </w:rPr>
      </w:pPr>
      <w:r>
        <w:rPr>
          <w:rFonts w:hint="default" w:ascii="Times New Roman" w:hAnsi="Times New Roman" w:eastAsia="方正楷体_GB2312" w:cs="Times New Roman"/>
          <w:color w:val="auto"/>
          <w:kern w:val="0"/>
          <w:sz w:val="32"/>
          <w:szCs w:val="32"/>
          <w:highlight w:val="none"/>
        </w:rPr>
        <w:t>（一）法人单位数和从业人员</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宋体" w:cs="Times New Roman"/>
          <w:color w:val="auto"/>
          <w:sz w:val="32"/>
          <w:szCs w:val="32"/>
          <w:highlight w:val="none"/>
        </w:rPr>
      </w:pPr>
      <w:r>
        <w:rPr>
          <w:rFonts w:hint="default" w:ascii="Times New Roman" w:hAnsi="Times New Roman" w:cs="Times New Roman"/>
          <w:color w:val="auto"/>
          <w:spacing w:val="-6"/>
          <w:sz w:val="32"/>
          <w:szCs w:val="32"/>
          <w:highlight w:val="none"/>
        </w:rPr>
        <w:t>2023年末，全市共有科学研究和技术服务业法人单位</w:t>
      </w:r>
      <w:r>
        <w:rPr>
          <w:rFonts w:hint="default" w:ascii="Times New Roman" w:hAnsi="Times New Roman" w:cs="Times New Roman"/>
          <w:color w:val="auto"/>
          <w:sz w:val="32"/>
          <w:szCs w:val="32"/>
          <w:highlight w:val="none"/>
        </w:rPr>
        <w:t>1355</w:t>
      </w:r>
      <w:r>
        <w:rPr>
          <w:rFonts w:hint="default" w:ascii="Times New Roman" w:hAnsi="Times New Roman" w:cs="Times New Roman"/>
          <w:color w:val="auto"/>
          <w:spacing w:val="-6"/>
          <w:sz w:val="32"/>
          <w:szCs w:val="32"/>
          <w:highlight w:val="none"/>
        </w:rPr>
        <w:t>个，从业人员</w:t>
      </w:r>
      <w:r>
        <w:rPr>
          <w:rFonts w:hint="default" w:ascii="Times New Roman" w:hAnsi="Times New Roman" w:cs="Times New Roman"/>
          <w:color w:val="auto"/>
          <w:sz w:val="32"/>
          <w:szCs w:val="32"/>
          <w:highlight w:val="none"/>
          <w:lang w:val="en-US" w:eastAsia="zh-CN"/>
        </w:rPr>
        <w:t>11711</w:t>
      </w:r>
      <w:r>
        <w:rPr>
          <w:rFonts w:hint="default" w:ascii="Times New Roman" w:hAnsi="Times New Roman" w:cs="Times New Roman"/>
          <w:color w:val="auto"/>
          <w:spacing w:val="-6"/>
          <w:sz w:val="32"/>
          <w:szCs w:val="32"/>
          <w:highlight w:val="none"/>
        </w:rPr>
        <w:t>人，分别比2018年末增长</w:t>
      </w:r>
      <w:r>
        <w:rPr>
          <w:rFonts w:hint="default" w:ascii="Times New Roman" w:hAnsi="Times New Roman" w:cs="Times New Roman"/>
          <w:color w:val="auto"/>
          <w:sz w:val="32"/>
          <w:szCs w:val="32"/>
          <w:highlight w:val="none"/>
        </w:rPr>
        <w:t>225.7</w:t>
      </w:r>
      <w:r>
        <w:rPr>
          <w:rFonts w:hint="default" w:ascii="Times New Roman" w:hAnsi="Times New Roman" w:cs="Times New Roman"/>
          <w:color w:val="auto"/>
          <w:spacing w:val="-6"/>
          <w:sz w:val="32"/>
          <w:szCs w:val="32"/>
          <w:highlight w:val="none"/>
        </w:rPr>
        <w:t>%和</w:t>
      </w:r>
      <w:r>
        <w:rPr>
          <w:rFonts w:hint="default" w:ascii="Times New Roman" w:hAnsi="Times New Roman" w:cs="Times New Roman"/>
          <w:color w:val="auto"/>
          <w:sz w:val="32"/>
          <w:szCs w:val="32"/>
          <w:highlight w:val="none"/>
        </w:rPr>
        <w:t>14</w:t>
      </w:r>
      <w:r>
        <w:rPr>
          <w:rFonts w:hint="default" w:ascii="Times New Roman" w:hAnsi="Times New Roman" w:cs="Times New Roman"/>
          <w:color w:val="auto"/>
          <w:sz w:val="32"/>
          <w:szCs w:val="32"/>
          <w:highlight w:val="none"/>
          <w:lang w:val="en-US" w:eastAsia="zh-CN"/>
        </w:rPr>
        <w:t>4.0</w:t>
      </w:r>
      <w:r>
        <w:rPr>
          <w:rFonts w:hint="default" w:ascii="Times New Roman" w:hAnsi="Times New Roman" w:cs="Times New Roman"/>
          <w:color w:val="auto"/>
          <w:spacing w:val="-6"/>
          <w:sz w:val="32"/>
          <w:szCs w:val="32"/>
          <w:highlight w:val="none"/>
        </w:rPr>
        <w:t>%。其中，企业法人单位1321个，从业人员</w:t>
      </w:r>
      <w:r>
        <w:rPr>
          <w:rFonts w:hint="default" w:ascii="Times New Roman" w:hAnsi="Times New Roman" w:cs="Times New Roman"/>
          <w:color w:val="auto"/>
          <w:sz w:val="32"/>
          <w:szCs w:val="32"/>
          <w:highlight w:val="none"/>
        </w:rPr>
        <w:t>11076</w:t>
      </w:r>
      <w:r>
        <w:rPr>
          <w:rFonts w:hint="default" w:ascii="Times New Roman" w:hAnsi="Times New Roman" w:cs="Times New Roman"/>
          <w:color w:val="auto"/>
          <w:spacing w:val="-6"/>
          <w:sz w:val="32"/>
          <w:szCs w:val="32"/>
          <w:highlight w:val="none"/>
        </w:rPr>
        <w:t>人，分别比2018年末增长</w:t>
      </w:r>
      <w:r>
        <w:rPr>
          <w:rFonts w:hint="default" w:ascii="Times New Roman" w:hAnsi="Times New Roman" w:cs="Times New Roman"/>
          <w:color w:val="auto"/>
          <w:sz w:val="32"/>
          <w:szCs w:val="32"/>
          <w:highlight w:val="none"/>
        </w:rPr>
        <w:t>243.1</w:t>
      </w:r>
      <w:r>
        <w:rPr>
          <w:rFonts w:hint="default" w:ascii="Times New Roman" w:hAnsi="Times New Roman" w:cs="Times New Roman"/>
          <w:color w:val="auto"/>
          <w:spacing w:val="-6"/>
          <w:sz w:val="32"/>
          <w:szCs w:val="32"/>
          <w:highlight w:val="none"/>
        </w:rPr>
        <w:t>%和</w:t>
      </w:r>
      <w:r>
        <w:rPr>
          <w:rFonts w:hint="default" w:ascii="Times New Roman" w:hAnsi="Times New Roman" w:cs="Times New Roman"/>
          <w:color w:val="auto"/>
          <w:sz w:val="32"/>
          <w:szCs w:val="32"/>
          <w:highlight w:val="none"/>
        </w:rPr>
        <w:t>188.7</w:t>
      </w:r>
      <w:r>
        <w:rPr>
          <w:rFonts w:hint="default" w:ascii="Times New Roman" w:hAnsi="Times New Roman" w:cs="Times New Roman"/>
          <w:color w:val="auto"/>
          <w:spacing w:val="-6"/>
          <w:sz w:val="32"/>
          <w:szCs w:val="32"/>
          <w:highlight w:val="none"/>
        </w:rPr>
        <w:t>%（详见表5-1）。</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表5-1　按行业大类分组的科学研究和技术服务业</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69"/>
        <w:gridCol w:w="2967"/>
        <w:gridCol w:w="24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057" w:type="dxa"/>
            <w:tcBorders>
              <w:top w:val="single" w:color="auto" w:sz="12" w:space="0"/>
              <w:left w:val="nil"/>
              <w:bottom w:val="single" w:color="auto" w:sz="4" w:space="0"/>
              <w:right w:val="single" w:color="auto" w:sz="4" w:space="0"/>
            </w:tcBorders>
            <w:vAlign w:val="center"/>
          </w:tcPr>
          <w:p>
            <w:pPr>
              <w:widowControl/>
              <w:spacing w:line="320" w:lineRule="exact"/>
              <w:ind w:firstLine="0" w:firstLineChars="0"/>
              <w:jc w:val="center"/>
              <w:textAlignment w:val="auto"/>
              <w:rPr>
                <w:rFonts w:hint="default" w:ascii="Times New Roman" w:hAnsi="Times New Roman" w:eastAsia="宋体" w:cs="Times New Roman"/>
                <w:color w:val="auto"/>
                <w:sz w:val="21"/>
                <w:szCs w:val="21"/>
                <w:highlight w:val="none"/>
              </w:rPr>
            </w:pPr>
          </w:p>
        </w:tc>
        <w:tc>
          <w:tcPr>
            <w:tcW w:w="3108" w:type="dxa"/>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企业法人单位</w:t>
            </w:r>
          </w:p>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（个）</w:t>
            </w:r>
          </w:p>
        </w:tc>
        <w:tc>
          <w:tcPr>
            <w:tcW w:w="2567" w:type="dxa"/>
            <w:tcBorders>
              <w:top w:val="single" w:color="auto" w:sz="12" w:space="0"/>
              <w:left w:val="single" w:color="auto" w:sz="4" w:space="0"/>
              <w:bottom w:val="single" w:color="auto" w:sz="4" w:space="0"/>
              <w:right w:val="nil"/>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从业人员</w:t>
            </w:r>
          </w:p>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single" w:color="auto" w:sz="4" w:space="0"/>
              <w:left w:val="nil"/>
              <w:bottom w:val="nil"/>
              <w:right w:val="single" w:color="auto" w:sz="4" w:space="0"/>
            </w:tcBorders>
            <w:vAlign w:val="center"/>
          </w:tcPr>
          <w:p>
            <w:pPr>
              <w:widowControl/>
              <w:spacing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rPr>
              <w:t>合　计</w:t>
            </w:r>
          </w:p>
        </w:tc>
        <w:tc>
          <w:tcPr>
            <w:tcW w:w="3108" w:type="dxa"/>
            <w:tcBorders>
              <w:top w:val="single" w:color="auto" w:sz="4" w:space="0"/>
              <w:left w:val="single" w:color="auto" w:sz="4" w:space="0"/>
              <w:bottom w:val="nil"/>
              <w:right w:val="single" w:color="auto" w:sz="4" w:space="0"/>
            </w:tcBorders>
            <w:vAlign w:val="center"/>
          </w:tcPr>
          <w:p>
            <w:pPr>
              <w:widowControl/>
              <w:spacing w:line="240" w:lineRule="auto"/>
              <w:ind w:firstLine="422"/>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1321</w:t>
            </w:r>
          </w:p>
        </w:tc>
        <w:tc>
          <w:tcPr>
            <w:tcW w:w="2567" w:type="dxa"/>
            <w:tcBorders>
              <w:top w:val="single" w:color="auto" w:sz="4" w:space="0"/>
              <w:left w:val="single" w:color="auto" w:sz="4" w:space="0"/>
              <w:bottom w:val="nil"/>
              <w:right w:val="nil"/>
            </w:tcBorders>
            <w:vAlign w:val="center"/>
          </w:tcPr>
          <w:p>
            <w:pPr>
              <w:widowControl/>
              <w:spacing w:line="240" w:lineRule="auto"/>
              <w:ind w:firstLine="422"/>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11076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研究和试验发展</w:t>
            </w:r>
          </w:p>
        </w:tc>
        <w:tc>
          <w:tcPr>
            <w:tcW w:w="3108" w:type="dxa"/>
            <w:tcBorders>
              <w:top w:val="nil"/>
              <w:left w:val="single" w:color="auto" w:sz="4" w:space="0"/>
              <w:bottom w:val="nil"/>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53</w:t>
            </w:r>
          </w:p>
        </w:tc>
        <w:tc>
          <w:tcPr>
            <w:tcW w:w="2567" w:type="dxa"/>
            <w:tcBorders>
              <w:top w:val="nil"/>
              <w:left w:val="single" w:color="auto" w:sz="4" w:space="0"/>
              <w:bottom w:val="nil"/>
              <w:right w:val="nil"/>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专业技术服务业</w:t>
            </w:r>
          </w:p>
        </w:tc>
        <w:tc>
          <w:tcPr>
            <w:tcW w:w="3108" w:type="dxa"/>
            <w:tcBorders>
              <w:top w:val="nil"/>
              <w:left w:val="single" w:color="auto" w:sz="4" w:space="0"/>
              <w:bottom w:val="nil"/>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805</w:t>
            </w:r>
          </w:p>
        </w:tc>
        <w:tc>
          <w:tcPr>
            <w:tcW w:w="2567" w:type="dxa"/>
            <w:tcBorders>
              <w:top w:val="nil"/>
              <w:left w:val="single" w:color="auto" w:sz="4" w:space="0"/>
              <w:bottom w:val="nil"/>
              <w:right w:val="nil"/>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9313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single" w:color="auto" w:sz="12" w:space="0"/>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科技推广和应用服务业</w:t>
            </w:r>
          </w:p>
        </w:tc>
        <w:tc>
          <w:tcPr>
            <w:tcW w:w="3108" w:type="dxa"/>
            <w:tcBorders>
              <w:top w:val="nil"/>
              <w:left w:val="single" w:color="auto" w:sz="4" w:space="0"/>
              <w:bottom w:val="single" w:color="auto" w:sz="12" w:space="0"/>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463</w:t>
            </w:r>
          </w:p>
        </w:tc>
        <w:tc>
          <w:tcPr>
            <w:tcW w:w="2567" w:type="dxa"/>
            <w:tcBorders>
              <w:top w:val="nil"/>
              <w:left w:val="single" w:color="auto" w:sz="4" w:space="0"/>
              <w:bottom w:val="single" w:color="auto" w:sz="12" w:space="0"/>
              <w:right w:val="nil"/>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1635</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楷体_GB2312" w:cs="Times New Roman"/>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2"/>
        <w:rPr>
          <w:rFonts w:hint="default" w:ascii="Times New Roman" w:hAnsi="Times New Roman" w:eastAsia="方正楷体_GB2312" w:cs="Times New Roman"/>
          <w:color w:val="auto"/>
          <w:kern w:val="0"/>
          <w:sz w:val="32"/>
          <w:szCs w:val="32"/>
          <w:highlight w:val="none"/>
        </w:rPr>
      </w:pPr>
      <w:r>
        <w:rPr>
          <w:rFonts w:hint="default" w:ascii="Times New Roman" w:hAnsi="Times New Roman" w:eastAsia="方正楷体_GB2312" w:cs="Times New Roman"/>
          <w:color w:val="auto"/>
          <w:kern w:val="0"/>
          <w:sz w:val="32"/>
          <w:szCs w:val="32"/>
          <w:highlight w:val="none"/>
        </w:rPr>
        <w:t>（二）主要经济指标</w:t>
      </w:r>
    </w:p>
    <w:p>
      <w:pPr>
        <w:widowControl/>
        <w:spacing w:line="600" w:lineRule="exact"/>
        <w:ind w:firstLine="600" w:firstLineChars="0"/>
        <w:textAlignment w:val="auto"/>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2023年末，科学研究和技术服务业企业法人单位资产总计</w:t>
      </w:r>
      <w:r>
        <w:rPr>
          <w:rFonts w:hint="default" w:ascii="Times New Roman" w:hAnsi="Times New Roman" w:cs="Times New Roman"/>
          <w:color w:val="auto"/>
          <w:sz w:val="32"/>
          <w:szCs w:val="32"/>
          <w:highlight w:val="none"/>
        </w:rPr>
        <w:t>902835.36</w:t>
      </w:r>
      <w:r>
        <w:rPr>
          <w:rFonts w:hint="default" w:ascii="Times New Roman" w:hAnsi="Times New Roman" w:cs="Times New Roman"/>
          <w:color w:val="auto"/>
          <w:spacing w:val="-6"/>
          <w:sz w:val="32"/>
          <w:szCs w:val="32"/>
          <w:highlight w:val="none"/>
        </w:rPr>
        <w:t>万元，比2018年末增长</w:t>
      </w:r>
      <w:r>
        <w:rPr>
          <w:rFonts w:hint="default" w:ascii="Times New Roman" w:hAnsi="Times New Roman" w:cs="Times New Roman"/>
          <w:color w:val="auto"/>
          <w:sz w:val="32"/>
          <w:szCs w:val="32"/>
          <w:highlight w:val="none"/>
        </w:rPr>
        <w:t>138.9</w:t>
      </w:r>
      <w:r>
        <w:rPr>
          <w:rFonts w:hint="default" w:ascii="Times New Roman" w:hAnsi="Times New Roman" w:cs="Times New Roman"/>
          <w:color w:val="auto"/>
          <w:spacing w:val="-6"/>
          <w:sz w:val="32"/>
          <w:szCs w:val="32"/>
          <w:highlight w:val="none"/>
        </w:rPr>
        <w:t>%；负债合计</w:t>
      </w:r>
      <w:r>
        <w:rPr>
          <w:rFonts w:hint="default" w:ascii="Times New Roman" w:hAnsi="Times New Roman" w:cs="Times New Roman"/>
          <w:color w:val="auto"/>
          <w:sz w:val="32"/>
          <w:szCs w:val="32"/>
          <w:highlight w:val="none"/>
        </w:rPr>
        <w:t>623146.68</w:t>
      </w:r>
      <w:r>
        <w:rPr>
          <w:rFonts w:hint="default" w:ascii="Times New Roman" w:hAnsi="Times New Roman" w:cs="Times New Roman"/>
          <w:color w:val="auto"/>
          <w:spacing w:val="-6"/>
          <w:sz w:val="32"/>
          <w:szCs w:val="32"/>
          <w:highlight w:val="none"/>
        </w:rPr>
        <w:t>万元，比2018年末增长</w:t>
      </w:r>
      <w:r>
        <w:rPr>
          <w:rFonts w:hint="default" w:ascii="Times New Roman" w:hAnsi="Times New Roman" w:cs="Times New Roman"/>
          <w:color w:val="auto"/>
          <w:sz w:val="32"/>
          <w:szCs w:val="32"/>
          <w:highlight w:val="none"/>
        </w:rPr>
        <w:t>145.2</w:t>
      </w:r>
      <w:r>
        <w:rPr>
          <w:rFonts w:hint="default" w:ascii="Times New Roman" w:hAnsi="Times New Roman" w:cs="Times New Roman"/>
          <w:color w:val="auto"/>
          <w:spacing w:val="-6"/>
          <w:sz w:val="32"/>
          <w:szCs w:val="32"/>
          <w:highlight w:val="none"/>
        </w:rPr>
        <w:t>%。</w:t>
      </w:r>
    </w:p>
    <w:p>
      <w:pPr>
        <w:widowControl/>
        <w:spacing w:line="600" w:lineRule="exact"/>
        <w:ind w:firstLine="600" w:firstLineChars="0"/>
        <w:textAlignment w:val="auto"/>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2023年，科学研究和技术服务业企业法人单位全年实现营业收入</w:t>
      </w:r>
      <w:r>
        <w:rPr>
          <w:rFonts w:hint="default" w:ascii="Times New Roman" w:hAnsi="Times New Roman" w:cs="Times New Roman"/>
          <w:color w:val="auto"/>
          <w:sz w:val="32"/>
          <w:szCs w:val="32"/>
          <w:highlight w:val="none"/>
        </w:rPr>
        <w:t>485077.65</w:t>
      </w:r>
      <w:r>
        <w:rPr>
          <w:rFonts w:hint="default" w:ascii="Times New Roman" w:hAnsi="Times New Roman" w:cs="Times New Roman"/>
          <w:color w:val="auto"/>
          <w:spacing w:val="-6"/>
          <w:sz w:val="32"/>
          <w:szCs w:val="32"/>
          <w:highlight w:val="none"/>
        </w:rPr>
        <w:t>万元，比2018年增长</w:t>
      </w:r>
      <w:r>
        <w:rPr>
          <w:rFonts w:hint="default" w:ascii="Times New Roman" w:hAnsi="Times New Roman" w:cs="Times New Roman"/>
          <w:color w:val="auto"/>
          <w:sz w:val="32"/>
          <w:szCs w:val="32"/>
          <w:highlight w:val="none"/>
        </w:rPr>
        <w:t>470.7</w:t>
      </w:r>
      <w:r>
        <w:rPr>
          <w:rFonts w:hint="default" w:ascii="Times New Roman" w:hAnsi="Times New Roman" w:cs="Times New Roman"/>
          <w:color w:val="auto"/>
          <w:spacing w:val="-6"/>
          <w:sz w:val="32"/>
          <w:szCs w:val="32"/>
          <w:highlight w:val="none"/>
        </w:rPr>
        <w:t>%（详见表5-</w:t>
      </w:r>
      <w:r>
        <w:rPr>
          <w:rFonts w:hint="default" w:ascii="Times New Roman" w:hAnsi="Times New Roman" w:cs="Times New Roman"/>
          <w:color w:val="auto"/>
          <w:spacing w:val="-6"/>
          <w:sz w:val="32"/>
          <w:szCs w:val="32"/>
          <w:highlight w:val="none"/>
          <w:lang w:val="en-US" w:eastAsia="zh-CN"/>
        </w:rPr>
        <w:t>2</w:t>
      </w:r>
      <w:r>
        <w:rPr>
          <w:rFonts w:hint="default" w:ascii="Times New Roman" w:hAnsi="Times New Roman" w:cs="Times New Roman"/>
          <w:color w:val="auto"/>
          <w:spacing w:val="-6"/>
          <w:sz w:val="32"/>
          <w:szCs w:val="32"/>
          <w:highlight w:val="none"/>
        </w:rPr>
        <w:t>）。</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表5-</w:t>
      </w:r>
      <w:r>
        <w:rPr>
          <w:rFonts w:hint="default" w:ascii="Times New Roman" w:hAnsi="Times New Roman" w:eastAsia="宋体" w:cs="Times New Roman"/>
          <w:b/>
          <w:color w:val="auto"/>
          <w:kern w:val="0"/>
          <w:sz w:val="24"/>
          <w:szCs w:val="24"/>
          <w:highlight w:val="none"/>
          <w:lang w:val="en-US" w:eastAsia="zh-CN"/>
        </w:rPr>
        <w:t>2</w:t>
      </w:r>
      <w:r>
        <w:rPr>
          <w:rFonts w:hint="default" w:ascii="Times New Roman" w:hAnsi="Times New Roman" w:eastAsia="宋体" w:cs="Times New Roman"/>
          <w:b/>
          <w:color w:val="auto"/>
          <w:kern w:val="0"/>
          <w:sz w:val="24"/>
          <w:szCs w:val="24"/>
          <w:highlight w:val="none"/>
        </w:rPr>
        <w:t>　按行业大类分组的科学研究和技术服务业</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35"/>
        <w:gridCol w:w="1557"/>
        <w:gridCol w:w="1557"/>
        <w:gridCol w:w="155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41" w:type="dxa"/>
            <w:tcBorders>
              <w:top w:val="single" w:color="auto" w:sz="12" w:space="0"/>
              <w:left w:val="nil"/>
              <w:bottom w:val="single" w:color="auto" w:sz="4" w:space="0"/>
              <w:right w:val="single" w:color="auto" w:sz="4" w:space="0"/>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color w:val="auto"/>
                <w:sz w:val="21"/>
                <w:szCs w:val="21"/>
                <w:highlight w:val="none"/>
              </w:rPr>
            </w:pPr>
          </w:p>
        </w:tc>
        <w:tc>
          <w:tcPr>
            <w:tcW w:w="1564" w:type="dxa"/>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资产总计</w:t>
            </w:r>
          </w:p>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（万元）</w:t>
            </w:r>
          </w:p>
        </w:tc>
        <w:tc>
          <w:tcPr>
            <w:tcW w:w="1564" w:type="dxa"/>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负债合计</w:t>
            </w:r>
          </w:p>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（万元）</w:t>
            </w:r>
          </w:p>
        </w:tc>
        <w:tc>
          <w:tcPr>
            <w:tcW w:w="1563" w:type="dxa"/>
            <w:tcBorders>
              <w:top w:val="single" w:color="auto" w:sz="12" w:space="0"/>
              <w:left w:val="single" w:color="auto" w:sz="4" w:space="0"/>
              <w:bottom w:val="single" w:color="auto" w:sz="4" w:space="0"/>
              <w:right w:val="nil"/>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营业收入</w:t>
            </w:r>
          </w:p>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single" w:color="auto" w:sz="4" w:space="0"/>
              <w:left w:val="nil"/>
              <w:bottom w:val="nil"/>
              <w:right w:val="single" w:color="auto" w:sz="4" w:space="0"/>
            </w:tcBorders>
            <w:vAlign w:val="center"/>
          </w:tcPr>
          <w:p>
            <w:pPr>
              <w:widowControl/>
              <w:spacing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rPr>
              <w:t>合　计</w:t>
            </w:r>
          </w:p>
        </w:tc>
        <w:tc>
          <w:tcPr>
            <w:tcW w:w="1564" w:type="dxa"/>
            <w:tcBorders>
              <w:top w:val="single" w:color="auto" w:sz="4" w:space="0"/>
              <w:left w:val="single" w:color="auto" w:sz="4" w:space="0"/>
              <w:bottom w:val="nil"/>
              <w:right w:val="single" w:color="auto" w:sz="4" w:space="0"/>
            </w:tcBorders>
            <w:vAlign w:val="center"/>
          </w:tcPr>
          <w:p>
            <w:pPr>
              <w:widowControl/>
              <w:spacing w:line="240" w:lineRule="auto"/>
              <w:ind w:firstLine="422"/>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 xml:space="preserve">902835.36 </w:t>
            </w:r>
          </w:p>
        </w:tc>
        <w:tc>
          <w:tcPr>
            <w:tcW w:w="1564" w:type="dxa"/>
            <w:tcBorders>
              <w:top w:val="single" w:color="auto" w:sz="4" w:space="0"/>
              <w:left w:val="single" w:color="auto" w:sz="4" w:space="0"/>
              <w:bottom w:val="nil"/>
              <w:right w:val="single" w:color="auto" w:sz="4" w:space="0"/>
            </w:tcBorders>
            <w:vAlign w:val="center"/>
          </w:tcPr>
          <w:p>
            <w:pPr>
              <w:widowControl/>
              <w:spacing w:line="240" w:lineRule="auto"/>
              <w:ind w:firstLine="422"/>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 xml:space="preserve">623146.68 </w:t>
            </w:r>
          </w:p>
        </w:tc>
        <w:tc>
          <w:tcPr>
            <w:tcW w:w="1563" w:type="dxa"/>
            <w:tcBorders>
              <w:top w:val="single" w:color="auto" w:sz="4" w:space="0"/>
              <w:left w:val="single" w:color="auto" w:sz="4" w:space="0"/>
              <w:bottom w:val="nil"/>
              <w:right w:val="nil"/>
            </w:tcBorders>
            <w:vAlign w:val="center"/>
          </w:tcPr>
          <w:p>
            <w:pPr>
              <w:widowControl/>
              <w:spacing w:line="240" w:lineRule="auto"/>
              <w:ind w:firstLine="422"/>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 xml:space="preserve">485077.65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研究和试验发展</w:t>
            </w:r>
          </w:p>
        </w:tc>
        <w:tc>
          <w:tcPr>
            <w:tcW w:w="1564"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14800.18 </w:t>
            </w:r>
          </w:p>
        </w:tc>
        <w:tc>
          <w:tcPr>
            <w:tcW w:w="1564"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10009.17 </w:t>
            </w:r>
          </w:p>
        </w:tc>
        <w:tc>
          <w:tcPr>
            <w:tcW w:w="1563" w:type="dxa"/>
            <w:tcBorders>
              <w:top w:val="nil"/>
              <w:left w:val="single" w:color="auto" w:sz="4" w:space="0"/>
              <w:bottom w:val="nil"/>
              <w:right w:val="nil"/>
            </w:tcBorders>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14314.06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专业技术服务业</w:t>
            </w:r>
          </w:p>
        </w:tc>
        <w:tc>
          <w:tcPr>
            <w:tcW w:w="1564"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761628.65 </w:t>
            </w:r>
          </w:p>
        </w:tc>
        <w:tc>
          <w:tcPr>
            <w:tcW w:w="1564"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520937.50 </w:t>
            </w:r>
          </w:p>
        </w:tc>
        <w:tc>
          <w:tcPr>
            <w:tcW w:w="1563" w:type="dxa"/>
            <w:tcBorders>
              <w:top w:val="nil"/>
              <w:left w:val="single" w:color="auto" w:sz="4" w:space="0"/>
              <w:bottom w:val="nil"/>
              <w:right w:val="nil"/>
            </w:tcBorders>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387590.59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single" w:color="auto" w:sz="12" w:space="0"/>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科技推广和应用服务业</w:t>
            </w:r>
          </w:p>
        </w:tc>
        <w:tc>
          <w:tcPr>
            <w:tcW w:w="1564" w:type="dxa"/>
            <w:tcBorders>
              <w:top w:val="nil"/>
              <w:left w:val="single" w:color="auto" w:sz="4" w:space="0"/>
              <w:bottom w:val="single" w:color="auto" w:sz="12" w:space="0"/>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126406.53</w:t>
            </w:r>
          </w:p>
        </w:tc>
        <w:tc>
          <w:tcPr>
            <w:tcW w:w="1564" w:type="dxa"/>
            <w:tcBorders>
              <w:top w:val="nil"/>
              <w:left w:val="single" w:color="auto" w:sz="4" w:space="0"/>
              <w:bottom w:val="single" w:color="auto" w:sz="12" w:space="0"/>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92200.01</w:t>
            </w:r>
          </w:p>
        </w:tc>
        <w:tc>
          <w:tcPr>
            <w:tcW w:w="1563" w:type="dxa"/>
            <w:tcBorders>
              <w:top w:val="nil"/>
              <w:left w:val="single" w:color="auto" w:sz="4" w:space="0"/>
              <w:bottom w:val="single" w:color="auto" w:sz="12" w:space="0"/>
              <w:right w:val="nil"/>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xml:space="preserve">83173.00 </w:t>
            </w:r>
          </w:p>
        </w:tc>
      </w:tr>
    </w:tbl>
    <w:p>
      <w:pPr>
        <w:widowControl/>
        <w:numPr>
          <w:ilvl w:val="0"/>
          <w:numId w:val="0"/>
        </w:numPr>
        <w:spacing w:beforeLines="30" w:line="600" w:lineRule="exact"/>
        <w:ind w:left="0" w:leftChars="0" w:firstLine="640" w:firstLineChars="200"/>
        <w:jc w:val="left"/>
        <w:textAlignment w:val="auto"/>
        <w:outlineLvl w:val="1"/>
        <w:rPr>
          <w:rFonts w:hint="default" w:ascii="Times New Roman" w:hAnsi="Times New Roman" w:eastAsia="黑体" w:cs="Times New Roman"/>
          <w:bCs/>
          <w:color w:val="auto"/>
          <w:kern w:val="0"/>
          <w:sz w:val="32"/>
          <w:szCs w:val="32"/>
          <w:highlight w:val="none"/>
        </w:rPr>
      </w:pPr>
      <w:r>
        <w:rPr>
          <w:rFonts w:hint="eastAsia" w:ascii="Times New Roman" w:hAnsi="Times New Roman" w:eastAsia="黑体" w:cs="Times New Roman"/>
          <w:bCs/>
          <w:color w:val="auto"/>
          <w:kern w:val="0"/>
          <w:sz w:val="32"/>
          <w:szCs w:val="32"/>
          <w:lang w:val="en-US" w:eastAsia="zh-CN" w:bidi="ar-SA"/>
        </w:rPr>
        <w:t>二、</w:t>
      </w:r>
      <w:r>
        <w:rPr>
          <w:rFonts w:hint="default" w:ascii="Times New Roman" w:hAnsi="Times New Roman" w:eastAsia="黑体" w:cs="Times New Roman"/>
          <w:bCs/>
          <w:color w:val="auto"/>
          <w:kern w:val="0"/>
          <w:sz w:val="32"/>
          <w:szCs w:val="32"/>
          <w:highlight w:val="none"/>
        </w:rPr>
        <w:t>水利、环境和公共设施管理业</w:t>
      </w:r>
    </w:p>
    <w:p>
      <w:pPr>
        <w:keepNext w:val="0"/>
        <w:keepLines w:val="0"/>
        <w:pageBreakBefore w:val="0"/>
        <w:widowControl/>
        <w:numPr>
          <w:ilvl w:val="0"/>
          <w:numId w:val="0"/>
        </w:numPr>
        <w:kinsoku/>
        <w:wordWrap/>
        <w:overflowPunct/>
        <w:topLinePunct w:val="0"/>
        <w:autoSpaceDE/>
        <w:autoSpaceDN/>
        <w:bidi w:val="0"/>
        <w:adjustRightInd/>
        <w:snapToGrid/>
        <w:spacing w:beforeLines="30" w:line="600" w:lineRule="exact"/>
        <w:ind w:firstLine="640" w:firstLineChars="200"/>
        <w:jc w:val="left"/>
        <w:textAlignment w:val="auto"/>
        <w:outlineLvl w:val="2"/>
        <w:rPr>
          <w:rFonts w:hint="default" w:ascii="Times New Roman" w:hAnsi="Times New Roman" w:eastAsia="方正楷体_GB2312" w:cs="Times New Roman"/>
          <w:color w:val="auto"/>
          <w:kern w:val="0"/>
          <w:sz w:val="32"/>
          <w:szCs w:val="32"/>
          <w:highlight w:val="none"/>
        </w:rPr>
      </w:pPr>
      <w:r>
        <w:rPr>
          <w:rFonts w:hint="default" w:ascii="Times New Roman" w:hAnsi="Times New Roman" w:eastAsia="方正楷体_GB2312" w:cs="Times New Roman"/>
          <w:color w:val="auto"/>
          <w:kern w:val="0"/>
          <w:sz w:val="32"/>
          <w:szCs w:val="32"/>
          <w:highlight w:val="none"/>
        </w:rPr>
        <w:t>（一）法人单位数和从业人员</w:t>
      </w:r>
    </w:p>
    <w:p>
      <w:pPr>
        <w:widowControl/>
        <w:spacing w:line="560" w:lineRule="exact"/>
        <w:ind w:firstLine="0" w:firstLineChars="0"/>
        <w:textAlignment w:val="auto"/>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 xml:space="preserve">    2023年末，全市共有水利、环境和公共设施管理业法人单位</w:t>
      </w:r>
      <w:r>
        <w:rPr>
          <w:rFonts w:hint="default" w:ascii="Times New Roman" w:hAnsi="Times New Roman" w:cs="Times New Roman"/>
          <w:color w:val="auto"/>
          <w:sz w:val="32"/>
          <w:szCs w:val="32"/>
          <w:highlight w:val="none"/>
        </w:rPr>
        <w:t>175</w:t>
      </w:r>
      <w:r>
        <w:rPr>
          <w:rFonts w:hint="default" w:ascii="Times New Roman" w:hAnsi="Times New Roman" w:cs="Times New Roman"/>
          <w:color w:val="auto"/>
          <w:spacing w:val="-6"/>
          <w:sz w:val="32"/>
          <w:szCs w:val="32"/>
          <w:highlight w:val="none"/>
        </w:rPr>
        <w:t>个，从业人员</w:t>
      </w:r>
      <w:r>
        <w:rPr>
          <w:rFonts w:hint="default" w:ascii="Times New Roman" w:hAnsi="Times New Roman" w:cs="Times New Roman"/>
          <w:color w:val="auto"/>
          <w:sz w:val="32"/>
          <w:szCs w:val="32"/>
          <w:highlight w:val="none"/>
        </w:rPr>
        <w:t>36</w:t>
      </w:r>
      <w:r>
        <w:rPr>
          <w:rFonts w:hint="default" w:ascii="Times New Roman" w:hAnsi="Times New Roman" w:cs="Times New Roman"/>
          <w:color w:val="auto"/>
          <w:sz w:val="32"/>
          <w:szCs w:val="32"/>
          <w:highlight w:val="none"/>
          <w:lang w:val="en-US" w:eastAsia="zh-CN"/>
        </w:rPr>
        <w:t>74</w:t>
      </w:r>
      <w:r>
        <w:rPr>
          <w:rFonts w:hint="default" w:ascii="Times New Roman" w:hAnsi="Times New Roman" w:cs="Times New Roman"/>
          <w:color w:val="auto"/>
          <w:spacing w:val="-6"/>
          <w:sz w:val="32"/>
          <w:szCs w:val="32"/>
          <w:highlight w:val="none"/>
        </w:rPr>
        <w:t>人，分别比2018年末增长</w:t>
      </w:r>
      <w:r>
        <w:rPr>
          <w:rFonts w:hint="default" w:ascii="Times New Roman" w:hAnsi="Times New Roman" w:cs="Times New Roman"/>
          <w:color w:val="auto"/>
          <w:sz w:val="32"/>
          <w:szCs w:val="32"/>
          <w:highlight w:val="none"/>
        </w:rPr>
        <w:t>307.0</w:t>
      </w:r>
      <w:r>
        <w:rPr>
          <w:rFonts w:hint="default" w:ascii="Times New Roman" w:hAnsi="Times New Roman" w:cs="Times New Roman"/>
          <w:color w:val="auto"/>
          <w:spacing w:val="-6"/>
          <w:sz w:val="32"/>
          <w:szCs w:val="32"/>
          <w:highlight w:val="none"/>
        </w:rPr>
        <w:t>%和</w:t>
      </w:r>
      <w:r>
        <w:rPr>
          <w:rFonts w:hint="default" w:ascii="Times New Roman" w:hAnsi="Times New Roman" w:cs="Times New Roman"/>
          <w:color w:val="auto"/>
          <w:sz w:val="32"/>
          <w:szCs w:val="32"/>
          <w:highlight w:val="none"/>
        </w:rPr>
        <w:t>6</w:t>
      </w:r>
      <w:r>
        <w:rPr>
          <w:rFonts w:hint="default" w:ascii="Times New Roman" w:hAnsi="Times New Roman" w:cs="Times New Roman"/>
          <w:color w:val="auto"/>
          <w:sz w:val="32"/>
          <w:szCs w:val="32"/>
          <w:highlight w:val="none"/>
          <w:lang w:val="en-US" w:eastAsia="zh-CN"/>
        </w:rPr>
        <w:t>5.6</w:t>
      </w:r>
      <w:r>
        <w:rPr>
          <w:rFonts w:hint="default" w:ascii="Times New Roman" w:hAnsi="Times New Roman" w:cs="Times New Roman"/>
          <w:color w:val="auto"/>
          <w:spacing w:val="-6"/>
          <w:sz w:val="32"/>
          <w:szCs w:val="32"/>
          <w:highlight w:val="none"/>
        </w:rPr>
        <w:t>%。其中，行政事业及非企业法人单位</w:t>
      </w:r>
      <w:r>
        <w:rPr>
          <w:rFonts w:hint="default" w:ascii="Times New Roman" w:hAnsi="Times New Roman" w:cs="Times New Roman"/>
          <w:color w:val="auto"/>
          <w:sz w:val="32"/>
          <w:szCs w:val="32"/>
          <w:highlight w:val="none"/>
        </w:rPr>
        <w:t>25</w:t>
      </w:r>
      <w:r>
        <w:rPr>
          <w:rFonts w:hint="default" w:ascii="Times New Roman" w:hAnsi="Times New Roman" w:cs="Times New Roman"/>
          <w:color w:val="auto"/>
          <w:spacing w:val="-6"/>
          <w:sz w:val="32"/>
          <w:szCs w:val="32"/>
          <w:highlight w:val="none"/>
        </w:rPr>
        <w:t>个，比2018年末增长56.3%；从业人员</w:t>
      </w:r>
      <w:r>
        <w:rPr>
          <w:rFonts w:hint="default" w:ascii="Times New Roman" w:hAnsi="Times New Roman" w:cs="Times New Roman"/>
          <w:color w:val="auto"/>
          <w:sz w:val="32"/>
          <w:szCs w:val="32"/>
          <w:highlight w:val="none"/>
        </w:rPr>
        <w:t>1532</w:t>
      </w:r>
      <w:r>
        <w:rPr>
          <w:rFonts w:hint="default" w:ascii="Times New Roman" w:hAnsi="Times New Roman" w:cs="Times New Roman"/>
          <w:color w:val="auto"/>
          <w:spacing w:val="-6"/>
          <w:sz w:val="32"/>
          <w:szCs w:val="32"/>
          <w:highlight w:val="none"/>
        </w:rPr>
        <w:t>人，比2018年末下降</w:t>
      </w:r>
      <w:r>
        <w:rPr>
          <w:rFonts w:hint="default" w:ascii="Times New Roman" w:hAnsi="Times New Roman" w:cs="Times New Roman"/>
          <w:color w:val="auto"/>
          <w:sz w:val="32"/>
          <w:szCs w:val="32"/>
          <w:highlight w:val="none"/>
        </w:rPr>
        <w:t>24.0</w:t>
      </w:r>
      <w:r>
        <w:rPr>
          <w:rFonts w:hint="default" w:ascii="Times New Roman" w:hAnsi="Times New Roman" w:cs="Times New Roman"/>
          <w:color w:val="auto"/>
          <w:spacing w:val="-6"/>
          <w:sz w:val="32"/>
          <w:szCs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2"/>
        <w:rPr>
          <w:rFonts w:hint="default" w:ascii="Times New Roman" w:hAnsi="Times New Roman" w:eastAsia="方正楷体_GB2312" w:cs="Times New Roman"/>
          <w:color w:val="auto"/>
          <w:kern w:val="0"/>
          <w:sz w:val="32"/>
          <w:szCs w:val="32"/>
          <w:highlight w:val="none"/>
        </w:rPr>
      </w:pPr>
      <w:r>
        <w:rPr>
          <w:rFonts w:hint="default" w:ascii="Times New Roman" w:hAnsi="Times New Roman" w:eastAsia="方正楷体_GB2312" w:cs="Times New Roman"/>
          <w:color w:val="auto"/>
          <w:kern w:val="0"/>
          <w:sz w:val="32"/>
          <w:szCs w:val="32"/>
          <w:highlight w:val="none"/>
        </w:rPr>
        <w:t>（二）主要经济指标</w:t>
      </w:r>
    </w:p>
    <w:p>
      <w:pPr>
        <w:widowControl/>
        <w:spacing w:line="560" w:lineRule="exact"/>
        <w:ind w:firstLine="592" w:firstLineChars="0"/>
        <w:textAlignment w:val="auto"/>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2023年末，水利、环境和公共设施管理业企业法人单位资产总计</w:t>
      </w:r>
      <w:r>
        <w:rPr>
          <w:rFonts w:hint="default" w:ascii="Times New Roman" w:hAnsi="Times New Roman" w:cs="Times New Roman"/>
          <w:color w:val="auto"/>
          <w:sz w:val="32"/>
          <w:szCs w:val="32"/>
          <w:highlight w:val="none"/>
        </w:rPr>
        <w:t>484428.8万</w:t>
      </w:r>
      <w:r>
        <w:rPr>
          <w:rFonts w:hint="default" w:ascii="Times New Roman" w:hAnsi="Times New Roman" w:cs="Times New Roman"/>
          <w:color w:val="auto"/>
          <w:spacing w:val="-6"/>
          <w:sz w:val="32"/>
          <w:szCs w:val="32"/>
          <w:highlight w:val="none"/>
        </w:rPr>
        <w:t>元，比2018年末增长</w:t>
      </w:r>
      <w:r>
        <w:rPr>
          <w:rFonts w:hint="default" w:ascii="Times New Roman" w:hAnsi="Times New Roman" w:cs="Times New Roman"/>
          <w:color w:val="auto"/>
          <w:sz w:val="32"/>
          <w:szCs w:val="32"/>
          <w:highlight w:val="none"/>
        </w:rPr>
        <w:t>1324.3</w:t>
      </w:r>
      <w:r>
        <w:rPr>
          <w:rFonts w:hint="default" w:ascii="Times New Roman" w:hAnsi="Times New Roman" w:cs="Times New Roman"/>
          <w:color w:val="auto"/>
          <w:spacing w:val="-6"/>
          <w:sz w:val="32"/>
          <w:szCs w:val="32"/>
          <w:highlight w:val="none"/>
        </w:rPr>
        <w:t>%；负债合计</w:t>
      </w:r>
      <w:r>
        <w:rPr>
          <w:rFonts w:hint="default" w:ascii="Times New Roman" w:hAnsi="Times New Roman" w:cs="Times New Roman"/>
          <w:color w:val="auto"/>
          <w:sz w:val="32"/>
          <w:szCs w:val="32"/>
          <w:highlight w:val="none"/>
        </w:rPr>
        <w:t>396143.57万</w:t>
      </w:r>
      <w:r>
        <w:rPr>
          <w:rFonts w:hint="default" w:ascii="Times New Roman" w:hAnsi="Times New Roman" w:cs="Times New Roman"/>
          <w:color w:val="auto"/>
          <w:spacing w:val="-6"/>
          <w:sz w:val="32"/>
          <w:szCs w:val="32"/>
          <w:highlight w:val="none"/>
        </w:rPr>
        <w:t>元，比2018年末增长</w:t>
      </w:r>
      <w:r>
        <w:rPr>
          <w:rFonts w:hint="default" w:ascii="Times New Roman" w:hAnsi="Times New Roman" w:cs="Times New Roman"/>
          <w:color w:val="auto"/>
          <w:sz w:val="32"/>
          <w:szCs w:val="32"/>
          <w:highlight w:val="none"/>
        </w:rPr>
        <w:t>1612.3</w:t>
      </w:r>
      <w:r>
        <w:rPr>
          <w:rFonts w:hint="default" w:ascii="Times New Roman" w:hAnsi="Times New Roman" w:cs="Times New Roman"/>
          <w:color w:val="auto"/>
          <w:spacing w:val="-6"/>
          <w:sz w:val="32"/>
          <w:szCs w:val="32"/>
          <w:highlight w:val="none"/>
        </w:rPr>
        <w:t>%。全年实现营业收入</w:t>
      </w:r>
      <w:r>
        <w:rPr>
          <w:rFonts w:hint="default" w:ascii="Times New Roman" w:hAnsi="Times New Roman" w:cs="Times New Roman"/>
          <w:color w:val="auto"/>
          <w:sz w:val="32"/>
          <w:szCs w:val="32"/>
          <w:highlight w:val="none"/>
        </w:rPr>
        <w:t>67588.17万</w:t>
      </w:r>
      <w:r>
        <w:rPr>
          <w:rFonts w:hint="default" w:ascii="Times New Roman" w:hAnsi="Times New Roman" w:cs="Times New Roman"/>
          <w:color w:val="auto"/>
          <w:spacing w:val="-6"/>
          <w:sz w:val="32"/>
          <w:szCs w:val="32"/>
          <w:highlight w:val="none"/>
        </w:rPr>
        <w:t>元，比2018年增长</w:t>
      </w:r>
      <w:r>
        <w:rPr>
          <w:rFonts w:hint="default" w:ascii="Times New Roman" w:hAnsi="Times New Roman" w:cs="Times New Roman"/>
          <w:color w:val="auto"/>
          <w:sz w:val="32"/>
          <w:szCs w:val="32"/>
          <w:highlight w:val="none"/>
        </w:rPr>
        <w:t>1030.6</w:t>
      </w:r>
      <w:r>
        <w:rPr>
          <w:rFonts w:hint="default" w:ascii="Times New Roman" w:hAnsi="Times New Roman" w:cs="Times New Roman"/>
          <w:color w:val="auto"/>
          <w:spacing w:val="-6"/>
          <w:sz w:val="32"/>
          <w:szCs w:val="32"/>
          <w:highlight w:val="none"/>
        </w:rPr>
        <w:t>%。</w:t>
      </w:r>
    </w:p>
    <w:p>
      <w:pPr>
        <w:widowControl/>
        <w:spacing w:line="560" w:lineRule="exact"/>
        <w:ind w:firstLine="592" w:firstLineChars="0"/>
        <w:textAlignment w:val="auto"/>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行政事业及非企业法人单位年末资产</w:t>
      </w:r>
      <w:r>
        <w:rPr>
          <w:rFonts w:hint="default" w:ascii="Times New Roman" w:hAnsi="Times New Roman" w:cs="Times New Roman"/>
          <w:color w:val="auto"/>
          <w:sz w:val="32"/>
          <w:szCs w:val="32"/>
          <w:highlight w:val="none"/>
        </w:rPr>
        <w:t>69103.6万</w:t>
      </w:r>
      <w:r>
        <w:rPr>
          <w:rFonts w:hint="default" w:ascii="Times New Roman" w:hAnsi="Times New Roman" w:cs="Times New Roman"/>
          <w:color w:val="auto"/>
          <w:spacing w:val="-6"/>
          <w:sz w:val="32"/>
          <w:szCs w:val="32"/>
          <w:highlight w:val="none"/>
        </w:rPr>
        <w:t>元，比2018年末下降61.3%。本年支出（费用）合计</w:t>
      </w:r>
      <w:r>
        <w:rPr>
          <w:rFonts w:hint="default" w:ascii="Times New Roman" w:hAnsi="Times New Roman" w:cs="Times New Roman"/>
          <w:color w:val="auto"/>
          <w:sz w:val="32"/>
          <w:szCs w:val="32"/>
          <w:highlight w:val="none"/>
        </w:rPr>
        <w:t>81626.3万</w:t>
      </w:r>
      <w:r>
        <w:rPr>
          <w:rFonts w:hint="default" w:ascii="Times New Roman" w:hAnsi="Times New Roman" w:cs="Times New Roman"/>
          <w:color w:val="auto"/>
          <w:spacing w:val="-6"/>
          <w:sz w:val="32"/>
          <w:szCs w:val="32"/>
          <w:highlight w:val="none"/>
        </w:rPr>
        <w:t>元，比2018年增长</w:t>
      </w:r>
      <w:r>
        <w:rPr>
          <w:rFonts w:hint="default" w:ascii="Times New Roman" w:hAnsi="Times New Roman" w:cs="Times New Roman"/>
          <w:color w:val="auto"/>
          <w:sz w:val="32"/>
          <w:szCs w:val="32"/>
          <w:highlight w:val="none"/>
        </w:rPr>
        <w:t>140.6</w:t>
      </w:r>
      <w:r>
        <w:rPr>
          <w:rFonts w:hint="default" w:ascii="Times New Roman" w:hAnsi="Times New Roman" w:cs="Times New Roman"/>
          <w:color w:val="auto"/>
          <w:spacing w:val="-6"/>
          <w:sz w:val="32"/>
          <w:szCs w:val="32"/>
          <w:highlight w:val="none"/>
        </w:rPr>
        <w:t>%。</w:t>
      </w:r>
    </w:p>
    <w:p>
      <w:pPr>
        <w:widowControl/>
        <w:spacing w:line="600" w:lineRule="exact"/>
        <w:ind w:firstLine="640"/>
        <w:jc w:val="left"/>
        <w:textAlignment w:val="auto"/>
        <w:outlineLvl w:val="1"/>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kern w:val="0"/>
          <w:sz w:val="32"/>
          <w:szCs w:val="32"/>
          <w:highlight w:val="none"/>
        </w:rPr>
        <w:t>三、居民服务、修理和其他服务业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2"/>
        <w:rPr>
          <w:rFonts w:hint="default" w:ascii="Times New Roman" w:hAnsi="Times New Roman" w:eastAsia="方正楷体_GB2312" w:cs="Times New Roman"/>
          <w:color w:val="auto"/>
          <w:kern w:val="0"/>
          <w:sz w:val="32"/>
          <w:szCs w:val="32"/>
          <w:highlight w:val="none"/>
        </w:rPr>
      </w:pPr>
      <w:r>
        <w:rPr>
          <w:rFonts w:hint="default" w:ascii="Times New Roman" w:hAnsi="Times New Roman" w:eastAsia="方正楷体_GB2312" w:cs="Times New Roman"/>
          <w:color w:val="auto"/>
          <w:kern w:val="0"/>
          <w:sz w:val="32"/>
          <w:szCs w:val="32"/>
          <w:highlight w:val="none"/>
        </w:rPr>
        <w:t>（一）企业法人单位数和从业人员</w:t>
      </w:r>
    </w:p>
    <w:p>
      <w:pPr>
        <w:widowControl/>
        <w:spacing w:line="600" w:lineRule="exact"/>
        <w:ind w:firstLine="616"/>
        <w:textAlignment w:val="auto"/>
        <w:rPr>
          <w:rFonts w:hint="default" w:ascii="Times New Roman" w:hAnsi="Times New Roman" w:cs="Times New Roman"/>
          <w:color w:val="auto"/>
          <w:highlight w:val="none"/>
        </w:rPr>
      </w:pPr>
      <w:r>
        <w:rPr>
          <w:rFonts w:hint="default" w:ascii="Times New Roman" w:hAnsi="Times New Roman" w:cs="Times New Roman"/>
          <w:color w:val="auto"/>
          <w:spacing w:val="-6"/>
          <w:sz w:val="32"/>
          <w:szCs w:val="32"/>
          <w:highlight w:val="none"/>
        </w:rPr>
        <w:t>2023年末，全市共有居民服务、修理和其他服务业企业法人单位</w:t>
      </w:r>
      <w:r>
        <w:rPr>
          <w:rFonts w:hint="default" w:ascii="Times New Roman" w:hAnsi="Times New Roman" w:cs="Times New Roman"/>
          <w:color w:val="auto"/>
          <w:sz w:val="32"/>
          <w:szCs w:val="32"/>
          <w:highlight w:val="none"/>
        </w:rPr>
        <w:t>582</w:t>
      </w:r>
      <w:r>
        <w:rPr>
          <w:rFonts w:hint="default" w:ascii="Times New Roman" w:hAnsi="Times New Roman" w:cs="Times New Roman"/>
          <w:color w:val="auto"/>
          <w:spacing w:val="-6"/>
          <w:sz w:val="32"/>
          <w:szCs w:val="32"/>
          <w:highlight w:val="none"/>
        </w:rPr>
        <w:t>个，从业人员</w:t>
      </w:r>
      <w:r>
        <w:rPr>
          <w:rFonts w:hint="default" w:ascii="Times New Roman" w:hAnsi="Times New Roman" w:cs="Times New Roman"/>
          <w:color w:val="auto"/>
          <w:sz w:val="32"/>
          <w:szCs w:val="32"/>
          <w:highlight w:val="none"/>
        </w:rPr>
        <w:t>3085</w:t>
      </w:r>
      <w:r>
        <w:rPr>
          <w:rFonts w:hint="default" w:ascii="Times New Roman" w:hAnsi="Times New Roman" w:cs="Times New Roman"/>
          <w:color w:val="auto"/>
          <w:spacing w:val="-6"/>
          <w:sz w:val="32"/>
          <w:szCs w:val="32"/>
          <w:highlight w:val="none"/>
        </w:rPr>
        <w:t>人，分别比2018年末增长</w:t>
      </w:r>
      <w:r>
        <w:rPr>
          <w:rFonts w:hint="default" w:ascii="Times New Roman" w:hAnsi="Times New Roman" w:cs="Times New Roman"/>
          <w:color w:val="auto"/>
          <w:sz w:val="32"/>
          <w:szCs w:val="32"/>
          <w:highlight w:val="none"/>
        </w:rPr>
        <w:t>141.5</w:t>
      </w:r>
      <w:r>
        <w:rPr>
          <w:rFonts w:hint="default" w:ascii="Times New Roman" w:hAnsi="Times New Roman" w:cs="Times New Roman"/>
          <w:color w:val="auto"/>
          <w:spacing w:val="-6"/>
          <w:sz w:val="32"/>
          <w:szCs w:val="32"/>
          <w:highlight w:val="none"/>
        </w:rPr>
        <w:t>%和</w:t>
      </w:r>
      <w:r>
        <w:rPr>
          <w:rFonts w:hint="default" w:ascii="Times New Roman" w:hAnsi="Times New Roman" w:cs="Times New Roman"/>
          <w:color w:val="auto"/>
          <w:sz w:val="32"/>
          <w:szCs w:val="32"/>
          <w:highlight w:val="none"/>
        </w:rPr>
        <w:t>229.6</w:t>
      </w:r>
      <w:r>
        <w:rPr>
          <w:rFonts w:hint="default" w:ascii="Times New Roman" w:hAnsi="Times New Roman" w:cs="Times New Roman"/>
          <w:color w:val="auto"/>
          <w:spacing w:val="-6"/>
          <w:sz w:val="32"/>
          <w:szCs w:val="32"/>
          <w:highlight w:val="none"/>
        </w:rPr>
        <w:t>%（详见表5-</w:t>
      </w:r>
      <w:r>
        <w:rPr>
          <w:rFonts w:hint="default" w:ascii="Times New Roman" w:hAnsi="Times New Roman" w:cs="Times New Roman"/>
          <w:color w:val="auto"/>
          <w:spacing w:val="-6"/>
          <w:sz w:val="32"/>
          <w:szCs w:val="32"/>
          <w:highlight w:val="none"/>
          <w:lang w:val="en-US" w:eastAsia="zh-CN"/>
        </w:rPr>
        <w:t>3</w:t>
      </w:r>
      <w:r>
        <w:rPr>
          <w:rFonts w:hint="default" w:ascii="Times New Roman" w:hAnsi="Times New Roman" w:cs="Times New Roman"/>
          <w:color w:val="auto"/>
          <w:spacing w:val="-6"/>
          <w:sz w:val="32"/>
          <w:szCs w:val="32"/>
          <w:highlight w:val="none"/>
        </w:rPr>
        <w:t>）。</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表5-</w:t>
      </w:r>
      <w:r>
        <w:rPr>
          <w:rFonts w:hint="default" w:ascii="Times New Roman" w:hAnsi="Times New Roman" w:eastAsia="宋体" w:cs="Times New Roman"/>
          <w:b/>
          <w:color w:val="auto"/>
          <w:kern w:val="0"/>
          <w:sz w:val="24"/>
          <w:szCs w:val="24"/>
          <w:highlight w:val="none"/>
          <w:lang w:val="en-US" w:eastAsia="zh-CN"/>
        </w:rPr>
        <w:t>3</w:t>
      </w:r>
      <w:r>
        <w:rPr>
          <w:rFonts w:hint="default" w:ascii="Times New Roman" w:hAnsi="Times New Roman" w:eastAsia="宋体" w:cs="Times New Roman"/>
          <w:b/>
          <w:color w:val="auto"/>
          <w:kern w:val="0"/>
          <w:sz w:val="24"/>
          <w:szCs w:val="24"/>
          <w:highlight w:val="none"/>
        </w:rPr>
        <w:t>　按行业大类分组的居民服务、修理和其他服务业</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ind w:left="6" w:right="6" w:firstLine="0" w:firstLineChars="0"/>
        <w:jc w:val="center"/>
        <w:textAlignment w:val="auto"/>
        <w:outlineLvl w:val="9"/>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45"/>
        <w:gridCol w:w="2354"/>
        <w:gridCol w:w="18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5" w:type="pct"/>
            <w:tcBorders>
              <w:top w:val="single" w:color="auto" w:sz="12" w:space="0"/>
              <w:left w:val="nil"/>
              <w:bottom w:val="single" w:color="auto" w:sz="4" w:space="0"/>
              <w:right w:val="single" w:color="auto" w:sz="4" w:space="0"/>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color w:val="auto"/>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企业法人单位</w:t>
            </w:r>
          </w:p>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（个）</w:t>
            </w:r>
          </w:p>
        </w:tc>
        <w:tc>
          <w:tcPr>
            <w:tcW w:w="1086" w:type="pct"/>
            <w:tcBorders>
              <w:top w:val="single" w:color="auto" w:sz="12" w:space="0"/>
              <w:left w:val="single" w:color="auto" w:sz="4" w:space="0"/>
              <w:bottom w:val="single" w:color="auto" w:sz="4" w:space="0"/>
              <w:right w:val="nil"/>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从业人员</w:t>
            </w:r>
          </w:p>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single" w:color="auto" w:sz="4" w:space="0"/>
              <w:left w:val="nil"/>
              <w:bottom w:val="nil"/>
              <w:right w:val="single" w:color="auto" w:sz="4" w:space="0"/>
            </w:tcBorders>
            <w:vAlign w:val="center"/>
          </w:tcPr>
          <w:p>
            <w:pPr>
              <w:widowControl/>
              <w:spacing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rPr>
              <w:t>合　计</w:t>
            </w:r>
          </w:p>
        </w:tc>
        <w:tc>
          <w:tcPr>
            <w:tcW w:w="2354" w:type="dxa"/>
            <w:tcBorders>
              <w:top w:val="single" w:color="auto" w:sz="4" w:space="0"/>
              <w:left w:val="single" w:color="auto" w:sz="4" w:space="0"/>
              <w:bottom w:val="nil"/>
              <w:right w:val="single" w:color="auto" w:sz="4" w:space="0"/>
            </w:tcBorders>
            <w:vAlign w:val="center"/>
          </w:tcPr>
          <w:p>
            <w:pPr>
              <w:widowControl/>
              <w:spacing w:line="240" w:lineRule="auto"/>
              <w:ind w:firstLine="422"/>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582</w:t>
            </w:r>
          </w:p>
        </w:tc>
        <w:tc>
          <w:tcPr>
            <w:tcW w:w="1897" w:type="dxa"/>
            <w:tcBorders>
              <w:top w:val="single" w:color="auto" w:sz="4" w:space="0"/>
              <w:left w:val="single" w:color="auto" w:sz="4" w:space="0"/>
              <w:bottom w:val="nil"/>
              <w:right w:val="nil"/>
            </w:tcBorders>
            <w:vAlign w:val="center"/>
          </w:tcPr>
          <w:p>
            <w:pPr>
              <w:widowControl/>
              <w:spacing w:line="240" w:lineRule="auto"/>
              <w:ind w:firstLine="422"/>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3085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居民服务业</w:t>
            </w:r>
          </w:p>
        </w:tc>
        <w:tc>
          <w:tcPr>
            <w:tcW w:w="2354" w:type="dxa"/>
            <w:tcBorders>
              <w:top w:val="nil"/>
              <w:left w:val="single" w:color="auto" w:sz="4" w:space="0"/>
              <w:bottom w:val="nil"/>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143</w:t>
            </w:r>
          </w:p>
        </w:tc>
        <w:tc>
          <w:tcPr>
            <w:tcW w:w="1897" w:type="dxa"/>
            <w:tcBorders>
              <w:top w:val="nil"/>
              <w:left w:val="single" w:color="auto" w:sz="4" w:space="0"/>
              <w:bottom w:val="nil"/>
              <w:right w:val="nil"/>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576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机动车、电子产品和日用产品修理业</w:t>
            </w:r>
          </w:p>
        </w:tc>
        <w:tc>
          <w:tcPr>
            <w:tcW w:w="2354" w:type="dxa"/>
            <w:tcBorders>
              <w:top w:val="nil"/>
              <w:left w:val="single" w:color="auto" w:sz="4" w:space="0"/>
              <w:bottom w:val="nil"/>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389</w:t>
            </w:r>
          </w:p>
        </w:tc>
        <w:tc>
          <w:tcPr>
            <w:tcW w:w="1897" w:type="dxa"/>
            <w:tcBorders>
              <w:top w:val="nil"/>
              <w:left w:val="single" w:color="auto" w:sz="4" w:space="0"/>
              <w:bottom w:val="nil"/>
              <w:right w:val="nil"/>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1520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single" w:color="auto" w:sz="12" w:space="0"/>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其他服务业</w:t>
            </w:r>
          </w:p>
        </w:tc>
        <w:tc>
          <w:tcPr>
            <w:tcW w:w="2354" w:type="dxa"/>
            <w:tcBorders>
              <w:top w:val="nil"/>
              <w:left w:val="single" w:color="auto" w:sz="4" w:space="0"/>
              <w:bottom w:val="single" w:color="auto" w:sz="12" w:space="0"/>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50</w:t>
            </w:r>
          </w:p>
        </w:tc>
        <w:tc>
          <w:tcPr>
            <w:tcW w:w="1897" w:type="dxa"/>
            <w:tcBorders>
              <w:top w:val="nil"/>
              <w:left w:val="single" w:color="auto" w:sz="4" w:space="0"/>
              <w:bottom w:val="single" w:color="auto" w:sz="12" w:space="0"/>
              <w:right w:val="nil"/>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989</w:t>
            </w:r>
          </w:p>
        </w:tc>
      </w:tr>
    </w:tbl>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outlineLvl w:val="2"/>
        <w:rPr>
          <w:rFonts w:hint="default" w:ascii="Times New Roman" w:hAnsi="Times New Roman" w:eastAsia="方正楷体_GB2312" w:cs="Times New Roman"/>
          <w:color w:val="auto"/>
          <w:kern w:val="0"/>
          <w:sz w:val="32"/>
          <w:szCs w:val="32"/>
          <w:highlight w:val="none"/>
        </w:rPr>
      </w:pPr>
      <w:r>
        <w:rPr>
          <w:rFonts w:hint="default" w:ascii="Times New Roman" w:hAnsi="Times New Roman" w:eastAsia="方正楷体_GB2312" w:cs="Times New Roman"/>
          <w:color w:val="auto"/>
          <w:kern w:val="0"/>
          <w:sz w:val="32"/>
          <w:szCs w:val="32"/>
          <w:highlight w:val="none"/>
        </w:rPr>
        <w:t>（二）主要经济指标</w:t>
      </w:r>
    </w:p>
    <w:p>
      <w:pPr>
        <w:pStyle w:val="4"/>
        <w:spacing w:line="600" w:lineRule="exact"/>
        <w:ind w:firstLine="616"/>
        <w:rPr>
          <w:rFonts w:hint="default" w:ascii="Times New Roman" w:hAnsi="Times New Roman" w:eastAsia="宋体" w:cs="Times New Roman"/>
          <w:b/>
          <w:color w:val="auto"/>
          <w:kern w:val="0"/>
          <w:sz w:val="24"/>
          <w:szCs w:val="24"/>
          <w:highlight w:val="none"/>
        </w:rPr>
      </w:pPr>
      <w:r>
        <w:rPr>
          <w:rFonts w:hint="default" w:ascii="Times New Roman" w:hAnsi="Times New Roman" w:cs="Times New Roman"/>
          <w:color w:val="auto"/>
          <w:spacing w:val="-6"/>
          <w:sz w:val="32"/>
          <w:szCs w:val="32"/>
          <w:highlight w:val="none"/>
        </w:rPr>
        <w:t>2023年末，居民服务、修理和其他服务业企业法人单位资产总计</w:t>
      </w:r>
      <w:r>
        <w:rPr>
          <w:rFonts w:hint="default" w:ascii="Times New Roman" w:hAnsi="Times New Roman" w:cs="Times New Roman"/>
          <w:color w:val="auto"/>
          <w:sz w:val="32"/>
          <w:szCs w:val="32"/>
          <w:highlight w:val="none"/>
        </w:rPr>
        <w:t>168400.30万</w:t>
      </w:r>
      <w:r>
        <w:rPr>
          <w:rFonts w:hint="default" w:ascii="Times New Roman" w:hAnsi="Times New Roman" w:cs="Times New Roman"/>
          <w:color w:val="auto"/>
          <w:spacing w:val="-6"/>
          <w:sz w:val="32"/>
          <w:szCs w:val="32"/>
          <w:highlight w:val="none"/>
        </w:rPr>
        <w:t>元，比2018年末增长</w:t>
      </w:r>
      <w:r>
        <w:rPr>
          <w:rFonts w:hint="default" w:ascii="Times New Roman" w:hAnsi="Times New Roman" w:cs="Times New Roman"/>
          <w:color w:val="auto"/>
          <w:sz w:val="32"/>
          <w:szCs w:val="32"/>
          <w:highlight w:val="none"/>
        </w:rPr>
        <w:t>404.4</w:t>
      </w:r>
      <w:r>
        <w:rPr>
          <w:rFonts w:hint="default" w:ascii="Times New Roman" w:hAnsi="Times New Roman" w:cs="Times New Roman"/>
          <w:color w:val="auto"/>
          <w:spacing w:val="-6"/>
          <w:sz w:val="32"/>
          <w:szCs w:val="32"/>
          <w:highlight w:val="none"/>
        </w:rPr>
        <w:t>%；负债合计</w:t>
      </w:r>
      <w:r>
        <w:rPr>
          <w:rFonts w:hint="default" w:ascii="Times New Roman" w:hAnsi="Times New Roman" w:cs="Times New Roman"/>
          <w:color w:val="auto"/>
          <w:sz w:val="32"/>
          <w:szCs w:val="32"/>
          <w:highlight w:val="none"/>
        </w:rPr>
        <w:t>107331.39万</w:t>
      </w:r>
      <w:r>
        <w:rPr>
          <w:rFonts w:hint="default" w:ascii="Times New Roman" w:hAnsi="Times New Roman" w:cs="Times New Roman"/>
          <w:color w:val="auto"/>
          <w:spacing w:val="-6"/>
          <w:sz w:val="32"/>
          <w:szCs w:val="32"/>
          <w:highlight w:val="none"/>
        </w:rPr>
        <w:t>元，比2018年末增长</w:t>
      </w:r>
      <w:r>
        <w:rPr>
          <w:rFonts w:hint="default" w:ascii="Times New Roman" w:hAnsi="Times New Roman" w:cs="Times New Roman"/>
          <w:color w:val="auto"/>
          <w:sz w:val="32"/>
          <w:szCs w:val="32"/>
          <w:highlight w:val="none"/>
        </w:rPr>
        <w:t>341.6</w:t>
      </w:r>
      <w:r>
        <w:rPr>
          <w:rFonts w:hint="default" w:ascii="Times New Roman" w:hAnsi="Times New Roman" w:cs="Times New Roman"/>
          <w:color w:val="auto"/>
          <w:spacing w:val="-6"/>
          <w:sz w:val="32"/>
          <w:szCs w:val="32"/>
          <w:highlight w:val="none"/>
        </w:rPr>
        <w:t>%。全年实现营业收入</w:t>
      </w:r>
      <w:r>
        <w:rPr>
          <w:rFonts w:hint="default" w:ascii="Times New Roman" w:hAnsi="Times New Roman" w:cs="Times New Roman"/>
          <w:color w:val="auto"/>
          <w:sz w:val="32"/>
          <w:szCs w:val="32"/>
          <w:highlight w:val="none"/>
        </w:rPr>
        <w:t>76549.07万</w:t>
      </w:r>
      <w:r>
        <w:rPr>
          <w:rFonts w:hint="default" w:ascii="Times New Roman" w:hAnsi="Times New Roman" w:cs="Times New Roman"/>
          <w:color w:val="auto"/>
          <w:spacing w:val="-6"/>
          <w:sz w:val="32"/>
          <w:szCs w:val="32"/>
          <w:highlight w:val="none"/>
        </w:rPr>
        <w:t>元，比2018年增长</w:t>
      </w:r>
      <w:r>
        <w:rPr>
          <w:rFonts w:hint="default" w:ascii="Times New Roman" w:hAnsi="Times New Roman" w:cs="Times New Roman"/>
          <w:color w:val="auto"/>
          <w:sz w:val="32"/>
          <w:szCs w:val="32"/>
          <w:highlight w:val="none"/>
        </w:rPr>
        <w:t>286.7</w:t>
      </w:r>
      <w:r>
        <w:rPr>
          <w:rFonts w:hint="default" w:ascii="Times New Roman" w:hAnsi="Times New Roman" w:cs="Times New Roman"/>
          <w:color w:val="auto"/>
          <w:spacing w:val="-6"/>
          <w:sz w:val="32"/>
          <w:szCs w:val="32"/>
          <w:highlight w:val="none"/>
        </w:rPr>
        <w:t>%（详见表5-</w:t>
      </w:r>
      <w:r>
        <w:rPr>
          <w:rFonts w:hint="default" w:ascii="Times New Roman" w:hAnsi="Times New Roman" w:cs="Times New Roman"/>
          <w:color w:val="auto"/>
          <w:spacing w:val="-6"/>
          <w:sz w:val="32"/>
          <w:szCs w:val="32"/>
          <w:highlight w:val="none"/>
          <w:lang w:val="en-US" w:eastAsia="zh-CN"/>
        </w:rPr>
        <w:t>4</w:t>
      </w:r>
      <w:r>
        <w:rPr>
          <w:rFonts w:hint="default" w:ascii="Times New Roman" w:hAnsi="Times New Roman" w:cs="Times New Roman"/>
          <w:color w:val="auto"/>
          <w:spacing w:val="-6"/>
          <w:sz w:val="32"/>
          <w:szCs w:val="32"/>
          <w:highlight w:val="none"/>
        </w:rPr>
        <w:t>）。</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表5-</w:t>
      </w:r>
      <w:r>
        <w:rPr>
          <w:rFonts w:hint="default" w:ascii="Times New Roman" w:hAnsi="Times New Roman" w:eastAsia="宋体" w:cs="Times New Roman"/>
          <w:b/>
          <w:color w:val="auto"/>
          <w:kern w:val="0"/>
          <w:sz w:val="24"/>
          <w:szCs w:val="24"/>
          <w:highlight w:val="none"/>
          <w:lang w:val="en-US" w:eastAsia="zh-CN"/>
        </w:rPr>
        <w:t>4</w:t>
      </w:r>
      <w:r>
        <w:rPr>
          <w:rFonts w:hint="default" w:ascii="Times New Roman" w:hAnsi="Times New Roman" w:eastAsia="宋体" w:cs="Times New Roman"/>
          <w:b/>
          <w:color w:val="auto"/>
          <w:kern w:val="0"/>
          <w:sz w:val="24"/>
          <w:szCs w:val="24"/>
          <w:highlight w:val="none"/>
        </w:rPr>
        <w:t>　按行业大类分组的居民服务、修理和其他服务业</w:t>
      </w:r>
    </w:p>
    <w:p>
      <w:pPr>
        <w:keepNext w:val="0"/>
        <w:keepLines w:val="0"/>
        <w:pageBreakBefore w:val="0"/>
        <w:widowControl/>
        <w:kinsoku/>
        <w:wordWrap/>
        <w:overflowPunct/>
        <w:topLinePunct w:val="0"/>
        <w:autoSpaceDE/>
        <w:autoSpaceDN/>
        <w:bidi w:val="0"/>
        <w:adjustRightInd/>
        <w:snapToGrid/>
        <w:spacing w:before="95" w:beforeLines="30" w:after="95" w:afterLines="30" w:line="32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04"/>
        <w:gridCol w:w="1503"/>
        <w:gridCol w:w="1503"/>
        <w:gridCol w:w="13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389" w:type="pct"/>
            <w:tcBorders>
              <w:top w:val="single" w:color="auto" w:sz="12" w:space="0"/>
              <w:left w:val="nil"/>
              <w:bottom w:val="single" w:color="auto" w:sz="4" w:space="0"/>
              <w:right w:val="single" w:color="auto" w:sz="4" w:space="0"/>
            </w:tcBorders>
            <w:vAlign w:val="center"/>
          </w:tcPr>
          <w:p>
            <w:pPr>
              <w:widowControl/>
              <w:spacing w:line="320" w:lineRule="exact"/>
              <w:ind w:left="57" w:right="57" w:firstLine="50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w:t>
            </w:r>
          </w:p>
        </w:tc>
        <w:tc>
          <w:tcPr>
            <w:tcW w:w="854"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资产总计</w:t>
            </w:r>
          </w:p>
          <w:p>
            <w:pPr>
              <w:widowControl/>
              <w:spacing w:line="320" w:lineRule="exact"/>
              <w:ind w:left="57" w:right="57" w:firstLine="0" w:firstLineChars="0"/>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b/>
                <w:bCs/>
                <w:color w:val="auto"/>
                <w:kern w:val="0"/>
                <w:sz w:val="21"/>
                <w:szCs w:val="21"/>
                <w:highlight w:val="none"/>
              </w:rPr>
              <w:t>（万元）</w:t>
            </w:r>
          </w:p>
        </w:tc>
        <w:tc>
          <w:tcPr>
            <w:tcW w:w="915"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负债合计</w:t>
            </w:r>
          </w:p>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（万元）</w:t>
            </w:r>
          </w:p>
        </w:tc>
        <w:tc>
          <w:tcPr>
            <w:tcW w:w="842" w:type="pct"/>
            <w:tcBorders>
              <w:top w:val="single" w:color="auto" w:sz="12" w:space="0"/>
              <w:left w:val="single" w:color="auto" w:sz="4" w:space="0"/>
              <w:bottom w:val="single" w:color="auto" w:sz="4" w:space="0"/>
              <w:right w:val="nil"/>
            </w:tcBorders>
            <w:vAlign w:val="center"/>
          </w:tcPr>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营业收入</w:t>
            </w:r>
          </w:p>
          <w:p>
            <w:pPr>
              <w:widowControl/>
              <w:spacing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89" w:type="pct"/>
            <w:tcBorders>
              <w:top w:val="single" w:color="auto" w:sz="4" w:space="0"/>
              <w:left w:val="nil"/>
              <w:bottom w:val="nil"/>
              <w:right w:val="single" w:color="auto" w:sz="4" w:space="0"/>
            </w:tcBorders>
            <w:vAlign w:val="center"/>
          </w:tcPr>
          <w:p>
            <w:pPr>
              <w:widowControl/>
              <w:spacing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rPr>
              <w:t>合　计</w:t>
            </w:r>
          </w:p>
        </w:tc>
        <w:tc>
          <w:tcPr>
            <w:tcW w:w="854" w:type="pct"/>
            <w:tcBorders>
              <w:top w:val="single" w:color="auto" w:sz="4" w:space="0"/>
              <w:left w:val="single" w:color="auto" w:sz="4" w:space="0"/>
              <w:bottom w:val="nil"/>
              <w:right w:val="single" w:color="auto" w:sz="4" w:space="0"/>
            </w:tcBorders>
            <w:vAlign w:val="center"/>
          </w:tcPr>
          <w:p>
            <w:pPr>
              <w:widowControl/>
              <w:spacing w:line="240" w:lineRule="auto"/>
              <w:ind w:firstLine="422"/>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 xml:space="preserve">168400.30 </w:t>
            </w:r>
          </w:p>
        </w:tc>
        <w:tc>
          <w:tcPr>
            <w:tcW w:w="915" w:type="pct"/>
            <w:tcBorders>
              <w:top w:val="single" w:color="auto" w:sz="4" w:space="0"/>
              <w:left w:val="single" w:color="auto" w:sz="4" w:space="0"/>
              <w:bottom w:val="nil"/>
              <w:right w:val="single" w:color="auto" w:sz="4" w:space="0"/>
            </w:tcBorders>
            <w:vAlign w:val="center"/>
          </w:tcPr>
          <w:p>
            <w:pPr>
              <w:widowControl/>
              <w:spacing w:line="240" w:lineRule="auto"/>
              <w:ind w:firstLine="422"/>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 xml:space="preserve">107331.39 </w:t>
            </w:r>
          </w:p>
        </w:tc>
        <w:tc>
          <w:tcPr>
            <w:tcW w:w="842" w:type="pct"/>
            <w:tcBorders>
              <w:top w:val="single" w:color="auto" w:sz="4" w:space="0"/>
              <w:left w:val="single" w:color="auto" w:sz="4" w:space="0"/>
              <w:bottom w:val="nil"/>
              <w:right w:val="nil"/>
            </w:tcBorders>
            <w:vAlign w:val="center"/>
          </w:tcPr>
          <w:p>
            <w:pPr>
              <w:widowControl/>
              <w:spacing w:line="240" w:lineRule="auto"/>
              <w:ind w:firstLine="422"/>
              <w:jc w:val="righ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 xml:space="preserve">76549.07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89" w:type="pct"/>
            <w:tcBorders>
              <w:top w:val="nil"/>
              <w:left w:val="nil"/>
              <w:bottom w:val="nil"/>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居民服务业</w:t>
            </w:r>
          </w:p>
        </w:tc>
        <w:tc>
          <w:tcPr>
            <w:tcW w:w="854" w:type="pct"/>
            <w:tcBorders>
              <w:top w:val="nil"/>
              <w:left w:val="single" w:color="auto" w:sz="4" w:space="0"/>
              <w:bottom w:val="nil"/>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xml:space="preserve">20270.05 </w:t>
            </w:r>
          </w:p>
        </w:tc>
        <w:tc>
          <w:tcPr>
            <w:tcW w:w="915" w:type="pct"/>
            <w:tcBorders>
              <w:top w:val="nil"/>
              <w:left w:val="single" w:color="auto" w:sz="4" w:space="0"/>
              <w:bottom w:val="nil"/>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xml:space="preserve">20325.04 </w:t>
            </w:r>
          </w:p>
        </w:tc>
        <w:tc>
          <w:tcPr>
            <w:tcW w:w="842" w:type="pct"/>
            <w:tcBorders>
              <w:top w:val="nil"/>
              <w:left w:val="single" w:color="auto" w:sz="4" w:space="0"/>
              <w:bottom w:val="nil"/>
              <w:right w:val="nil"/>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xml:space="preserve">8402.41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89" w:type="pct"/>
            <w:tcBorders>
              <w:top w:val="nil"/>
              <w:left w:val="nil"/>
              <w:bottom w:val="nil"/>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机动车、电子产品和日用产品修理业</w:t>
            </w:r>
          </w:p>
        </w:tc>
        <w:tc>
          <w:tcPr>
            <w:tcW w:w="854" w:type="pct"/>
            <w:tcBorders>
              <w:top w:val="nil"/>
              <w:left w:val="single" w:color="auto" w:sz="4" w:space="0"/>
              <w:bottom w:val="nil"/>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xml:space="preserve">133273.26 </w:t>
            </w:r>
          </w:p>
        </w:tc>
        <w:tc>
          <w:tcPr>
            <w:tcW w:w="915" w:type="pct"/>
            <w:tcBorders>
              <w:top w:val="nil"/>
              <w:left w:val="single" w:color="auto" w:sz="4" w:space="0"/>
              <w:bottom w:val="nil"/>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xml:space="preserve">74003.42 </w:t>
            </w:r>
          </w:p>
        </w:tc>
        <w:tc>
          <w:tcPr>
            <w:tcW w:w="842" w:type="pct"/>
            <w:tcBorders>
              <w:top w:val="nil"/>
              <w:left w:val="single" w:color="auto" w:sz="4" w:space="0"/>
              <w:bottom w:val="nil"/>
              <w:right w:val="nil"/>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xml:space="preserve">53750.68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89" w:type="pct"/>
            <w:tcBorders>
              <w:top w:val="nil"/>
              <w:left w:val="nil"/>
              <w:bottom w:val="single" w:color="auto" w:sz="12" w:space="0"/>
              <w:right w:val="single" w:color="auto" w:sz="4" w:space="0"/>
            </w:tcBorders>
            <w:vAlign w:val="center"/>
          </w:tcPr>
          <w:p>
            <w:pPr>
              <w:widowControl/>
              <w:spacing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其他服务业</w:t>
            </w:r>
          </w:p>
        </w:tc>
        <w:tc>
          <w:tcPr>
            <w:tcW w:w="854" w:type="pct"/>
            <w:tcBorders>
              <w:top w:val="nil"/>
              <w:left w:val="single" w:color="auto" w:sz="4" w:space="0"/>
              <w:bottom w:val="single" w:color="auto" w:sz="12" w:space="0"/>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xml:space="preserve">14856.99 </w:t>
            </w:r>
          </w:p>
        </w:tc>
        <w:tc>
          <w:tcPr>
            <w:tcW w:w="915" w:type="pct"/>
            <w:tcBorders>
              <w:top w:val="nil"/>
              <w:left w:val="single" w:color="auto" w:sz="4" w:space="0"/>
              <w:bottom w:val="single" w:color="auto" w:sz="12" w:space="0"/>
              <w:right w:val="single" w:color="auto" w:sz="4" w:space="0"/>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xml:space="preserve">13002.93 </w:t>
            </w:r>
          </w:p>
        </w:tc>
        <w:tc>
          <w:tcPr>
            <w:tcW w:w="842" w:type="pct"/>
            <w:tcBorders>
              <w:top w:val="nil"/>
              <w:left w:val="single" w:color="auto" w:sz="4" w:space="0"/>
              <w:bottom w:val="single" w:color="auto" w:sz="12" w:space="0"/>
              <w:right w:val="nil"/>
            </w:tcBorders>
            <w:vAlign w:val="center"/>
          </w:tcPr>
          <w:p>
            <w:pPr>
              <w:widowControl/>
              <w:spacing w:line="240" w:lineRule="auto"/>
              <w:ind w:firstLine="42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xml:space="preserve">14395.98 </w:t>
            </w:r>
          </w:p>
        </w:tc>
      </w:tr>
    </w:tbl>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default" w:ascii="Times New Roman" w:hAnsi="Times New Roman" w:cs="Times New Roman"/>
          <w:color w:val="auto"/>
          <w:sz w:val="32"/>
          <w:szCs w:val="32"/>
          <w:highlight w:val="none"/>
        </w:rPr>
      </w:pPr>
      <w:r>
        <w:rPr>
          <w:rFonts w:hint="default" w:ascii="Times New Roman" w:hAnsi="Times New Roman" w:eastAsia="黑体" w:cs="Times New Roman"/>
          <w:bCs/>
          <w:color w:val="auto"/>
          <w:kern w:val="0"/>
          <w:sz w:val="32"/>
          <w:szCs w:val="32"/>
          <w:highlight w:val="none"/>
        </w:rPr>
        <w:t>四、教育</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2"/>
        <w:rPr>
          <w:rFonts w:hint="default" w:ascii="Times New Roman" w:hAnsi="Times New Roman" w:eastAsia="方正楷体_GB2312" w:cs="Times New Roman"/>
          <w:color w:val="auto"/>
          <w:kern w:val="0"/>
          <w:sz w:val="32"/>
          <w:szCs w:val="32"/>
          <w:highlight w:val="none"/>
        </w:rPr>
      </w:pPr>
      <w:r>
        <w:rPr>
          <w:rFonts w:hint="default" w:ascii="Times New Roman" w:hAnsi="Times New Roman" w:eastAsia="方正楷体_GB2312" w:cs="Times New Roman"/>
          <w:color w:val="auto"/>
          <w:kern w:val="0"/>
          <w:sz w:val="32"/>
          <w:szCs w:val="32"/>
          <w:highlight w:val="none"/>
        </w:rPr>
        <w:t>（一）法人单位数和从业人员</w:t>
      </w:r>
    </w:p>
    <w:p>
      <w:pPr>
        <w:pStyle w:val="4"/>
        <w:snapToGrid w:val="0"/>
        <w:spacing w:line="600" w:lineRule="exact"/>
        <w:ind w:firstLine="616"/>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2023年末，全市共有教育法人单位</w:t>
      </w:r>
      <w:r>
        <w:rPr>
          <w:rFonts w:hint="default" w:ascii="Times New Roman" w:hAnsi="Times New Roman" w:cs="Times New Roman"/>
          <w:color w:val="auto"/>
          <w:sz w:val="32"/>
          <w:szCs w:val="32"/>
          <w:highlight w:val="none"/>
        </w:rPr>
        <w:t>394</w:t>
      </w:r>
      <w:r>
        <w:rPr>
          <w:rFonts w:hint="default" w:ascii="Times New Roman" w:hAnsi="Times New Roman" w:cs="Times New Roman"/>
          <w:color w:val="auto"/>
          <w:spacing w:val="-6"/>
          <w:sz w:val="32"/>
          <w:szCs w:val="32"/>
          <w:highlight w:val="none"/>
        </w:rPr>
        <w:t>个，从业人员</w:t>
      </w:r>
      <w:r>
        <w:rPr>
          <w:rFonts w:hint="default" w:ascii="Times New Roman" w:hAnsi="Times New Roman" w:cs="Times New Roman"/>
          <w:color w:val="auto"/>
          <w:sz w:val="32"/>
          <w:szCs w:val="32"/>
          <w:highlight w:val="none"/>
          <w:lang w:val="en-US" w:eastAsia="zh-CN"/>
        </w:rPr>
        <w:t>16978</w:t>
      </w:r>
      <w:r>
        <w:rPr>
          <w:rFonts w:hint="default" w:ascii="Times New Roman" w:hAnsi="Times New Roman" w:cs="Times New Roman"/>
          <w:color w:val="auto"/>
          <w:spacing w:val="-6"/>
          <w:sz w:val="32"/>
          <w:szCs w:val="32"/>
          <w:highlight w:val="none"/>
        </w:rPr>
        <w:t>人，分别比2018年末增长</w:t>
      </w:r>
      <w:r>
        <w:rPr>
          <w:rFonts w:hint="default" w:ascii="Times New Roman" w:hAnsi="Times New Roman" w:cs="Times New Roman"/>
          <w:color w:val="auto"/>
          <w:sz w:val="32"/>
          <w:szCs w:val="32"/>
          <w:highlight w:val="none"/>
        </w:rPr>
        <w:t>40.2</w:t>
      </w:r>
      <w:r>
        <w:rPr>
          <w:rFonts w:hint="default" w:ascii="Times New Roman" w:hAnsi="Times New Roman" w:cs="Times New Roman"/>
          <w:color w:val="auto"/>
          <w:spacing w:val="-6"/>
          <w:sz w:val="32"/>
          <w:szCs w:val="32"/>
          <w:highlight w:val="none"/>
        </w:rPr>
        <w:t>%和</w:t>
      </w:r>
      <w:r>
        <w:rPr>
          <w:rFonts w:hint="default" w:ascii="Times New Roman" w:hAnsi="Times New Roman" w:cs="Times New Roman"/>
          <w:color w:val="auto"/>
          <w:sz w:val="32"/>
          <w:szCs w:val="32"/>
          <w:highlight w:val="none"/>
        </w:rPr>
        <w:t>43.</w:t>
      </w:r>
      <w:r>
        <w:rPr>
          <w:rFonts w:hint="default" w:ascii="Times New Roman" w:hAnsi="Times New Roman" w:cs="Times New Roman"/>
          <w:color w:val="auto"/>
          <w:sz w:val="32"/>
          <w:szCs w:val="32"/>
          <w:highlight w:val="none"/>
          <w:lang w:val="en-US" w:eastAsia="zh-CN"/>
        </w:rPr>
        <w:t>5</w:t>
      </w:r>
      <w:r>
        <w:rPr>
          <w:rFonts w:hint="default" w:ascii="Times New Roman" w:hAnsi="Times New Roman" w:cs="Times New Roman"/>
          <w:color w:val="auto"/>
          <w:spacing w:val="-6"/>
          <w:sz w:val="32"/>
          <w:szCs w:val="32"/>
          <w:highlight w:val="none"/>
        </w:rPr>
        <w:t>%。其中，行政事业及非企业法人单位</w:t>
      </w:r>
      <w:r>
        <w:rPr>
          <w:rFonts w:hint="default" w:ascii="Times New Roman" w:hAnsi="Times New Roman" w:cs="Times New Roman"/>
          <w:color w:val="auto"/>
          <w:sz w:val="32"/>
          <w:szCs w:val="32"/>
          <w:highlight w:val="none"/>
        </w:rPr>
        <w:t>160</w:t>
      </w:r>
      <w:r>
        <w:rPr>
          <w:rFonts w:hint="default" w:ascii="Times New Roman" w:hAnsi="Times New Roman" w:cs="Times New Roman"/>
          <w:color w:val="auto"/>
          <w:spacing w:val="-6"/>
          <w:sz w:val="32"/>
          <w:szCs w:val="32"/>
          <w:highlight w:val="none"/>
        </w:rPr>
        <w:t>个，从业人员</w:t>
      </w:r>
      <w:r>
        <w:rPr>
          <w:rFonts w:hint="default" w:ascii="Times New Roman" w:hAnsi="Times New Roman" w:cs="Times New Roman"/>
          <w:color w:val="auto"/>
          <w:sz w:val="32"/>
          <w:szCs w:val="32"/>
          <w:highlight w:val="none"/>
        </w:rPr>
        <w:t>15375</w:t>
      </w:r>
      <w:r>
        <w:rPr>
          <w:rFonts w:hint="default" w:ascii="Times New Roman" w:hAnsi="Times New Roman" w:cs="Times New Roman"/>
          <w:color w:val="auto"/>
          <w:spacing w:val="-6"/>
          <w:sz w:val="32"/>
          <w:szCs w:val="32"/>
          <w:highlight w:val="none"/>
        </w:rPr>
        <w:t>人，分别比2018年末增长</w:t>
      </w:r>
      <w:r>
        <w:rPr>
          <w:rFonts w:hint="default" w:ascii="Times New Roman" w:hAnsi="Times New Roman" w:cs="Times New Roman"/>
          <w:color w:val="auto"/>
          <w:sz w:val="32"/>
          <w:szCs w:val="32"/>
          <w:highlight w:val="none"/>
        </w:rPr>
        <w:t>1.9</w:t>
      </w:r>
      <w:r>
        <w:rPr>
          <w:rFonts w:hint="default" w:ascii="Times New Roman" w:hAnsi="Times New Roman" w:cs="Times New Roman"/>
          <w:color w:val="auto"/>
          <w:spacing w:val="-6"/>
          <w:sz w:val="32"/>
          <w:szCs w:val="32"/>
          <w:highlight w:val="none"/>
        </w:rPr>
        <w:t>% 和</w:t>
      </w:r>
      <w:r>
        <w:rPr>
          <w:rFonts w:hint="default" w:ascii="Times New Roman" w:hAnsi="Times New Roman" w:cs="Times New Roman"/>
          <w:color w:val="auto"/>
          <w:sz w:val="32"/>
          <w:szCs w:val="32"/>
          <w:highlight w:val="none"/>
        </w:rPr>
        <w:t>36.7</w:t>
      </w:r>
      <w:r>
        <w:rPr>
          <w:rFonts w:hint="default" w:ascii="Times New Roman" w:hAnsi="Times New Roman" w:cs="Times New Roman"/>
          <w:color w:val="auto"/>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center"/>
        <w:outlineLvl w:val="2"/>
        <w:rPr>
          <w:rFonts w:hint="default" w:ascii="Times New Roman" w:hAnsi="Times New Roman" w:cs="Times New Roman"/>
          <w:color w:val="auto"/>
          <w:sz w:val="32"/>
          <w:szCs w:val="32"/>
          <w:highlight w:val="none"/>
        </w:rPr>
      </w:pPr>
      <w:r>
        <w:rPr>
          <w:rFonts w:hint="default" w:ascii="Times New Roman" w:hAnsi="Times New Roman" w:eastAsia="方正楷体_GB2312" w:cs="Times New Roman"/>
          <w:color w:val="auto"/>
          <w:spacing w:val="-6"/>
          <w:sz w:val="32"/>
          <w:szCs w:val="32"/>
          <w:highlight w:val="none"/>
        </w:rPr>
        <w:t>（二）主要经济指标</w:t>
      </w:r>
    </w:p>
    <w:p>
      <w:pPr>
        <w:pStyle w:val="4"/>
        <w:spacing w:line="600" w:lineRule="exact"/>
        <w:ind w:firstLine="0" w:firstLineChars="0"/>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 xml:space="preserve">    2023年末，教育企业法人单位资产总计</w:t>
      </w:r>
      <w:r>
        <w:rPr>
          <w:rFonts w:hint="default" w:ascii="Times New Roman" w:hAnsi="Times New Roman" w:cs="Times New Roman"/>
          <w:color w:val="auto"/>
          <w:sz w:val="32"/>
          <w:szCs w:val="32"/>
          <w:highlight w:val="none"/>
        </w:rPr>
        <w:t>35227.97万</w:t>
      </w:r>
      <w:r>
        <w:rPr>
          <w:rFonts w:hint="default" w:ascii="Times New Roman" w:hAnsi="Times New Roman" w:cs="Times New Roman"/>
          <w:color w:val="auto"/>
          <w:spacing w:val="-6"/>
          <w:sz w:val="32"/>
          <w:szCs w:val="32"/>
          <w:highlight w:val="none"/>
        </w:rPr>
        <w:t>元，比2018年末</w:t>
      </w:r>
      <w:r>
        <w:rPr>
          <w:rFonts w:hint="eastAsia" w:cs="Times New Roman"/>
          <w:color w:val="auto"/>
          <w:spacing w:val="-6"/>
          <w:sz w:val="32"/>
          <w:szCs w:val="32"/>
          <w:highlight w:val="none"/>
          <w:lang w:val="en-US" w:eastAsia="zh-CN"/>
        </w:rPr>
        <w:t>增长151.5</w:t>
      </w:r>
      <w:r>
        <w:rPr>
          <w:rFonts w:hint="default" w:ascii="Times New Roman" w:hAnsi="Times New Roman" w:cs="Times New Roman"/>
          <w:color w:val="auto"/>
          <w:spacing w:val="-6"/>
          <w:sz w:val="32"/>
          <w:szCs w:val="32"/>
          <w:highlight w:val="none"/>
        </w:rPr>
        <w:t>%；负债合计</w:t>
      </w:r>
      <w:r>
        <w:rPr>
          <w:rFonts w:hint="default" w:ascii="Times New Roman" w:hAnsi="Times New Roman" w:cs="Times New Roman"/>
          <w:color w:val="auto"/>
          <w:sz w:val="32"/>
          <w:szCs w:val="32"/>
          <w:highlight w:val="none"/>
        </w:rPr>
        <w:t>26704.05万</w:t>
      </w:r>
      <w:r>
        <w:rPr>
          <w:rFonts w:hint="default" w:ascii="Times New Roman" w:hAnsi="Times New Roman" w:cs="Times New Roman"/>
          <w:color w:val="auto"/>
          <w:spacing w:val="-6"/>
          <w:sz w:val="32"/>
          <w:szCs w:val="32"/>
          <w:highlight w:val="none"/>
        </w:rPr>
        <w:t>元，比2018年末</w:t>
      </w:r>
      <w:r>
        <w:rPr>
          <w:rFonts w:hint="eastAsia" w:cs="Times New Roman"/>
          <w:color w:val="auto"/>
          <w:spacing w:val="-6"/>
          <w:sz w:val="32"/>
          <w:szCs w:val="32"/>
          <w:highlight w:val="none"/>
          <w:lang w:val="en-US" w:eastAsia="zh-CN"/>
        </w:rPr>
        <w:t>增长136.2</w:t>
      </w:r>
      <w:r>
        <w:rPr>
          <w:rFonts w:hint="default" w:ascii="Times New Roman" w:hAnsi="Times New Roman" w:cs="Times New Roman"/>
          <w:color w:val="auto"/>
          <w:spacing w:val="-6"/>
          <w:sz w:val="32"/>
          <w:szCs w:val="32"/>
          <w:highlight w:val="none"/>
        </w:rPr>
        <w:t>%。全年实现营业收入</w:t>
      </w:r>
      <w:r>
        <w:rPr>
          <w:rFonts w:hint="default" w:ascii="Times New Roman" w:hAnsi="Times New Roman" w:cs="Times New Roman"/>
          <w:color w:val="auto"/>
          <w:sz w:val="32"/>
          <w:szCs w:val="32"/>
          <w:highlight w:val="none"/>
        </w:rPr>
        <w:t>18106.89万</w:t>
      </w:r>
      <w:r>
        <w:rPr>
          <w:rFonts w:hint="default" w:ascii="Times New Roman" w:hAnsi="Times New Roman" w:cs="Times New Roman"/>
          <w:color w:val="auto"/>
          <w:spacing w:val="-6"/>
          <w:sz w:val="32"/>
          <w:szCs w:val="32"/>
          <w:highlight w:val="none"/>
        </w:rPr>
        <w:t>元，比2018年增长</w:t>
      </w:r>
      <w:r>
        <w:rPr>
          <w:rFonts w:hint="default" w:ascii="Times New Roman" w:hAnsi="Times New Roman" w:cs="Times New Roman"/>
          <w:color w:val="auto"/>
          <w:sz w:val="32"/>
          <w:szCs w:val="32"/>
          <w:highlight w:val="none"/>
        </w:rPr>
        <w:t>270.3</w:t>
      </w:r>
      <w:r>
        <w:rPr>
          <w:rFonts w:hint="default" w:ascii="Times New Roman" w:hAnsi="Times New Roman" w:cs="Times New Roman"/>
          <w:color w:val="auto"/>
          <w:spacing w:val="-6"/>
          <w:sz w:val="32"/>
          <w:szCs w:val="32"/>
          <w:highlight w:val="none"/>
        </w:rPr>
        <w:t>%。</w:t>
      </w:r>
    </w:p>
    <w:p>
      <w:pPr>
        <w:pStyle w:val="4"/>
        <w:spacing w:line="600" w:lineRule="exact"/>
        <w:ind w:firstLine="616"/>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行政事业及非企业法人单位年末资产</w:t>
      </w:r>
      <w:r>
        <w:rPr>
          <w:rFonts w:hint="default" w:ascii="Times New Roman" w:hAnsi="Times New Roman" w:cs="Times New Roman"/>
          <w:color w:val="auto"/>
          <w:sz w:val="32"/>
          <w:szCs w:val="32"/>
          <w:highlight w:val="none"/>
        </w:rPr>
        <w:t>395814.3万</w:t>
      </w:r>
      <w:r>
        <w:rPr>
          <w:rFonts w:hint="default" w:ascii="Times New Roman" w:hAnsi="Times New Roman" w:cs="Times New Roman"/>
          <w:color w:val="auto"/>
          <w:spacing w:val="-6"/>
          <w:sz w:val="32"/>
          <w:szCs w:val="32"/>
          <w:highlight w:val="none"/>
        </w:rPr>
        <w:t>元，比2018年末增长</w:t>
      </w:r>
      <w:r>
        <w:rPr>
          <w:rFonts w:hint="default" w:ascii="Times New Roman" w:hAnsi="Times New Roman" w:cs="Times New Roman"/>
          <w:color w:val="auto"/>
          <w:sz w:val="32"/>
          <w:szCs w:val="32"/>
          <w:highlight w:val="none"/>
        </w:rPr>
        <w:t>36.4</w:t>
      </w:r>
      <w:r>
        <w:rPr>
          <w:rFonts w:hint="default" w:ascii="Times New Roman" w:hAnsi="Times New Roman" w:cs="Times New Roman"/>
          <w:color w:val="auto"/>
          <w:spacing w:val="-6"/>
          <w:sz w:val="32"/>
          <w:szCs w:val="32"/>
          <w:highlight w:val="none"/>
        </w:rPr>
        <w:t>%。本年支出（费用）合计</w:t>
      </w:r>
      <w:r>
        <w:rPr>
          <w:rFonts w:hint="default" w:ascii="Times New Roman" w:hAnsi="Times New Roman" w:cs="Times New Roman"/>
          <w:color w:val="auto"/>
          <w:sz w:val="32"/>
          <w:szCs w:val="32"/>
          <w:highlight w:val="none"/>
        </w:rPr>
        <w:t>297121.4万</w:t>
      </w:r>
      <w:r>
        <w:rPr>
          <w:rFonts w:hint="default" w:ascii="Times New Roman" w:hAnsi="Times New Roman" w:cs="Times New Roman"/>
          <w:color w:val="auto"/>
          <w:spacing w:val="-6"/>
          <w:sz w:val="32"/>
          <w:szCs w:val="32"/>
          <w:highlight w:val="none"/>
        </w:rPr>
        <w:t>元，比2018年增长</w:t>
      </w:r>
      <w:r>
        <w:rPr>
          <w:rFonts w:hint="default" w:ascii="Times New Roman" w:hAnsi="Times New Roman" w:cs="Times New Roman"/>
          <w:color w:val="auto"/>
          <w:sz w:val="32"/>
          <w:szCs w:val="32"/>
          <w:highlight w:val="none"/>
        </w:rPr>
        <w:t>88.4</w:t>
      </w:r>
      <w:r>
        <w:rPr>
          <w:rFonts w:hint="default" w:ascii="Times New Roman" w:hAnsi="Times New Roman" w:cs="Times New Roman"/>
          <w:color w:val="auto"/>
          <w:spacing w:val="-6"/>
          <w:sz w:val="32"/>
          <w:szCs w:val="32"/>
          <w:highlight w:val="none"/>
        </w:rPr>
        <w:t>%。</w:t>
      </w:r>
    </w:p>
    <w:p>
      <w:pPr>
        <w:widowControl/>
        <w:spacing w:line="600" w:lineRule="exact"/>
        <w:ind w:firstLine="640"/>
        <w:jc w:val="left"/>
        <w:textAlignment w:val="auto"/>
        <w:outlineLvl w:val="1"/>
        <w:rPr>
          <w:rFonts w:hint="default" w:ascii="Times New Roman" w:hAnsi="Times New Roman" w:cs="Times New Roman"/>
          <w:color w:val="auto"/>
          <w:sz w:val="32"/>
          <w:szCs w:val="32"/>
          <w:highlight w:val="none"/>
        </w:rPr>
      </w:pPr>
      <w:r>
        <w:rPr>
          <w:rFonts w:hint="default" w:ascii="Times New Roman" w:hAnsi="Times New Roman" w:eastAsia="黑体" w:cs="Times New Roman"/>
          <w:bCs/>
          <w:color w:val="auto"/>
          <w:kern w:val="0"/>
          <w:sz w:val="32"/>
          <w:szCs w:val="32"/>
          <w:highlight w:val="none"/>
        </w:rPr>
        <w:t>五、卫生和社会工作</w:t>
      </w:r>
    </w:p>
    <w:p>
      <w:pPr>
        <w:widowControl/>
        <w:spacing w:line="600" w:lineRule="exact"/>
        <w:ind w:firstLine="640"/>
        <w:jc w:val="left"/>
        <w:textAlignment w:val="auto"/>
        <w:outlineLvl w:val="2"/>
        <w:rPr>
          <w:rFonts w:hint="default" w:ascii="Times New Roman" w:hAnsi="Times New Roman" w:eastAsia="方正楷体_GB2312" w:cs="Times New Roman"/>
          <w:color w:val="auto"/>
          <w:kern w:val="0"/>
          <w:sz w:val="32"/>
          <w:szCs w:val="32"/>
          <w:highlight w:val="none"/>
        </w:rPr>
      </w:pPr>
      <w:r>
        <w:rPr>
          <w:rFonts w:hint="default" w:ascii="Times New Roman" w:hAnsi="Times New Roman" w:eastAsia="方正楷体_GB2312" w:cs="Times New Roman"/>
          <w:color w:val="auto"/>
          <w:kern w:val="0"/>
          <w:sz w:val="32"/>
          <w:szCs w:val="32"/>
          <w:highlight w:val="none"/>
        </w:rPr>
        <w:t>（一）法人单位数和从业人员</w:t>
      </w:r>
    </w:p>
    <w:p>
      <w:pPr>
        <w:pStyle w:val="4"/>
        <w:spacing w:line="600" w:lineRule="exact"/>
        <w:ind w:firstLine="616"/>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2023年末，全市共有卫生和社会工作法人单位</w:t>
      </w:r>
      <w:r>
        <w:rPr>
          <w:rFonts w:hint="default" w:ascii="Times New Roman" w:hAnsi="Times New Roman" w:cs="Times New Roman"/>
          <w:color w:val="auto"/>
          <w:sz w:val="32"/>
          <w:szCs w:val="32"/>
          <w:highlight w:val="none"/>
        </w:rPr>
        <w:t>183</w:t>
      </w:r>
      <w:r>
        <w:rPr>
          <w:rFonts w:hint="default" w:ascii="Times New Roman" w:hAnsi="Times New Roman" w:cs="Times New Roman"/>
          <w:color w:val="auto"/>
          <w:spacing w:val="-6"/>
          <w:sz w:val="32"/>
          <w:szCs w:val="32"/>
          <w:highlight w:val="none"/>
        </w:rPr>
        <w:t>个，从业人员</w:t>
      </w:r>
      <w:r>
        <w:rPr>
          <w:rFonts w:hint="default" w:ascii="Times New Roman" w:hAnsi="Times New Roman" w:cs="Times New Roman"/>
          <w:color w:val="auto"/>
          <w:sz w:val="32"/>
          <w:szCs w:val="32"/>
          <w:highlight w:val="none"/>
        </w:rPr>
        <w:t>864</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pacing w:val="-6"/>
          <w:sz w:val="32"/>
          <w:szCs w:val="32"/>
          <w:highlight w:val="none"/>
        </w:rPr>
        <w:t>人，分别比2018年末增长</w:t>
      </w:r>
      <w:r>
        <w:rPr>
          <w:rFonts w:hint="default" w:ascii="Times New Roman" w:hAnsi="Times New Roman" w:cs="Times New Roman"/>
          <w:color w:val="auto"/>
          <w:sz w:val="32"/>
          <w:szCs w:val="32"/>
          <w:highlight w:val="none"/>
        </w:rPr>
        <w:t>50.0</w:t>
      </w:r>
      <w:r>
        <w:rPr>
          <w:rFonts w:hint="default" w:ascii="Times New Roman" w:hAnsi="Times New Roman" w:cs="Times New Roman"/>
          <w:color w:val="auto"/>
          <w:spacing w:val="-6"/>
          <w:sz w:val="32"/>
          <w:szCs w:val="32"/>
          <w:highlight w:val="none"/>
        </w:rPr>
        <w:t>%和</w:t>
      </w:r>
      <w:r>
        <w:rPr>
          <w:rFonts w:hint="default" w:ascii="Times New Roman" w:hAnsi="Times New Roman" w:cs="Times New Roman"/>
          <w:color w:val="auto"/>
          <w:sz w:val="32"/>
          <w:szCs w:val="32"/>
          <w:highlight w:val="none"/>
        </w:rPr>
        <w:t>45.</w:t>
      </w:r>
      <w:r>
        <w:rPr>
          <w:rFonts w:hint="default" w:ascii="Times New Roman" w:hAnsi="Times New Roman" w:cs="Times New Roman"/>
          <w:color w:val="auto"/>
          <w:sz w:val="32"/>
          <w:szCs w:val="32"/>
          <w:highlight w:val="none"/>
          <w:lang w:val="en-US" w:eastAsia="zh-CN"/>
        </w:rPr>
        <w:t>0</w:t>
      </w:r>
      <w:r>
        <w:rPr>
          <w:rFonts w:hint="default" w:ascii="Times New Roman" w:hAnsi="Times New Roman" w:cs="Times New Roman"/>
          <w:color w:val="auto"/>
          <w:spacing w:val="-6"/>
          <w:sz w:val="32"/>
          <w:szCs w:val="32"/>
          <w:highlight w:val="none"/>
        </w:rPr>
        <w:t>%。其中，行政事业及非企业法人单位</w:t>
      </w:r>
      <w:r>
        <w:rPr>
          <w:rFonts w:hint="default" w:ascii="Times New Roman" w:hAnsi="Times New Roman" w:cs="Times New Roman"/>
          <w:color w:val="auto"/>
          <w:sz w:val="32"/>
          <w:szCs w:val="32"/>
          <w:highlight w:val="none"/>
        </w:rPr>
        <w:t>84</w:t>
      </w:r>
      <w:r>
        <w:rPr>
          <w:rFonts w:hint="default" w:ascii="Times New Roman" w:hAnsi="Times New Roman" w:cs="Times New Roman"/>
          <w:color w:val="auto"/>
          <w:spacing w:val="-6"/>
          <w:sz w:val="32"/>
          <w:szCs w:val="32"/>
          <w:highlight w:val="none"/>
        </w:rPr>
        <w:t>个，比2018年末下降</w:t>
      </w:r>
      <w:r>
        <w:rPr>
          <w:rFonts w:hint="default" w:ascii="Times New Roman" w:hAnsi="Times New Roman" w:cs="Times New Roman"/>
          <w:color w:val="auto"/>
          <w:sz w:val="32"/>
          <w:szCs w:val="32"/>
          <w:highlight w:val="none"/>
        </w:rPr>
        <w:t>1.2</w:t>
      </w:r>
      <w:r>
        <w:rPr>
          <w:rFonts w:hint="default" w:ascii="Times New Roman" w:hAnsi="Times New Roman" w:cs="Times New Roman"/>
          <w:color w:val="auto"/>
          <w:spacing w:val="-6"/>
          <w:sz w:val="32"/>
          <w:szCs w:val="32"/>
          <w:highlight w:val="none"/>
        </w:rPr>
        <w:t>%；从业人员</w:t>
      </w:r>
      <w:r>
        <w:rPr>
          <w:rFonts w:hint="default" w:ascii="Times New Roman" w:hAnsi="Times New Roman" w:cs="Times New Roman"/>
          <w:color w:val="auto"/>
          <w:sz w:val="32"/>
          <w:szCs w:val="32"/>
          <w:highlight w:val="none"/>
        </w:rPr>
        <w:t>7056</w:t>
      </w:r>
      <w:r>
        <w:rPr>
          <w:rFonts w:hint="default" w:ascii="Times New Roman" w:hAnsi="Times New Roman" w:cs="Times New Roman"/>
          <w:color w:val="auto"/>
          <w:spacing w:val="-6"/>
          <w:sz w:val="32"/>
          <w:szCs w:val="32"/>
          <w:highlight w:val="none"/>
        </w:rPr>
        <w:t>人，增长</w:t>
      </w:r>
      <w:r>
        <w:rPr>
          <w:rFonts w:hint="default" w:ascii="Times New Roman" w:hAnsi="Times New Roman" w:cs="Times New Roman"/>
          <w:color w:val="auto"/>
          <w:sz w:val="32"/>
          <w:szCs w:val="32"/>
          <w:highlight w:val="none"/>
        </w:rPr>
        <w:t>30.9</w:t>
      </w:r>
      <w:r>
        <w:rPr>
          <w:rFonts w:hint="default" w:ascii="Times New Roman" w:hAnsi="Times New Roman" w:cs="Times New Roman"/>
          <w:color w:val="auto"/>
          <w:spacing w:val="-6"/>
          <w:sz w:val="32"/>
          <w:szCs w:val="32"/>
          <w:highlight w:val="none"/>
        </w:rPr>
        <w:t>%。</w:t>
      </w:r>
    </w:p>
    <w:p>
      <w:pPr>
        <w:spacing w:line="600" w:lineRule="exact"/>
        <w:ind w:firstLine="616"/>
        <w:outlineLvl w:val="2"/>
        <w:rPr>
          <w:rFonts w:hint="default" w:ascii="Times New Roman" w:hAnsi="Times New Roman" w:cs="Times New Roman"/>
          <w:color w:val="auto"/>
          <w:sz w:val="32"/>
          <w:szCs w:val="32"/>
          <w:highlight w:val="none"/>
        </w:rPr>
      </w:pPr>
      <w:r>
        <w:rPr>
          <w:rFonts w:hint="default" w:ascii="Times New Roman" w:hAnsi="Times New Roman" w:eastAsia="方正楷体_GB2312" w:cs="Times New Roman"/>
          <w:color w:val="auto"/>
          <w:spacing w:val="-6"/>
          <w:sz w:val="32"/>
          <w:szCs w:val="32"/>
          <w:highlight w:val="none"/>
        </w:rPr>
        <w:t>（二）主要经济指标</w:t>
      </w:r>
    </w:p>
    <w:p>
      <w:pPr>
        <w:pStyle w:val="4"/>
        <w:spacing w:line="600" w:lineRule="exact"/>
        <w:ind w:firstLine="616"/>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2023年末，卫生和社会工作企业法人单位资产总计</w:t>
      </w:r>
      <w:r>
        <w:rPr>
          <w:rFonts w:hint="default" w:ascii="Times New Roman" w:hAnsi="Times New Roman" w:cs="Times New Roman"/>
          <w:color w:val="auto"/>
          <w:sz w:val="32"/>
          <w:szCs w:val="32"/>
          <w:highlight w:val="none"/>
        </w:rPr>
        <w:t>33377.43万</w:t>
      </w:r>
      <w:r>
        <w:rPr>
          <w:rFonts w:hint="default" w:ascii="Times New Roman" w:hAnsi="Times New Roman" w:cs="Times New Roman"/>
          <w:color w:val="auto"/>
          <w:spacing w:val="-6"/>
          <w:sz w:val="32"/>
          <w:szCs w:val="32"/>
          <w:highlight w:val="none"/>
        </w:rPr>
        <w:t>元，比2018年末</w:t>
      </w:r>
      <w:r>
        <w:rPr>
          <w:rFonts w:hint="default" w:ascii="Times New Roman" w:hAnsi="Times New Roman" w:cs="Times New Roman"/>
          <w:color w:val="auto"/>
          <w:spacing w:val="-6"/>
          <w:sz w:val="32"/>
          <w:szCs w:val="32"/>
          <w:highlight w:val="none"/>
          <w:lang w:eastAsia="zh-CN"/>
        </w:rPr>
        <w:t>增长</w:t>
      </w:r>
      <w:r>
        <w:rPr>
          <w:rFonts w:hint="default" w:ascii="Times New Roman" w:hAnsi="Times New Roman" w:cs="Times New Roman"/>
          <w:color w:val="auto"/>
          <w:spacing w:val="-6"/>
          <w:sz w:val="32"/>
          <w:szCs w:val="32"/>
          <w:highlight w:val="none"/>
        </w:rPr>
        <w:t>306.7%；负债合计</w:t>
      </w:r>
      <w:r>
        <w:rPr>
          <w:rFonts w:hint="default" w:ascii="Times New Roman" w:hAnsi="Times New Roman" w:cs="Times New Roman"/>
          <w:color w:val="auto"/>
          <w:sz w:val="32"/>
          <w:szCs w:val="32"/>
          <w:highlight w:val="none"/>
        </w:rPr>
        <w:t>19802.18万</w:t>
      </w:r>
      <w:r>
        <w:rPr>
          <w:rFonts w:hint="default" w:ascii="Times New Roman" w:hAnsi="Times New Roman" w:cs="Times New Roman"/>
          <w:color w:val="auto"/>
          <w:spacing w:val="-6"/>
          <w:sz w:val="32"/>
          <w:szCs w:val="32"/>
          <w:highlight w:val="none"/>
        </w:rPr>
        <w:t>元，比2018年末</w:t>
      </w:r>
      <w:r>
        <w:rPr>
          <w:rFonts w:hint="eastAsia" w:cs="Times New Roman"/>
          <w:color w:val="auto"/>
          <w:spacing w:val="-6"/>
          <w:sz w:val="32"/>
          <w:szCs w:val="32"/>
          <w:highlight w:val="none"/>
          <w:lang w:val="en-US" w:eastAsia="zh-CN"/>
        </w:rPr>
        <w:t>增长</w:t>
      </w:r>
      <w:r>
        <w:rPr>
          <w:rFonts w:hint="default" w:ascii="Times New Roman" w:hAnsi="Times New Roman" w:cs="Times New Roman"/>
          <w:color w:val="auto"/>
          <w:spacing w:val="-6"/>
          <w:sz w:val="32"/>
          <w:szCs w:val="32"/>
          <w:highlight w:val="none"/>
        </w:rPr>
        <w:t>532.24%；全年实现营业收入</w:t>
      </w:r>
      <w:r>
        <w:rPr>
          <w:rFonts w:hint="default" w:ascii="Times New Roman" w:hAnsi="Times New Roman" w:cs="Times New Roman"/>
          <w:color w:val="auto"/>
          <w:sz w:val="32"/>
          <w:szCs w:val="32"/>
          <w:highlight w:val="none"/>
        </w:rPr>
        <w:t>18930.47万</w:t>
      </w:r>
      <w:r>
        <w:rPr>
          <w:rFonts w:hint="default" w:ascii="Times New Roman" w:hAnsi="Times New Roman" w:cs="Times New Roman"/>
          <w:color w:val="auto"/>
          <w:spacing w:val="-6"/>
          <w:sz w:val="32"/>
          <w:szCs w:val="32"/>
          <w:highlight w:val="none"/>
        </w:rPr>
        <w:t>元，比2018年增长</w:t>
      </w:r>
      <w:r>
        <w:rPr>
          <w:rFonts w:hint="default" w:ascii="Times New Roman" w:hAnsi="Times New Roman" w:cs="Times New Roman"/>
          <w:color w:val="auto"/>
          <w:sz w:val="32"/>
          <w:szCs w:val="32"/>
          <w:highlight w:val="none"/>
        </w:rPr>
        <w:t>172.9</w:t>
      </w:r>
      <w:r>
        <w:rPr>
          <w:rFonts w:hint="default" w:ascii="Times New Roman" w:hAnsi="Times New Roman" w:cs="Times New Roman"/>
          <w:color w:val="auto"/>
          <w:spacing w:val="-6"/>
          <w:sz w:val="32"/>
          <w:szCs w:val="32"/>
          <w:highlight w:val="none"/>
        </w:rPr>
        <w:t>%。</w:t>
      </w:r>
    </w:p>
    <w:p>
      <w:pPr>
        <w:pStyle w:val="4"/>
        <w:spacing w:line="600" w:lineRule="exact"/>
        <w:ind w:firstLine="616"/>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行政事业及非企业法人单位年末资产</w:t>
      </w:r>
      <w:r>
        <w:rPr>
          <w:rFonts w:hint="default" w:ascii="Times New Roman" w:hAnsi="Times New Roman" w:cs="Times New Roman"/>
          <w:color w:val="auto"/>
          <w:sz w:val="32"/>
          <w:szCs w:val="32"/>
          <w:highlight w:val="none"/>
        </w:rPr>
        <w:t>423176.9万</w:t>
      </w:r>
      <w:r>
        <w:rPr>
          <w:rFonts w:hint="default" w:ascii="Times New Roman" w:hAnsi="Times New Roman" w:cs="Times New Roman"/>
          <w:color w:val="auto"/>
          <w:spacing w:val="-6"/>
          <w:sz w:val="32"/>
          <w:szCs w:val="32"/>
          <w:highlight w:val="none"/>
        </w:rPr>
        <w:t>元，比2018年末增长</w:t>
      </w:r>
      <w:r>
        <w:rPr>
          <w:rFonts w:hint="default" w:ascii="Times New Roman" w:hAnsi="Times New Roman" w:cs="Times New Roman"/>
          <w:color w:val="auto"/>
          <w:sz w:val="32"/>
          <w:szCs w:val="32"/>
          <w:highlight w:val="none"/>
        </w:rPr>
        <w:t>69.1</w:t>
      </w:r>
      <w:r>
        <w:rPr>
          <w:rFonts w:hint="default" w:ascii="Times New Roman" w:hAnsi="Times New Roman" w:cs="Times New Roman"/>
          <w:color w:val="auto"/>
          <w:spacing w:val="-6"/>
          <w:sz w:val="32"/>
          <w:szCs w:val="32"/>
          <w:highlight w:val="none"/>
        </w:rPr>
        <w:t>%。本年支出（费用）合计</w:t>
      </w:r>
      <w:r>
        <w:rPr>
          <w:rFonts w:hint="default" w:ascii="Times New Roman" w:hAnsi="Times New Roman" w:cs="Times New Roman"/>
          <w:color w:val="auto"/>
          <w:sz w:val="32"/>
          <w:szCs w:val="32"/>
          <w:highlight w:val="none"/>
        </w:rPr>
        <w:t>320926.7万</w:t>
      </w:r>
      <w:r>
        <w:rPr>
          <w:rFonts w:hint="default" w:ascii="Times New Roman" w:hAnsi="Times New Roman" w:cs="Times New Roman"/>
          <w:color w:val="auto"/>
          <w:spacing w:val="-6"/>
          <w:sz w:val="32"/>
          <w:szCs w:val="32"/>
          <w:highlight w:val="none"/>
        </w:rPr>
        <w:t>元，比2018年增长</w:t>
      </w:r>
      <w:r>
        <w:rPr>
          <w:rFonts w:hint="default" w:ascii="Times New Roman" w:hAnsi="Times New Roman" w:cs="Times New Roman"/>
          <w:color w:val="auto"/>
          <w:sz w:val="32"/>
          <w:szCs w:val="32"/>
          <w:highlight w:val="none"/>
        </w:rPr>
        <w:t>114.8</w:t>
      </w:r>
      <w:r>
        <w:rPr>
          <w:rFonts w:hint="default" w:ascii="Times New Roman" w:hAnsi="Times New Roman" w:cs="Times New Roman"/>
          <w:color w:val="auto"/>
          <w:spacing w:val="-6"/>
          <w:sz w:val="32"/>
          <w:szCs w:val="32"/>
          <w:highlight w:val="none"/>
        </w:rPr>
        <w:t>%。</w:t>
      </w:r>
    </w:p>
    <w:p>
      <w:pPr>
        <w:widowControl/>
        <w:spacing w:line="600" w:lineRule="exact"/>
        <w:ind w:firstLine="640"/>
        <w:jc w:val="left"/>
        <w:textAlignment w:val="auto"/>
        <w:outlineLvl w:val="1"/>
        <w:rPr>
          <w:rFonts w:hint="default" w:ascii="Times New Roman" w:hAnsi="Times New Roman" w:cs="Times New Roman"/>
          <w:color w:val="auto"/>
          <w:sz w:val="32"/>
          <w:szCs w:val="32"/>
          <w:highlight w:val="none"/>
        </w:rPr>
      </w:pPr>
      <w:r>
        <w:rPr>
          <w:rFonts w:hint="default" w:ascii="Times New Roman" w:hAnsi="Times New Roman" w:eastAsia="黑体" w:cs="Times New Roman"/>
          <w:bCs/>
          <w:color w:val="auto"/>
          <w:kern w:val="0"/>
          <w:sz w:val="32"/>
          <w:szCs w:val="32"/>
          <w:highlight w:val="none"/>
        </w:rPr>
        <w:t>六、文化、体育和娱乐业</w:t>
      </w:r>
    </w:p>
    <w:p>
      <w:pPr>
        <w:widowControl/>
        <w:spacing w:line="600" w:lineRule="exact"/>
        <w:ind w:firstLine="640"/>
        <w:jc w:val="left"/>
        <w:textAlignment w:val="auto"/>
        <w:outlineLvl w:val="2"/>
        <w:rPr>
          <w:rFonts w:hint="default" w:ascii="Times New Roman" w:hAnsi="Times New Roman" w:eastAsia="方正楷体_GB2312" w:cs="Times New Roman"/>
          <w:color w:val="auto"/>
          <w:kern w:val="0"/>
          <w:sz w:val="32"/>
          <w:szCs w:val="32"/>
          <w:highlight w:val="none"/>
        </w:rPr>
      </w:pPr>
      <w:r>
        <w:rPr>
          <w:rFonts w:hint="default" w:ascii="Times New Roman" w:hAnsi="Times New Roman" w:eastAsia="方正楷体_GB2312" w:cs="Times New Roman"/>
          <w:color w:val="auto"/>
          <w:kern w:val="0"/>
          <w:sz w:val="32"/>
          <w:szCs w:val="32"/>
          <w:highlight w:val="none"/>
        </w:rPr>
        <w:t>（一）法人单位数和从业人员</w:t>
      </w:r>
    </w:p>
    <w:p>
      <w:pPr>
        <w:pStyle w:val="4"/>
        <w:spacing w:line="600" w:lineRule="exact"/>
        <w:ind w:firstLine="616"/>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2023年末，全市共有文化、体育和娱乐业法人单位</w:t>
      </w:r>
      <w:r>
        <w:rPr>
          <w:rFonts w:hint="default" w:ascii="Times New Roman" w:hAnsi="Times New Roman" w:cs="Times New Roman"/>
          <w:color w:val="auto"/>
          <w:sz w:val="32"/>
          <w:szCs w:val="32"/>
          <w:highlight w:val="none"/>
        </w:rPr>
        <w:t>203</w:t>
      </w:r>
      <w:r>
        <w:rPr>
          <w:rFonts w:hint="default" w:ascii="Times New Roman" w:hAnsi="Times New Roman" w:cs="Times New Roman"/>
          <w:color w:val="auto"/>
          <w:spacing w:val="-6"/>
          <w:sz w:val="32"/>
          <w:szCs w:val="32"/>
          <w:highlight w:val="none"/>
        </w:rPr>
        <w:t>个，从业人员</w:t>
      </w:r>
      <w:r>
        <w:rPr>
          <w:rFonts w:hint="default" w:ascii="Times New Roman" w:hAnsi="Times New Roman" w:cs="Times New Roman"/>
          <w:color w:val="auto"/>
          <w:sz w:val="32"/>
          <w:szCs w:val="32"/>
          <w:highlight w:val="none"/>
        </w:rPr>
        <w:t>13</w:t>
      </w:r>
      <w:r>
        <w:rPr>
          <w:rFonts w:hint="default" w:ascii="Times New Roman" w:hAnsi="Times New Roman" w:cs="Times New Roman"/>
          <w:color w:val="auto"/>
          <w:sz w:val="32"/>
          <w:szCs w:val="32"/>
          <w:highlight w:val="none"/>
          <w:lang w:val="en-US" w:eastAsia="zh-CN"/>
        </w:rPr>
        <w:t>56</w:t>
      </w:r>
      <w:r>
        <w:rPr>
          <w:rFonts w:hint="default" w:ascii="Times New Roman" w:hAnsi="Times New Roman" w:cs="Times New Roman"/>
          <w:color w:val="auto"/>
          <w:spacing w:val="-6"/>
          <w:sz w:val="32"/>
          <w:szCs w:val="32"/>
          <w:highlight w:val="none"/>
        </w:rPr>
        <w:t>人，分别比2018年末增长</w:t>
      </w:r>
      <w:r>
        <w:rPr>
          <w:rFonts w:hint="default" w:ascii="Times New Roman" w:hAnsi="Times New Roman" w:cs="Times New Roman"/>
          <w:color w:val="auto"/>
          <w:sz w:val="32"/>
          <w:szCs w:val="32"/>
          <w:highlight w:val="none"/>
        </w:rPr>
        <w:t>178.1</w:t>
      </w:r>
      <w:r>
        <w:rPr>
          <w:rFonts w:hint="default" w:ascii="Times New Roman" w:hAnsi="Times New Roman" w:cs="Times New Roman"/>
          <w:color w:val="auto"/>
          <w:spacing w:val="-6"/>
          <w:sz w:val="32"/>
          <w:szCs w:val="32"/>
          <w:highlight w:val="none"/>
        </w:rPr>
        <w:t>%和</w:t>
      </w:r>
      <w:r>
        <w:rPr>
          <w:rFonts w:hint="default" w:ascii="Times New Roman" w:hAnsi="Times New Roman" w:cs="Times New Roman"/>
          <w:color w:val="auto"/>
          <w:sz w:val="32"/>
          <w:szCs w:val="32"/>
          <w:highlight w:val="none"/>
        </w:rPr>
        <w:t>6</w:t>
      </w:r>
      <w:r>
        <w:rPr>
          <w:rFonts w:hint="default" w:ascii="Times New Roman" w:hAnsi="Times New Roman" w:cs="Times New Roman"/>
          <w:color w:val="auto"/>
          <w:sz w:val="32"/>
          <w:szCs w:val="32"/>
          <w:highlight w:val="none"/>
          <w:lang w:val="en-US" w:eastAsia="zh-CN"/>
        </w:rPr>
        <w:t>4.4</w:t>
      </w:r>
      <w:r>
        <w:rPr>
          <w:rFonts w:hint="default" w:ascii="Times New Roman" w:hAnsi="Times New Roman" w:cs="Times New Roman"/>
          <w:color w:val="auto"/>
          <w:spacing w:val="-6"/>
          <w:sz w:val="32"/>
          <w:szCs w:val="32"/>
          <w:highlight w:val="none"/>
        </w:rPr>
        <w:t>%。其中，企业法人单位</w:t>
      </w:r>
      <w:r>
        <w:rPr>
          <w:rFonts w:hint="default" w:ascii="Times New Roman" w:hAnsi="Times New Roman" w:cs="Times New Roman"/>
          <w:color w:val="auto"/>
          <w:sz w:val="32"/>
          <w:szCs w:val="32"/>
          <w:highlight w:val="none"/>
        </w:rPr>
        <w:t>180</w:t>
      </w:r>
      <w:r>
        <w:rPr>
          <w:rFonts w:hint="default" w:ascii="Times New Roman" w:hAnsi="Times New Roman" w:cs="Times New Roman"/>
          <w:color w:val="auto"/>
          <w:spacing w:val="-6"/>
          <w:sz w:val="32"/>
          <w:szCs w:val="32"/>
          <w:highlight w:val="none"/>
        </w:rPr>
        <w:t>个，从业人员</w:t>
      </w:r>
      <w:r>
        <w:rPr>
          <w:rFonts w:hint="default" w:ascii="Times New Roman" w:hAnsi="Times New Roman" w:cs="Times New Roman"/>
          <w:color w:val="auto"/>
          <w:sz w:val="32"/>
          <w:szCs w:val="32"/>
          <w:highlight w:val="none"/>
        </w:rPr>
        <w:t>637</w:t>
      </w:r>
      <w:r>
        <w:rPr>
          <w:rFonts w:hint="default" w:ascii="Times New Roman" w:hAnsi="Times New Roman" w:cs="Times New Roman"/>
          <w:color w:val="auto"/>
          <w:spacing w:val="-6"/>
          <w:sz w:val="32"/>
          <w:szCs w:val="32"/>
          <w:highlight w:val="none"/>
        </w:rPr>
        <w:t>人，分别比2018年末增长</w:t>
      </w:r>
      <w:r>
        <w:rPr>
          <w:rFonts w:hint="default" w:ascii="Times New Roman" w:hAnsi="Times New Roman" w:cs="Times New Roman"/>
          <w:color w:val="auto"/>
          <w:sz w:val="32"/>
          <w:szCs w:val="32"/>
          <w:highlight w:val="none"/>
        </w:rPr>
        <w:t>246.2</w:t>
      </w:r>
      <w:r>
        <w:rPr>
          <w:rFonts w:hint="default" w:ascii="Times New Roman" w:hAnsi="Times New Roman" w:cs="Times New Roman"/>
          <w:color w:val="auto"/>
          <w:spacing w:val="-6"/>
          <w:sz w:val="32"/>
          <w:szCs w:val="32"/>
          <w:highlight w:val="none"/>
        </w:rPr>
        <w:t>%和</w:t>
      </w:r>
      <w:r>
        <w:rPr>
          <w:rFonts w:hint="default" w:ascii="Times New Roman" w:hAnsi="Times New Roman" w:cs="Times New Roman"/>
          <w:color w:val="auto"/>
          <w:sz w:val="32"/>
          <w:szCs w:val="32"/>
          <w:highlight w:val="none"/>
        </w:rPr>
        <w:t>172.2</w:t>
      </w:r>
      <w:r>
        <w:rPr>
          <w:rFonts w:hint="default" w:ascii="Times New Roman" w:hAnsi="Times New Roman" w:cs="Times New Roman"/>
          <w:color w:val="auto"/>
          <w:spacing w:val="-6"/>
          <w:sz w:val="32"/>
          <w:szCs w:val="32"/>
          <w:highlight w:val="none"/>
        </w:rPr>
        <w:t>%。</w:t>
      </w:r>
    </w:p>
    <w:p>
      <w:pPr>
        <w:spacing w:line="600" w:lineRule="exact"/>
        <w:ind w:firstLine="616"/>
        <w:outlineLvl w:val="2"/>
        <w:rPr>
          <w:rFonts w:hint="default" w:ascii="Times New Roman" w:hAnsi="Times New Roman" w:eastAsia="方正楷体_GB2312" w:cs="Times New Roman"/>
          <w:color w:val="auto"/>
          <w:sz w:val="32"/>
          <w:szCs w:val="32"/>
          <w:highlight w:val="none"/>
        </w:rPr>
      </w:pPr>
      <w:r>
        <w:rPr>
          <w:rFonts w:hint="default" w:ascii="Times New Roman" w:hAnsi="Times New Roman" w:eastAsia="方正楷体_GB2312" w:cs="Times New Roman"/>
          <w:color w:val="auto"/>
          <w:spacing w:val="-6"/>
          <w:sz w:val="32"/>
          <w:szCs w:val="32"/>
          <w:highlight w:val="none"/>
        </w:rPr>
        <w:t>（二）主要经济指标</w:t>
      </w:r>
    </w:p>
    <w:p>
      <w:pPr>
        <w:pStyle w:val="4"/>
        <w:spacing w:line="600" w:lineRule="exact"/>
        <w:ind w:firstLine="616"/>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2023年末，文化、体育和娱乐业企业法人单位资产总计</w:t>
      </w:r>
      <w:r>
        <w:rPr>
          <w:rFonts w:hint="default" w:ascii="Times New Roman" w:hAnsi="Times New Roman" w:cs="Times New Roman"/>
          <w:color w:val="auto"/>
          <w:sz w:val="32"/>
          <w:szCs w:val="32"/>
          <w:highlight w:val="none"/>
        </w:rPr>
        <w:t>25444.17万</w:t>
      </w:r>
      <w:r>
        <w:rPr>
          <w:rFonts w:hint="default" w:ascii="Times New Roman" w:hAnsi="Times New Roman" w:cs="Times New Roman"/>
          <w:color w:val="auto"/>
          <w:spacing w:val="-6"/>
          <w:sz w:val="32"/>
          <w:szCs w:val="32"/>
          <w:highlight w:val="none"/>
        </w:rPr>
        <w:t>元，比2018年末增长425.4%；负债合计</w:t>
      </w:r>
      <w:r>
        <w:rPr>
          <w:rFonts w:hint="default" w:ascii="Times New Roman" w:hAnsi="Times New Roman" w:cs="Times New Roman"/>
          <w:color w:val="auto"/>
          <w:sz w:val="32"/>
          <w:szCs w:val="32"/>
          <w:highlight w:val="none"/>
        </w:rPr>
        <w:t>26287.24万</w:t>
      </w:r>
      <w:r>
        <w:rPr>
          <w:rFonts w:hint="default" w:ascii="Times New Roman" w:hAnsi="Times New Roman" w:cs="Times New Roman"/>
          <w:color w:val="auto"/>
          <w:spacing w:val="-6"/>
          <w:sz w:val="32"/>
          <w:szCs w:val="32"/>
          <w:highlight w:val="none"/>
        </w:rPr>
        <w:t>元，比2018年末增长449.</w:t>
      </w:r>
      <w:r>
        <w:rPr>
          <w:rFonts w:hint="eastAsia" w:cs="Times New Roman"/>
          <w:color w:val="auto"/>
          <w:spacing w:val="-6"/>
          <w:sz w:val="32"/>
          <w:szCs w:val="32"/>
          <w:highlight w:val="none"/>
          <w:lang w:val="en-US" w:eastAsia="zh-CN"/>
        </w:rPr>
        <w:t>5</w:t>
      </w:r>
      <w:r>
        <w:rPr>
          <w:rFonts w:hint="default" w:ascii="Times New Roman" w:hAnsi="Times New Roman" w:cs="Times New Roman"/>
          <w:color w:val="auto"/>
          <w:spacing w:val="-6"/>
          <w:sz w:val="32"/>
          <w:szCs w:val="32"/>
          <w:highlight w:val="none"/>
        </w:rPr>
        <w:t>%。全年实现营业收入</w:t>
      </w:r>
      <w:r>
        <w:rPr>
          <w:rFonts w:hint="default" w:ascii="Times New Roman" w:hAnsi="Times New Roman" w:cs="Times New Roman"/>
          <w:color w:val="auto"/>
          <w:sz w:val="32"/>
          <w:szCs w:val="32"/>
          <w:highlight w:val="none"/>
        </w:rPr>
        <w:t>10194.49万</w:t>
      </w:r>
      <w:r>
        <w:rPr>
          <w:rFonts w:hint="default" w:ascii="Times New Roman" w:hAnsi="Times New Roman" w:cs="Times New Roman"/>
          <w:color w:val="auto"/>
          <w:spacing w:val="-6"/>
          <w:sz w:val="32"/>
          <w:szCs w:val="32"/>
          <w:highlight w:val="none"/>
        </w:rPr>
        <w:t>元，比2018年增长</w:t>
      </w:r>
      <w:r>
        <w:rPr>
          <w:rFonts w:hint="default" w:ascii="Times New Roman" w:hAnsi="Times New Roman" w:cs="Times New Roman"/>
          <w:color w:val="auto"/>
          <w:sz w:val="32"/>
          <w:szCs w:val="32"/>
          <w:highlight w:val="none"/>
        </w:rPr>
        <w:t>720.7</w:t>
      </w:r>
      <w:r>
        <w:rPr>
          <w:rFonts w:hint="default" w:ascii="Times New Roman" w:hAnsi="Times New Roman" w:cs="Times New Roman"/>
          <w:color w:val="auto"/>
          <w:spacing w:val="-6"/>
          <w:sz w:val="32"/>
          <w:szCs w:val="32"/>
          <w:highlight w:val="none"/>
        </w:rPr>
        <w:t>%。</w:t>
      </w:r>
    </w:p>
    <w:p>
      <w:pPr>
        <w:pStyle w:val="4"/>
        <w:spacing w:line="600" w:lineRule="exact"/>
        <w:ind w:firstLine="616"/>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行政事业及非企业法人单位年末资产</w:t>
      </w:r>
      <w:r>
        <w:rPr>
          <w:rFonts w:hint="default" w:ascii="Times New Roman" w:hAnsi="Times New Roman" w:cs="Times New Roman"/>
          <w:color w:val="auto"/>
          <w:sz w:val="32"/>
          <w:szCs w:val="32"/>
          <w:highlight w:val="none"/>
        </w:rPr>
        <w:t>11941.3万</w:t>
      </w:r>
      <w:r>
        <w:rPr>
          <w:rFonts w:hint="default" w:ascii="Times New Roman" w:hAnsi="Times New Roman" w:cs="Times New Roman"/>
          <w:color w:val="auto"/>
          <w:spacing w:val="-6"/>
          <w:sz w:val="32"/>
          <w:szCs w:val="32"/>
          <w:highlight w:val="none"/>
        </w:rPr>
        <w:t>元，比2018年末增长1.1%。本年支出（费用）合计</w:t>
      </w:r>
      <w:r>
        <w:rPr>
          <w:rFonts w:hint="default" w:ascii="Times New Roman" w:hAnsi="Times New Roman" w:cs="Times New Roman"/>
          <w:color w:val="auto"/>
          <w:sz w:val="32"/>
          <w:szCs w:val="32"/>
          <w:highlight w:val="none"/>
        </w:rPr>
        <w:t>17777万</w:t>
      </w:r>
      <w:r>
        <w:rPr>
          <w:rFonts w:hint="default" w:ascii="Times New Roman" w:hAnsi="Times New Roman" w:cs="Times New Roman"/>
          <w:color w:val="auto"/>
          <w:spacing w:val="-6"/>
          <w:sz w:val="32"/>
          <w:szCs w:val="32"/>
          <w:highlight w:val="none"/>
        </w:rPr>
        <w:t>元，比2018年增长81.0%。</w:t>
      </w:r>
    </w:p>
    <w:p>
      <w:pPr>
        <w:widowControl/>
        <w:adjustRightInd w:val="0"/>
        <w:snapToGrid w:val="0"/>
        <w:spacing w:line="600" w:lineRule="exact"/>
        <w:ind w:firstLine="640"/>
        <w:jc w:val="left"/>
        <w:textAlignment w:val="auto"/>
        <w:outlineLvl w:val="1"/>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kern w:val="0"/>
          <w:sz w:val="32"/>
          <w:szCs w:val="32"/>
          <w:highlight w:val="none"/>
        </w:rPr>
        <w:t>七、公共管理、社会保障和社会组织</w:t>
      </w:r>
    </w:p>
    <w:p>
      <w:pPr>
        <w:pStyle w:val="4"/>
        <w:spacing w:line="600" w:lineRule="exact"/>
        <w:ind w:firstLine="616"/>
        <w:rPr>
          <w:rFonts w:hint="default" w:ascii="Times New Roman" w:hAnsi="Times New Roman" w:cs="Times New Roman"/>
          <w:color w:val="auto"/>
          <w:spacing w:val="-6"/>
          <w:sz w:val="32"/>
          <w:szCs w:val="32"/>
          <w:highlight w:val="none"/>
        </w:rPr>
      </w:pPr>
      <w:r>
        <w:rPr>
          <w:rFonts w:hint="default" w:ascii="Times New Roman" w:hAnsi="Times New Roman" w:cs="Times New Roman"/>
          <w:color w:val="auto"/>
          <w:spacing w:val="-6"/>
          <w:sz w:val="32"/>
          <w:szCs w:val="32"/>
          <w:highlight w:val="none"/>
        </w:rPr>
        <w:t>2023年末，全市共有公共管理、社会保障和社会组织法人单位</w:t>
      </w:r>
      <w:r>
        <w:rPr>
          <w:rFonts w:hint="default" w:ascii="Times New Roman" w:hAnsi="Times New Roman" w:cs="Times New Roman"/>
          <w:color w:val="auto"/>
          <w:sz w:val="32"/>
          <w:szCs w:val="32"/>
          <w:highlight w:val="none"/>
        </w:rPr>
        <w:t>602</w:t>
      </w:r>
      <w:r>
        <w:rPr>
          <w:rFonts w:hint="default" w:ascii="Times New Roman" w:hAnsi="Times New Roman" w:cs="Times New Roman"/>
          <w:color w:val="auto"/>
          <w:spacing w:val="-6"/>
          <w:sz w:val="32"/>
          <w:szCs w:val="32"/>
          <w:highlight w:val="none"/>
        </w:rPr>
        <w:t>个，比2018年末增长38.1%；从业人员</w:t>
      </w:r>
      <w:r>
        <w:rPr>
          <w:rFonts w:hint="default" w:ascii="Times New Roman" w:hAnsi="Times New Roman" w:cs="Times New Roman"/>
          <w:color w:val="auto"/>
          <w:sz w:val="32"/>
          <w:szCs w:val="32"/>
          <w:highlight w:val="none"/>
        </w:rPr>
        <w:t>21471</w:t>
      </w:r>
      <w:r>
        <w:rPr>
          <w:rFonts w:hint="default" w:ascii="Times New Roman" w:hAnsi="Times New Roman" w:cs="Times New Roman"/>
          <w:color w:val="auto"/>
          <w:spacing w:val="-6"/>
          <w:sz w:val="32"/>
          <w:szCs w:val="32"/>
          <w:highlight w:val="none"/>
        </w:rPr>
        <w:t>人，比2018年末下降13.</w:t>
      </w:r>
      <w:r>
        <w:rPr>
          <w:rFonts w:hint="eastAsia" w:cs="Times New Roman"/>
          <w:color w:val="auto"/>
          <w:spacing w:val="-6"/>
          <w:sz w:val="32"/>
          <w:szCs w:val="32"/>
          <w:highlight w:val="none"/>
          <w:lang w:val="en-US" w:eastAsia="zh-CN"/>
        </w:rPr>
        <w:t>2</w:t>
      </w:r>
      <w:r>
        <w:rPr>
          <w:rFonts w:hint="default" w:ascii="Times New Roman" w:hAnsi="Times New Roman" w:cs="Times New Roman"/>
          <w:color w:val="auto"/>
          <w:spacing w:val="-6"/>
          <w:sz w:val="32"/>
          <w:szCs w:val="32"/>
          <w:highlight w:val="none"/>
        </w:rPr>
        <w:t>%。行政事业及非企业法人单位本年支出（费用）合计</w:t>
      </w:r>
      <w:r>
        <w:rPr>
          <w:rFonts w:hint="default" w:ascii="Times New Roman" w:hAnsi="Times New Roman" w:cs="Times New Roman"/>
          <w:color w:val="auto"/>
          <w:sz w:val="32"/>
          <w:szCs w:val="32"/>
          <w:highlight w:val="none"/>
        </w:rPr>
        <w:t>1208943.4万</w:t>
      </w:r>
      <w:r>
        <w:rPr>
          <w:rFonts w:hint="default" w:ascii="Times New Roman" w:hAnsi="Times New Roman" w:cs="Times New Roman"/>
          <w:color w:val="auto"/>
          <w:spacing w:val="-6"/>
          <w:sz w:val="32"/>
          <w:szCs w:val="32"/>
          <w:highlight w:val="none"/>
        </w:rPr>
        <w:t>元，比2018年增长</w:t>
      </w:r>
      <w:r>
        <w:rPr>
          <w:rFonts w:hint="default" w:ascii="Times New Roman" w:hAnsi="Times New Roman" w:cs="Times New Roman"/>
          <w:color w:val="auto"/>
          <w:sz w:val="32"/>
          <w:szCs w:val="32"/>
          <w:highlight w:val="none"/>
        </w:rPr>
        <w:t>26.9</w:t>
      </w:r>
      <w:r>
        <w:rPr>
          <w:rFonts w:hint="default" w:ascii="Times New Roman" w:hAnsi="Times New Roman" w:cs="Times New Roman"/>
          <w:color w:val="auto"/>
          <w:spacing w:val="-6"/>
          <w:sz w:val="32"/>
          <w:szCs w:val="32"/>
          <w:highlight w:val="none"/>
        </w:rPr>
        <w:t>%。</w:t>
      </w:r>
    </w:p>
    <w:p>
      <w:pPr>
        <w:widowControl/>
        <w:spacing w:line="600" w:lineRule="exact"/>
        <w:ind w:firstLine="560"/>
        <w:jc w:val="left"/>
        <w:textAlignment w:val="auto"/>
        <w:rPr>
          <w:rFonts w:hint="default" w:ascii="Times New Roman" w:hAnsi="Times New Roman" w:eastAsia="黑体" w:cs="Times New Roman"/>
          <w:bCs/>
          <w:color w:val="auto"/>
          <w:kern w:val="0"/>
          <w:sz w:val="28"/>
          <w:szCs w:val="28"/>
          <w:highlight w:val="none"/>
        </w:rPr>
      </w:pPr>
    </w:p>
    <w:p>
      <w:pPr>
        <w:widowControl/>
        <w:spacing w:line="600" w:lineRule="exact"/>
        <w:ind w:firstLine="560"/>
        <w:jc w:val="left"/>
        <w:textAlignment w:val="auto"/>
        <w:rPr>
          <w:rFonts w:hint="default" w:ascii="Times New Roman" w:hAnsi="Times New Roman" w:eastAsia="黑体" w:cs="Times New Roman"/>
          <w:bCs/>
          <w:color w:val="auto"/>
          <w:kern w:val="0"/>
          <w:sz w:val="28"/>
          <w:szCs w:val="28"/>
          <w:highlight w:val="none"/>
        </w:rPr>
      </w:pPr>
    </w:p>
    <w:p>
      <w:pPr>
        <w:widowControl/>
        <w:spacing w:line="600" w:lineRule="exact"/>
        <w:ind w:firstLine="560"/>
        <w:jc w:val="left"/>
        <w:textAlignment w:val="auto"/>
        <w:rPr>
          <w:rFonts w:hint="default" w:ascii="Times New Roman" w:hAnsi="Times New Roman" w:cs="Times New Roman"/>
          <w:color w:val="auto"/>
          <w:sz w:val="28"/>
          <w:szCs w:val="28"/>
          <w:highlight w:val="none"/>
        </w:rPr>
      </w:pPr>
      <w:r>
        <w:rPr>
          <w:rFonts w:hint="default" w:ascii="Times New Roman" w:hAnsi="Times New Roman" w:eastAsia="黑体" w:cs="Times New Roman"/>
          <w:bCs/>
          <w:color w:val="auto"/>
          <w:kern w:val="0"/>
          <w:sz w:val="28"/>
          <w:szCs w:val="28"/>
          <w:highlight w:val="none"/>
        </w:rPr>
        <w:t>注释：</w:t>
      </w:r>
    </w:p>
    <w:p>
      <w:pPr>
        <w:widowControl/>
        <w:spacing w:line="600" w:lineRule="exact"/>
        <w:ind w:firstLine="560"/>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widowControl/>
        <w:spacing w:line="600" w:lineRule="exact"/>
        <w:ind w:firstLine="560"/>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pPr>
        <w:widowControl/>
        <w:spacing w:line="600" w:lineRule="exact"/>
        <w:ind w:firstLine="560"/>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[3]表中的合计数和部分计算数据因小数取舍而产生的误差，均未作机械调整。为保证数据精确度，个别数据保留2位小数。</w:t>
      </w:r>
    </w:p>
    <w:p>
      <w:pPr>
        <w:ind w:firstLine="600"/>
        <w:rPr>
          <w:rFonts w:hint="default" w:ascii="Times New Roman" w:hAnsi="Times New Roman" w:cs="Times New Roman"/>
          <w:color w:val="auto"/>
          <w:highlight w:val="none"/>
        </w:rPr>
      </w:pPr>
      <w:r>
        <w:rPr>
          <w:rFonts w:hint="default" w:ascii="Times New Roman" w:hAnsi="Times New Roman" w:cs="Times New Roman"/>
          <w:color w:val="auto"/>
          <w:kern w:val="0"/>
          <w:sz w:val="28"/>
          <w:szCs w:val="28"/>
          <w:highlight w:val="none"/>
        </w:rPr>
        <w:t>[</w:t>
      </w:r>
      <w:r>
        <w:rPr>
          <w:rFonts w:hint="default" w:ascii="Times New Roman" w:hAnsi="Times New Roman" w:cs="Times New Roman"/>
          <w:color w:val="auto"/>
          <w:kern w:val="0"/>
          <w:sz w:val="28"/>
          <w:szCs w:val="28"/>
          <w:highlight w:val="none"/>
          <w:lang w:val="en-US" w:eastAsia="zh-CN"/>
        </w:rPr>
        <w:t>4</w:t>
      </w:r>
      <w:r>
        <w:rPr>
          <w:rFonts w:hint="default" w:ascii="Times New Roman" w:hAnsi="Times New Roman" w:cs="Times New Roman"/>
          <w:color w:val="auto"/>
          <w:kern w:val="0"/>
          <w:sz w:val="28"/>
          <w:szCs w:val="28"/>
          <w:highlight w:val="none"/>
        </w:rPr>
        <w:t>]表中</w:t>
      </w:r>
      <w:r>
        <w:rPr>
          <w:rFonts w:hint="default" w:ascii="Times New Roman" w:hAnsi="Times New Roman" w:cs="Times New Roman"/>
          <w:color w:val="auto"/>
          <w:kern w:val="0"/>
          <w:sz w:val="28"/>
          <w:szCs w:val="28"/>
          <w:highlight w:val="none"/>
          <w:lang w:val="en-US" w:eastAsia="zh-CN"/>
        </w:rPr>
        <w:t>符号“—”表示没有数据或数据过小。</w:t>
      </w:r>
    </w:p>
    <w:p>
      <w:pPr>
        <w:ind w:firstLine="0" w:firstLineChars="0"/>
        <w:rPr>
          <w:rFonts w:hint="default" w:ascii="Times New Roman" w:hAnsi="Times New Roman" w:cs="Times New Roman"/>
          <w:color w:val="auto"/>
          <w:highlight w:val="none"/>
        </w:rPr>
      </w:pPr>
    </w:p>
    <w:p>
      <w:pPr>
        <w:rPr>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18C2DB-1A2F-4B87-9020-17E0BFE03F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6FA00A3F-8249-43DF-B258-5D5E1124A236}"/>
  </w:font>
  <w:font w:name="方正楷体_GBK">
    <w:panose1 w:val="03000509000000000000"/>
    <w:charset w:val="86"/>
    <w:family w:val="script"/>
    <w:pitch w:val="default"/>
    <w:sig w:usb0="00000001" w:usb1="080E0000" w:usb2="00000000" w:usb3="00000000" w:csb0="00040000" w:csb1="00000000"/>
    <w:embedRegular r:id="rId3" w:fontKey="{DE18456D-C1E5-4348-B78C-B18992593020}"/>
  </w:font>
  <w:font w:name="Meeting on your heart">
    <w:panose1 w:val="02000503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elanie BT Std Roman">
    <w:panose1 w:val="02010600010101010101"/>
    <w:charset w:val="86"/>
    <w:family w:val="auto"/>
    <w:pitch w:val="default"/>
    <w:sig w:usb0="00000000" w:usb1="00000000" w:usb2="00000000" w:usb3="00000000" w:csb0="00000000" w:csb1="00000000"/>
  </w:font>
  <w:font w:name="方正楷体_GB2312">
    <w:panose1 w:val="02000000000000000000"/>
    <w:charset w:val="86"/>
    <w:family w:val="auto"/>
    <w:pitch w:val="default"/>
    <w:sig w:usb0="00000000" w:usb1="00000000" w:usb2="00000000" w:usb3="00000000" w:csb0="00000000" w:csb1="00000000"/>
    <w:embedRegular r:id="rId4" w:fontKey="{FEBEB68A-7D9F-4830-975D-A35824505B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DF4864"/>
    <w:rsid w:val="01D310DA"/>
    <w:rsid w:val="05F72E03"/>
    <w:rsid w:val="08A80C1B"/>
    <w:rsid w:val="0BB935FB"/>
    <w:rsid w:val="0D703BC7"/>
    <w:rsid w:val="119F4A7B"/>
    <w:rsid w:val="11D224F7"/>
    <w:rsid w:val="12260CF8"/>
    <w:rsid w:val="128A572B"/>
    <w:rsid w:val="19E45391"/>
    <w:rsid w:val="19F1028F"/>
    <w:rsid w:val="1B7B0307"/>
    <w:rsid w:val="1CFB3724"/>
    <w:rsid w:val="1DD45AAC"/>
    <w:rsid w:val="1DDF59A5"/>
    <w:rsid w:val="1F59095F"/>
    <w:rsid w:val="21DA015B"/>
    <w:rsid w:val="22737F8A"/>
    <w:rsid w:val="295B3526"/>
    <w:rsid w:val="29F01EC0"/>
    <w:rsid w:val="2CFA02E0"/>
    <w:rsid w:val="40A9495A"/>
    <w:rsid w:val="488616F7"/>
    <w:rsid w:val="4B7672F1"/>
    <w:rsid w:val="4B8F1ED3"/>
    <w:rsid w:val="4B905E28"/>
    <w:rsid w:val="4FD70FE8"/>
    <w:rsid w:val="536A2433"/>
    <w:rsid w:val="5A5C3606"/>
    <w:rsid w:val="5B1D1050"/>
    <w:rsid w:val="5C786E0C"/>
    <w:rsid w:val="5E8720EC"/>
    <w:rsid w:val="62E132A7"/>
    <w:rsid w:val="641F5E01"/>
    <w:rsid w:val="64A31301"/>
    <w:rsid w:val="65083321"/>
    <w:rsid w:val="684D1CB0"/>
    <w:rsid w:val="6C133210"/>
    <w:rsid w:val="6F0312AE"/>
    <w:rsid w:val="7407365B"/>
    <w:rsid w:val="74735F4F"/>
    <w:rsid w:val="77672662"/>
    <w:rsid w:val="7AD63D87"/>
    <w:rsid w:val="7D430DB4"/>
    <w:rsid w:val="7D56010D"/>
    <w:rsid w:val="BADF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99"/>
    <w:pPr>
      <w:adjustRightInd w:val="0"/>
      <w:spacing w:line="360" w:lineRule="atLeast"/>
      <w:ind w:firstLine="600"/>
      <w:textAlignment w:val="baseline"/>
    </w:pPr>
    <w:rPr>
      <w:kern w:val="0"/>
      <w:szCs w:val="20"/>
    </w:rPr>
  </w:style>
  <w:style w:type="paragraph" w:styleId="4">
    <w:name w:val="Normal Indent"/>
    <w:basedOn w:val="1"/>
    <w:next w:val="1"/>
    <w:qFormat/>
    <w:uiPriority w:val="0"/>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Title"/>
    <w:basedOn w:val="1"/>
    <w:next w:val="1"/>
    <w:qFormat/>
    <w:uiPriority w:val="10"/>
    <w:pPr>
      <w:widowControl/>
      <w:ind w:firstLine="0" w:firstLineChars="0"/>
      <w:jc w:val="center"/>
    </w:pPr>
    <w:rPr>
      <w:rFonts w:eastAsia="微软雅黑"/>
      <w:b/>
      <w:bCs/>
      <w:sz w:val="40"/>
    </w:r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0"/>
    <w:rPr>
      <w:sz w:val="24"/>
    </w:rPr>
  </w:style>
  <w:style w:type="paragraph" w:styleId="11">
    <w:name w:val="Body Text First Indent"/>
    <w:basedOn w:val="6"/>
    <w:next w:val="2"/>
    <w:unhideWhenUsed/>
    <w:qFormat/>
    <w:uiPriority w:val="99"/>
    <w:pPr>
      <w:ind w:firstLine="420" w:firstLineChars="100"/>
    </w:pPr>
    <w:rPr>
      <w:rFonts w:ascii="等线" w:hAnsi="等线" w:eastAsia="等线"/>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5431</Words>
  <Characters>6668</Characters>
  <Lines>0</Lines>
  <Paragraphs>0</Paragraphs>
  <TotalTime>55</TotalTime>
  <ScaleCrop>false</ScaleCrop>
  <LinksUpToDate>false</LinksUpToDate>
  <CharactersWithSpaces>6811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2025-08-16T00:29:00Z</dcterms:created>
  <dc:creator>小朱</dc:creator>
  <cp:lastModifiedBy>Administrator</cp:lastModifiedBy>
  <dcterms:modified xsi:type="dcterms:W3CDTF">2025-09-08T06:24:18Z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77F7C65340654F3ABA166AC553DB20EC_13</vt:lpwstr>
  </property>
  <property fmtid="{D5CDD505-2E9C-101B-9397-08002B2CF9AE}" pid="4" name="KSOTemplateDocerSaveRecord">
    <vt:lpwstr>eyJoZGlkIjoiZDZmNGFiNmJkYmNiNzE4OTUyYzgwZTIxMTA4MDYzNjgiLCJ1c2VySWQiOiIzNzcxMDYwMDIifQ==</vt:lpwstr>
  </property>
</Properties>
</file>