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880" w:firstLineChars="200"/>
        <w:jc w:val="both"/>
        <w:textAlignment w:val="auto"/>
        <w:outlineLvl w:val="0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</w:rPr>
        <w:t>库尔勒市第五次全国经济普查公报</w:t>
      </w:r>
    </w:p>
    <w:p>
      <w:pPr>
        <w:adjustRightInd w:val="0"/>
        <w:snapToGrid w:val="0"/>
        <w:spacing w:line="6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</w:rPr>
        <w:t>（第三号）</w:t>
      </w:r>
    </w:p>
    <w:p>
      <w:pPr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</w:rPr>
        <w:t>——</w:t>
      </w: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</w:rPr>
        <w:t>第二产业基本情况</w:t>
      </w:r>
    </w:p>
    <w:bookmarkEnd w:id="0"/>
    <w:p>
      <w:pPr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库尔勒市统计局</w:t>
      </w:r>
    </w:p>
    <w:p>
      <w:pPr>
        <w:adjustRightInd w:val="0"/>
        <w:snapToGrid w:val="0"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库尔勒市第五次全国经济普查领导小组办公室</w:t>
      </w:r>
    </w:p>
    <w:p>
      <w:pPr>
        <w:overflowPunct w:val="0"/>
        <w:adjustRightInd w:val="0"/>
        <w:snapToGrid w:val="0"/>
        <w:spacing w:line="500" w:lineRule="exact"/>
        <w:ind w:firstLine="0" w:firstLineChars="0"/>
        <w:jc w:val="center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（2025年</w:t>
      </w:r>
      <w:r>
        <w:rPr>
          <w:rFonts w:hint="eastAsia" w:eastAsia="方正楷体_GBK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eastAsia="方正楷体_GBK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日）</w:t>
      </w:r>
    </w:p>
    <w:p>
      <w:pPr>
        <w:widowControl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>
      <w:pPr>
        <w:widowControl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根据第五次全国经济普查结果，现将我市第二产业（包括工业和建筑业）主要数据公布如下：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outlineLvl w:val="1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工业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outlineLvl w:val="2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  <w:t>（一）企业法人单位数和从业人员</w:t>
      </w:r>
    </w:p>
    <w:p>
      <w:pPr>
        <w:widowControl/>
        <w:spacing w:line="600" w:lineRule="exact"/>
        <w:ind w:firstLine="64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2023年末，全市共有工业企业法人单位1142个，比2018年末增长50.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%；从业人员43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689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人，比2018年末增长14.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%。</w:t>
      </w:r>
    </w:p>
    <w:p>
      <w:pPr>
        <w:widowControl/>
        <w:spacing w:beforeLines="10" w:line="600" w:lineRule="exac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在工业企业法人单位中，采矿业99个，制造业979个，电力、热力、燃气及水生产和供应业64个，分别占8.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%、85.7%和5.6%。在工业行业大类中，非金属矿物制品业、金属制品业、橡胶和塑料制品业企业法人单位数位居前三位，分别占14.6%、14.1%和7.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%。</w:t>
      </w:r>
    </w:p>
    <w:p>
      <w:pPr>
        <w:widowControl/>
        <w:spacing w:line="600" w:lineRule="exact"/>
        <w:ind w:firstLine="640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在工业企业法人单位从业人员中，采矿业165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人，制造业24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753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人，电力、热力、燃气及水生产和供应业24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人，分别占37.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%、56.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%和5.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%。在工业行业大类中，石油和天然气开采业，纺织业，开采专业及辅助性活动从业人员数位居前三位，分别占21.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%、15.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%和13.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%（详见表3-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60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表3-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按行业大类分组的工业企业法人单位数和从业人员</w:t>
      </w:r>
    </w:p>
    <w:tbl>
      <w:tblPr>
        <w:tblStyle w:val="12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5"/>
        <w:gridCol w:w="1823"/>
        <w:gridCol w:w="1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right"/>
        </w:trPr>
        <w:tc>
          <w:tcPr>
            <w:tcW w:w="513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8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3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1142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43689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煤炭开采和洗选业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石油和天然气开采业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非金属矿采选业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开采专业及辅助性活动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67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其他采矿业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农副食品加工业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33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食品制造业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33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酒、饮料和精制茶制造业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烟草制品业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纺织业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纺织服装、服饰业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家具制造业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造纸和纸制品业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印刷和记录媒介复制业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文教、工美、体育和娱乐用品制造业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73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医药制造业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化学纤维制造业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橡胶和塑料制品业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81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非金属矿物制品业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167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金属制品业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161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通用设备制造业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48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专用设备制造业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64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汽车制造业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电气机械和器材制造业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仪器仪表制造业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其他制造业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废弃资源综合利用业　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金属制品、机械和设备修理业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76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电力、热力生产和供应业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燃气生产和供应业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right"/>
        </w:trPr>
        <w:tc>
          <w:tcPr>
            <w:tcW w:w="51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水的生产和供应业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693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2"/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  <w:t>（二）主要经济指标</w:t>
      </w:r>
    </w:p>
    <w:p>
      <w:pPr>
        <w:widowControl/>
        <w:spacing w:line="600" w:lineRule="exac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2023年末，工业企业法人单位资产总计23322713.69万元，比2018年末增长65.1%；负债合计9910625.60万元，比2018年末增长57.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%。</w:t>
      </w:r>
    </w:p>
    <w:p>
      <w:pPr>
        <w:widowControl/>
        <w:spacing w:line="600" w:lineRule="exac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2023年，工业企业法人单位全年实现营业收入10380210.44万元，比2018年末增长45.5%（详见表3-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60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表3-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　按行业大类分组的工业企业法人单位主要经济指标</w:t>
      </w:r>
    </w:p>
    <w:tbl>
      <w:tblPr>
        <w:tblStyle w:val="1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13"/>
        <w:gridCol w:w="1563"/>
        <w:gridCol w:w="1472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0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资产总计</w:t>
            </w:r>
          </w:p>
          <w:p>
            <w:pPr>
              <w:widowControl/>
              <w:spacing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00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负债合计</w:t>
            </w:r>
          </w:p>
          <w:p>
            <w:pPr>
              <w:widowControl/>
              <w:spacing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06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营业收入</w:t>
            </w:r>
          </w:p>
          <w:p>
            <w:pPr>
              <w:widowControl/>
              <w:spacing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2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合　计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23322713.69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9910625.60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10380210.44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煤炭开采和洗选业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288527.02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310140.19 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19436.31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石油和天然气开采业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13132136.60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2657085.00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5972235.10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黑色金属矿采选业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420" w:firstLineChars="20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420" w:firstLineChars="20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有色金属矿采选业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420" w:firstLineChars="20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420" w:firstLineChars="20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非金属矿采选业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32813.89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20527.28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6996.57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开采专业及辅助性活动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542747.98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384874.10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325665.72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其他采矿业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687.58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671.40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192.32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农副食品加工业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97051.61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94653.62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199916.13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食品制造业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46569.79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18557.99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24920.50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酒、饮料和精制茶制造业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25431.67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23983.11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25956.48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烟草制品业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—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420" w:firstLineChars="20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420" w:firstLineChars="20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纺织业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1623752.49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1161906.50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758583.84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纺织服装、服饰业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15270.40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8641.41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11492.99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皮革、毛皮、羽毛及其制品和制鞋业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1073.43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641.15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634.80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木材加工和木、竹、藤、棕、草制品业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6522.71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6152.63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3434.49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家具制造业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8750.65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7566.19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3454.79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造纸和纸制品业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112174.07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84258.65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54820.87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印刷和记录媒介复制业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17359.54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11763.64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7604.53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文教、工美、体育和娱乐用品制造业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664.51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579.90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83.65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石油、煤炭及其他燃料加工业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4204.93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6043.41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350.51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化学原料和化学制品制造业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3726757.39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2777333.73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1644669.73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医药制造业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78601.38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50439.50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27529.64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化学纤维制造业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1077608.70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591287.40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383239.00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橡胶和塑料制品业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137677.68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109912.48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94882.41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非金属矿物制品业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424519.82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211616.29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201569.06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黑色金属冶炼和压延加工业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794.45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639.06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1215.27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有色金属冶炼和压延加工业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4919.20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3885.70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38.30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金属制品业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116798.89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89198.82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112335.57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通用设备制造业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36213.41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19339.23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13824.72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专用设备制造业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51476.23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40086.48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39342.62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汽车制造业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5858.50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902.30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120.40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铁路、船舶、航空航天和其他运输设备制造业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5893.90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2534.50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4148.40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电气机械和器材制造业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20818.11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12771.70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16115.51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计算机、通信和其他电子设备制造业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631.42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635.80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1165.31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仪器仪表制造业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—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420" w:firstLineChars="20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420" w:firstLineChars="20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其他制造业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24607.80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0118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.70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4565.10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废弃资源综合利用业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186.30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414.20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18.90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金属制品、机械和设备修理业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19514.04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13933.82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11028.88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电力、热力生产和供应业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798204.16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562960.96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180059.59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燃气生产和供应业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306644.39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213040.55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169698.70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60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水的生产和供应业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529249.05 </w:t>
            </w: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391528.21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58863.73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00" w:lineRule="exact"/>
        <w:ind w:left="0" w:leftChars="0" w:firstLine="640" w:firstLineChars="200"/>
        <w:jc w:val="left"/>
        <w:textAlignment w:val="auto"/>
        <w:outlineLvl w:val="2"/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  <w:t>（三）主要工业产品产量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2023年，规模以上工业主要产品产量详见表3-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30" w:line="60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方正楷体_GB2312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表3-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　规模以上工业主要产品产量</w:t>
      </w:r>
    </w:p>
    <w:tbl>
      <w:tblPr>
        <w:tblStyle w:val="1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57"/>
        <w:gridCol w:w="1638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4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98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96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纱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万吨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布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亿米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化学纤维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粗钢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ind w:firstLine="420" w:firstLineChars="20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钢材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ind w:firstLine="420" w:firstLineChars="20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水泥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乙烯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56.87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化肥（折100%）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left="6" w:leftChars="0" w:right="6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发电机组（发电设备）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万千瓦时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420" w:firstLineChars="20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00" w:lineRule="exact"/>
        <w:ind w:left="0" w:leftChars="0" w:firstLine="640" w:firstLineChars="200"/>
        <w:jc w:val="left"/>
        <w:textAlignment w:val="auto"/>
        <w:outlineLvl w:val="2"/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  <w:t>（四）主要能源产品产量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2023年，主要能源产品产量详见表3-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30" w:line="600" w:lineRule="exact"/>
        <w:ind w:left="0" w:leftChars="0" w:right="6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</w:p>
    <w:p>
      <w:pPr>
        <w:pStyle w:val="2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30" w:line="60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表3-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　主要能源产品产量</w:t>
      </w:r>
    </w:p>
    <w:tbl>
      <w:tblPr>
        <w:tblStyle w:val="1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57"/>
        <w:gridCol w:w="1638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4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98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96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原煤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万吨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原油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747.92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天然气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亿立方米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324.99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发电量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亿千瓦时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51.64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    其中：火力发电量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亿千瓦时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058"/>
              </w:tabs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水力发电量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亿千瓦时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="6" w:right="6" w:firstLine="420" w:firstLineChars="20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073"/>
              </w:tabs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风力发电量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亿千瓦时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420" w:firstLineChars="20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118"/>
              </w:tabs>
              <w:spacing w:line="320" w:lineRule="exact"/>
              <w:ind w:left="6" w:right="6" w:firstLine="1050" w:firstLineChars="5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太阳能发电量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亿千瓦时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3.16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建筑业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  <w:t>（一）企业法人单位数和从业人员</w:t>
      </w:r>
    </w:p>
    <w:p>
      <w:pPr>
        <w:widowControl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2023年末，全市共有建筑业企业法人单位160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个，比2018年末增长30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%；从业人员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13609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人，比2018年末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6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7.9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%。</w:t>
      </w:r>
    </w:p>
    <w:p>
      <w:pPr>
        <w:widowControl/>
        <w:spacing w:line="600" w:lineRule="exac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建筑业企业法人单位中，房屋建筑业占23.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%，土木工程建筑业占19.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%，建筑安装业占12.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%，建筑装饰、装修和其他建筑业占45.5%。</w:t>
      </w:r>
    </w:p>
    <w:p>
      <w:pPr>
        <w:widowControl/>
        <w:spacing w:line="6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 xml:space="preserve">    建筑业企业法人单位从业人员中，房屋建筑业占30.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%，土木工程建筑业占3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7.0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%，建筑安装业占10.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%，建筑装饰、装修和其他建筑业占22.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%（详见表3-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30" w:line="60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表3-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　按行业大类分组的建筑业企业法人单位数和从业人员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2508"/>
        <w:gridCol w:w="1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1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9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企业法人单位</w:t>
            </w:r>
          </w:p>
          <w:p>
            <w:pPr>
              <w:widowControl/>
              <w:spacing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（个）</w:t>
            </w:r>
          </w:p>
        </w:tc>
        <w:tc>
          <w:tcPr>
            <w:tcW w:w="21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从业人员</w:t>
            </w:r>
          </w:p>
          <w:p>
            <w:pPr>
              <w:widowControl/>
              <w:spacing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合　计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1604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1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房屋建筑业</w:t>
            </w:r>
          </w:p>
        </w:tc>
        <w:tc>
          <w:tcPr>
            <w:tcW w:w="29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2111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1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土木工程建筑业</w:t>
            </w:r>
          </w:p>
        </w:tc>
        <w:tc>
          <w:tcPr>
            <w:tcW w:w="29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2111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1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建筑安装业</w:t>
            </w:r>
          </w:p>
        </w:tc>
        <w:tc>
          <w:tcPr>
            <w:tcW w:w="29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2111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1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建筑装饰、装修和其他建筑业</w:t>
            </w:r>
          </w:p>
        </w:tc>
        <w:tc>
          <w:tcPr>
            <w:tcW w:w="290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730</w:t>
            </w:r>
          </w:p>
        </w:tc>
        <w:tc>
          <w:tcPr>
            <w:tcW w:w="211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3068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2"/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  <w:t>（二）主要经济指标</w:t>
      </w:r>
    </w:p>
    <w:p>
      <w:pPr>
        <w:widowControl/>
        <w:spacing w:line="600" w:lineRule="exact"/>
        <w:ind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 xml:space="preserve">    2023年末，建筑业企业法人单位资产总计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1880539.15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万元，比2018年末增长7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2.8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%；负债合计1547357.95万元，比2018年末增长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105.8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%。</w:t>
      </w:r>
    </w:p>
    <w:p>
      <w:pPr>
        <w:widowControl/>
        <w:spacing w:line="600" w:lineRule="exact"/>
        <w:ind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 xml:space="preserve">    2023年，建筑业企业法人单位全年实现营业收入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1199944.06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万元，比2018年末增长3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5.1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%（详见表3-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30" w:line="60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表3-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　按行业大类分组的建筑业企业法人单位主要经济指标</w:t>
      </w:r>
    </w:p>
    <w:tbl>
      <w:tblPr>
        <w:tblStyle w:val="1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38"/>
        <w:gridCol w:w="1787"/>
        <w:gridCol w:w="1787"/>
        <w:gridCol w:w="1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6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07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资产总计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07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负债合计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07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营业收入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6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合　计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1880539.15 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1547357.95 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1199944.06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6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房屋建筑业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1019966.14 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810165.51  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734962.72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6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土木工程建筑业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661376.23 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574001.65 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284621.81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6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建筑安装业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88494.80 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59128.66 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71878.78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69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建筑装饰、装修和其他建筑业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110701.98 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104062.13 </w:t>
            </w:r>
          </w:p>
        </w:tc>
        <w:tc>
          <w:tcPr>
            <w:tcW w:w="1790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108480.75 </w:t>
            </w:r>
          </w:p>
        </w:tc>
      </w:tr>
    </w:tbl>
    <w:p>
      <w:pPr>
        <w:spacing w:line="600" w:lineRule="exact"/>
        <w:ind w:firstLine="0" w:firstLineChars="0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</w:pPr>
    </w:p>
    <w:p>
      <w:pPr>
        <w:spacing w:line="600" w:lineRule="exact"/>
        <w:ind w:firstLine="640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  <w:t>注释：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  <w:t>[1]登记注册统计类别：根据国家统计局、国家市场监督管理总局《关于市场主体统计分类的划分规定》（国统字〔2023〕14号）确定，包括内资企业、港澳台投资企业和外商投资企业，以及农民专业合作社（联合社）等其他统计类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  <w:t>[2]规模以上工业：是指年主营业务收入2000万元及以上的工业法人单位。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  <w:t>[3]表中的合计数和部分计算数据因小数取舍而产生的误差，均未作机械调整。为保证数据精确度，个别数据保留2位小数。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rPr>
          <w:color w:val="auto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  <w:t>[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  <w:t>]表中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/>
        </w:rPr>
        <w:t>符号“—”表示没有数据或数据过小。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A0E4C9-F993-4602-A949-74DC65D617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884B5195-27FB-4022-8DE6-590126B5EE75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C04D9BB-0C20-4486-BD04-4686295862D4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7ACBA08-1AD0-4EFE-82E8-2C7BAE9893B9}"/>
  </w:font>
  <w:font w:name="Meeting on your heart">
    <w:panose1 w:val="02000503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elanie BT Std Roman">
    <w:panose1 w:val="02010600010101010101"/>
    <w:charset w:val="86"/>
    <w:family w:val="auto"/>
    <w:pitch w:val="default"/>
    <w:sig w:usb0="00000000" w:usb1="00000000" w:usb2="00000000" w:usb3="00000000" w:csb0="00000000" w:csb1="00000000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E16846DD-CC97-4878-A0FF-9829479912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DF4864"/>
    <w:rsid w:val="01D310DA"/>
    <w:rsid w:val="05F72E03"/>
    <w:rsid w:val="08A80C1B"/>
    <w:rsid w:val="0BB935FB"/>
    <w:rsid w:val="0D703BC7"/>
    <w:rsid w:val="119F4A7B"/>
    <w:rsid w:val="11D224F7"/>
    <w:rsid w:val="12260CF8"/>
    <w:rsid w:val="128A572B"/>
    <w:rsid w:val="19E45391"/>
    <w:rsid w:val="19F1028F"/>
    <w:rsid w:val="1B7B0307"/>
    <w:rsid w:val="1CFB3724"/>
    <w:rsid w:val="1DD45AAC"/>
    <w:rsid w:val="1DDF59A5"/>
    <w:rsid w:val="1F59095F"/>
    <w:rsid w:val="21DA015B"/>
    <w:rsid w:val="22737F8A"/>
    <w:rsid w:val="295B3526"/>
    <w:rsid w:val="29F01EC0"/>
    <w:rsid w:val="2CFA02E0"/>
    <w:rsid w:val="40A9495A"/>
    <w:rsid w:val="488616F7"/>
    <w:rsid w:val="4B7672F1"/>
    <w:rsid w:val="4B8F1ED3"/>
    <w:rsid w:val="4B905E28"/>
    <w:rsid w:val="4FD70FE8"/>
    <w:rsid w:val="536A2433"/>
    <w:rsid w:val="5A5C3606"/>
    <w:rsid w:val="5B1D1050"/>
    <w:rsid w:val="5C786E0C"/>
    <w:rsid w:val="5DDB1CD5"/>
    <w:rsid w:val="5E8720EC"/>
    <w:rsid w:val="62E132A7"/>
    <w:rsid w:val="641F5E01"/>
    <w:rsid w:val="64A31301"/>
    <w:rsid w:val="684D1CB0"/>
    <w:rsid w:val="6C133210"/>
    <w:rsid w:val="6F0312AE"/>
    <w:rsid w:val="7407365B"/>
    <w:rsid w:val="74735F4F"/>
    <w:rsid w:val="77672662"/>
    <w:rsid w:val="7AD63D87"/>
    <w:rsid w:val="7D430DB4"/>
    <w:rsid w:val="7D56010D"/>
    <w:rsid w:val="BAD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Cs w:val="20"/>
    </w:rPr>
  </w:style>
  <w:style w:type="paragraph" w:styleId="4">
    <w:name w:val="Normal Indent"/>
    <w:basedOn w:val="1"/>
    <w:next w:val="1"/>
    <w:qFormat/>
    <w:uiPriority w:val="0"/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itle"/>
    <w:basedOn w:val="1"/>
    <w:next w:val="1"/>
    <w:qFormat/>
    <w:uiPriority w:val="10"/>
    <w:pPr>
      <w:widowControl/>
      <w:ind w:firstLine="0" w:firstLineChars="0"/>
      <w:jc w:val="center"/>
    </w:pPr>
    <w:rPr>
      <w:rFonts w:eastAsia="微软雅黑"/>
      <w:b/>
      <w:bCs/>
      <w:sz w:val="4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"/>
    <w:basedOn w:val="6"/>
    <w:next w:val="2"/>
    <w:unhideWhenUsed/>
    <w:qFormat/>
    <w:uiPriority w:val="99"/>
    <w:pPr>
      <w:ind w:firstLine="420" w:firstLineChars="100"/>
    </w:pPr>
    <w:rPr>
      <w:rFonts w:ascii="等线" w:hAnsi="等线" w:eastAsia="等线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5431</Words>
  <Characters>6668</Characters>
  <Lines>0</Lines>
  <Paragraphs>0</Paragraphs>
  <TotalTime>56</TotalTime>
  <ScaleCrop>false</ScaleCrop>
  <LinksUpToDate>false</LinksUpToDate>
  <CharactersWithSpaces>6811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2025-08-16T00:29:00Z</dcterms:created>
  <dc:creator>小朱</dc:creator>
  <cp:lastModifiedBy>Administrator</cp:lastModifiedBy>
  <dcterms:modified xsi:type="dcterms:W3CDTF">2025-09-08T06:17:38Z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77F7C65340654F3ABA166AC553DB20EC_13</vt:lpwstr>
  </property>
  <property fmtid="{D5CDD505-2E9C-101B-9397-08002B2CF9AE}" pid="4" name="KSOTemplateDocerSaveRecord">
    <vt:lpwstr>eyJoZGlkIjoiZDZmNGFiNmJkYmNiNzE4OTUyYzgwZTIxMTA4MDYzNjgiLCJ1c2VySWQiOiIzNzcxMDYwMDIifQ==</vt:lpwstr>
  </property>
</Properties>
</file>