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tabs>
          <w:tab w:val="left" w:pos="3840"/>
          <w:tab w:val="left" w:pos="4080"/>
        </w:tabs>
        <w:rPr>
          <w:rFonts w:hint="eastAsia"/>
          <w:color w:val="000000"/>
          <w:shd w:val="clear" w:color="auto" w:fill="auto"/>
        </w:rPr>
      </w:pPr>
      <w:bookmarkStart w:id="225" w:name="_GoBack"/>
      <w:bookmarkEnd w:id="225"/>
    </w:p>
    <w:p>
      <w:pPr>
        <w:pStyle w:val="11"/>
        <w:rPr>
          <w:rFonts w:hint="eastAsia"/>
          <w:color w:val="000000"/>
          <w:shd w:val="clear" w:color="auto" w:fill="auto"/>
        </w:rPr>
      </w:pPr>
    </w:p>
    <w:p>
      <w:pPr>
        <w:ind w:firstLine="0" w:firstLineChars="0"/>
        <w:jc w:val="center"/>
        <w:rPr>
          <w:rFonts w:hint="eastAsia" w:eastAsia="宋体" w:cs="宋体"/>
          <w:b/>
          <w:bCs/>
          <w:color w:val="000000"/>
          <w:sz w:val="40"/>
          <w:szCs w:val="40"/>
          <w:shd w:val="clear" w:color="auto" w:fill="auto"/>
          <w:lang w:val="en-US" w:eastAsia="zh-CN" w:bidi="ar-SA"/>
        </w:rPr>
      </w:pPr>
    </w:p>
    <w:p>
      <w:pPr>
        <w:pStyle w:val="36"/>
        <w:spacing w:before="2133" w:after="0" w:line="449" w:lineRule="exact"/>
        <w:ind w:right="0"/>
        <w:jc w:val="center"/>
        <w:rPr>
          <w:rFonts w:hint="eastAsia" w:ascii="黑体" w:hAnsi="Times New Roman" w:eastAsia="黑体" w:cs="Times New Roman"/>
          <w:bCs/>
          <w:color w:val="000000"/>
          <w:sz w:val="38"/>
          <w:szCs w:val="38"/>
          <w:shd w:val="clear" w:color="auto" w:fill="auto"/>
          <w:lang w:val="en-US" w:eastAsia="zh-CN" w:bidi="ar-SA"/>
        </w:rPr>
      </w:pPr>
      <w:r>
        <w:rPr>
          <w:rFonts w:hint="eastAsia" w:ascii="黑体" w:hAnsi="Times New Roman" w:eastAsia="黑体" w:cs="Times New Roman"/>
          <w:bCs/>
          <w:color w:val="000000"/>
          <w:sz w:val="38"/>
          <w:szCs w:val="38"/>
          <w:shd w:val="clear" w:color="auto" w:fill="auto"/>
          <w:lang w:val="en-US" w:eastAsia="zh-CN" w:bidi="ar-SA"/>
        </w:rPr>
        <w:t>巴州环城110千伏输变电工程社会稳定风险评估报告</w:t>
      </w:r>
    </w:p>
    <w:p>
      <w:pPr>
        <w:pStyle w:val="11"/>
        <w:rPr>
          <w:rFonts w:hint="eastAsia" w:ascii="黑体" w:eastAsia="黑体"/>
          <w:b/>
          <w:color w:val="000000"/>
          <w:sz w:val="48"/>
          <w:szCs w:val="48"/>
          <w:shd w:val="clear" w:color="auto" w:fill="auto"/>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outlineLvl w:val="9"/>
        <w:rPr>
          <w:rFonts w:hint="eastAsia" w:ascii="黑体" w:eastAsia="黑体"/>
          <w:b/>
          <w:color w:val="000000"/>
          <w:sz w:val="48"/>
          <w:szCs w:val="48"/>
          <w:shd w:val="clear" w:color="auto" w:fill="auto"/>
        </w:rPr>
      </w:pPr>
      <w:r>
        <w:rPr>
          <w:rFonts w:hint="eastAsia" w:ascii="黑体" w:eastAsia="黑体"/>
          <w:color w:val="000000"/>
          <w:shd w:val="clear" w:color="auto" w:fill="auto"/>
        </w:rPr>
        <w:drawing>
          <wp:inline distT="0" distB="0" distL="114300" distR="114300">
            <wp:extent cx="1892935" cy="1971675"/>
            <wp:effectExtent l="0" t="0" r="34" b="30"/>
            <wp:docPr id="4" name="图片 1" descr="公司标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公司标志1"/>
                    <pic:cNvPicPr>
                      <a:picLocks noChangeAspect="1"/>
                    </pic:cNvPicPr>
                  </pic:nvPicPr>
                  <pic:blipFill>
                    <a:blip r:embed="rId13">
                      <a:clrChange>
                        <a:clrFrom>
                          <a:srgbClr val="FFFCFA"/>
                        </a:clrFrom>
                        <a:clrTo>
                          <a:srgbClr val="FFFCFA">
                            <a:alpha val="0"/>
                          </a:srgbClr>
                        </a:clrTo>
                      </a:clrChange>
                      <a:lum bright="17999" contrast="6000"/>
                    </a:blip>
                    <a:stretch>
                      <a:fillRect/>
                    </a:stretch>
                  </pic:blipFill>
                  <pic:spPr>
                    <a:xfrm>
                      <a:off x="0" y="0"/>
                      <a:ext cx="1892935" cy="1971675"/>
                    </a:xfrm>
                    <a:prstGeom prst="rect">
                      <a:avLst/>
                    </a:prstGeom>
                    <a:noFill/>
                    <a:ln w="9525" cap="flat" cmpd="sng">
                      <a:noFill/>
                      <a:prstDash val="solid"/>
                      <a:round/>
                    </a:ln>
                  </pic:spPr>
                </pic:pic>
              </a:graphicData>
            </a:graphic>
          </wp:inline>
        </w:drawing>
      </w:r>
    </w:p>
    <w:p>
      <w:pPr>
        <w:pStyle w:val="15"/>
        <w:adjustRightInd/>
        <w:textAlignment w:val="auto"/>
        <w:rPr>
          <w:rFonts w:hint="eastAsia"/>
          <w:color w:val="000000"/>
          <w:kern w:val="2"/>
          <w:szCs w:val="24"/>
          <w:shd w:val="clear" w:color="auto" w:fill="auto"/>
        </w:rPr>
      </w:pPr>
    </w:p>
    <w:p>
      <w:pPr>
        <w:pStyle w:val="15"/>
        <w:adjustRightInd/>
        <w:textAlignment w:val="auto"/>
        <w:rPr>
          <w:rFonts w:hint="eastAsia"/>
          <w:color w:val="000000"/>
          <w:kern w:val="2"/>
          <w:szCs w:val="24"/>
          <w:shd w:val="clear" w:color="auto" w:fill="auto"/>
        </w:rPr>
      </w:pPr>
    </w:p>
    <w:p>
      <w:pPr>
        <w:pStyle w:val="15"/>
        <w:adjustRightInd/>
        <w:textAlignment w:val="auto"/>
        <w:rPr>
          <w:rFonts w:hint="eastAsia"/>
          <w:color w:val="000000"/>
          <w:kern w:val="2"/>
          <w:szCs w:val="24"/>
          <w:shd w:val="clear" w:color="auto" w:fill="auto"/>
        </w:rPr>
      </w:pPr>
    </w:p>
    <w:p>
      <w:pPr>
        <w:pStyle w:val="15"/>
        <w:adjustRightInd/>
        <w:textAlignment w:val="auto"/>
        <w:rPr>
          <w:rFonts w:hint="eastAsia"/>
          <w:color w:val="000000"/>
          <w:kern w:val="2"/>
          <w:szCs w:val="24"/>
          <w:shd w:val="clear" w:color="auto" w:fill="auto"/>
        </w:rPr>
      </w:pPr>
    </w:p>
    <w:p>
      <w:pPr>
        <w:ind w:left="0" w:firstLine="0" w:firstLineChars="0"/>
        <w:jc w:val="center"/>
        <w:rPr>
          <w:rFonts w:hint="eastAsia" w:ascii="黑体" w:eastAsia="黑体"/>
          <w:bCs/>
          <w:color w:val="000000"/>
          <w:sz w:val="38"/>
          <w:szCs w:val="38"/>
          <w:shd w:val="clear" w:color="auto" w:fill="auto"/>
        </w:rPr>
      </w:pPr>
      <w:r>
        <w:rPr>
          <w:rFonts w:hint="eastAsia" w:ascii="黑体" w:eastAsia="黑体"/>
          <w:bCs/>
          <w:color w:val="000000"/>
          <w:sz w:val="38"/>
          <w:szCs w:val="38"/>
          <w:shd w:val="clear" w:color="auto" w:fill="auto"/>
          <w:lang w:val="en-US" w:eastAsia="zh-CN"/>
        </w:rPr>
        <w:t xml:space="preserve">  </w:t>
      </w:r>
      <w:r>
        <w:rPr>
          <w:rFonts w:hint="eastAsia" w:ascii="黑体" w:eastAsia="黑体"/>
          <w:bCs/>
          <w:color w:val="000000"/>
          <w:sz w:val="38"/>
          <w:szCs w:val="38"/>
          <w:shd w:val="clear" w:color="auto" w:fill="auto"/>
        </w:rPr>
        <w:t>巴州科汇电力设计有限责任公司</w:t>
      </w: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outlineLvl w:val="9"/>
        <w:rPr>
          <w:rFonts w:hint="eastAsia" w:ascii="黑体" w:eastAsia="黑体"/>
          <w:bCs/>
          <w:color w:val="000000"/>
          <w:sz w:val="34"/>
          <w:szCs w:val="34"/>
          <w:shd w:val="clear" w:color="auto" w:fill="auto"/>
        </w:rPr>
      </w:pPr>
      <w:r>
        <w:rPr>
          <w:rFonts w:hint="eastAsia" w:ascii="黑体" w:eastAsia="黑体"/>
          <w:bCs/>
          <w:color w:val="000000"/>
          <w:sz w:val="34"/>
          <w:szCs w:val="34"/>
          <w:shd w:val="clear" w:color="auto" w:fill="auto"/>
          <w:lang w:val="en-US" w:eastAsia="zh-CN"/>
        </w:rPr>
        <w:t xml:space="preserve"> </w:t>
      </w:r>
      <w:r>
        <w:rPr>
          <w:rFonts w:hint="eastAsia" w:ascii="黑体" w:eastAsia="黑体"/>
          <w:bCs/>
          <w:color w:val="000000"/>
          <w:sz w:val="34"/>
          <w:szCs w:val="34"/>
          <w:shd w:val="clear" w:color="auto" w:fill="auto"/>
        </w:rPr>
        <w:t>20</w:t>
      </w:r>
      <w:r>
        <w:rPr>
          <w:rFonts w:hint="eastAsia" w:ascii="黑体" w:eastAsia="黑体"/>
          <w:bCs/>
          <w:color w:val="000000"/>
          <w:sz w:val="34"/>
          <w:szCs w:val="34"/>
          <w:shd w:val="clear" w:color="auto" w:fill="auto"/>
          <w:lang w:val="en-US" w:eastAsia="zh-CN"/>
        </w:rPr>
        <w:t>2</w:t>
      </w:r>
      <w:r>
        <w:rPr>
          <w:rFonts w:ascii="黑体" w:eastAsia="黑体"/>
          <w:bCs/>
          <w:color w:val="000000"/>
          <w:sz w:val="34"/>
          <w:szCs w:val="34"/>
          <w:shd w:val="clear" w:color="auto" w:fill="auto"/>
          <w:lang w:val="en-US" w:eastAsia="zh-CN"/>
        </w:rPr>
        <w:t>5</w:t>
      </w:r>
      <w:r>
        <w:rPr>
          <w:rFonts w:hint="eastAsia" w:ascii="黑体" w:eastAsia="黑体"/>
          <w:bCs/>
          <w:color w:val="000000"/>
          <w:sz w:val="34"/>
          <w:szCs w:val="34"/>
          <w:shd w:val="clear" w:color="auto" w:fill="auto"/>
        </w:rPr>
        <w:t>年</w:t>
      </w:r>
      <w:r>
        <w:rPr>
          <w:rFonts w:hint="eastAsia" w:ascii="黑体" w:eastAsia="黑体"/>
          <w:bCs/>
          <w:color w:val="000000"/>
          <w:sz w:val="34"/>
          <w:szCs w:val="34"/>
          <w:shd w:val="clear" w:color="auto" w:fill="auto"/>
          <w:lang w:val="en-US" w:eastAsia="zh-CN"/>
        </w:rPr>
        <w:t>8</w:t>
      </w:r>
      <w:r>
        <w:rPr>
          <w:rFonts w:hint="eastAsia" w:ascii="黑体" w:eastAsia="黑体"/>
          <w:bCs/>
          <w:color w:val="000000"/>
          <w:sz w:val="34"/>
          <w:szCs w:val="34"/>
          <w:shd w:val="clear" w:color="auto" w:fill="auto"/>
        </w:rPr>
        <w:t>月</w:t>
      </w:r>
    </w:p>
    <w:p>
      <w:pPr>
        <w:pStyle w:val="15"/>
        <w:rPr>
          <w:rFonts w:hint="eastAsia" w:ascii="黑体" w:eastAsia="黑体"/>
          <w:bCs/>
          <w:color w:val="000000"/>
          <w:sz w:val="34"/>
          <w:szCs w:val="34"/>
          <w:shd w:val="clear" w:color="auto" w:fill="auto"/>
        </w:rPr>
      </w:pPr>
    </w:p>
    <w:p>
      <w:pPr>
        <w:rPr>
          <w:rFonts w:hint="eastAsia" w:ascii="黑体" w:eastAsia="黑体"/>
          <w:bCs/>
          <w:color w:val="000000"/>
          <w:sz w:val="34"/>
          <w:szCs w:val="34"/>
          <w:shd w:val="clear" w:color="auto" w:fill="auto"/>
        </w:rPr>
      </w:pPr>
    </w:p>
    <w:p>
      <w:pPr>
        <w:pStyle w:val="15"/>
        <w:rPr>
          <w:rFonts w:hint="eastAsia"/>
        </w:rPr>
        <w:sectPr>
          <w:headerReference r:id="rId4" w:type="first"/>
          <w:headerReference r:id="rId3" w:type="default"/>
          <w:footerReference r:id="rId5" w:type="default"/>
          <w:pgSz w:w="11906" w:h="16838"/>
          <w:pgMar w:top="1174" w:right="1644" w:bottom="1474" w:left="1644" w:header="0" w:footer="794" w:gutter="0"/>
          <w:pgNumType w:fmt="upperRoman" w:start="1"/>
          <w:cols w:space="720" w:num="1"/>
          <w:titlePg/>
          <w:docGrid w:linePitch="312" w:charSpace="0"/>
        </w:sectPr>
      </w:pPr>
    </w:p>
    <w:p>
      <w:pPr>
        <w:pStyle w:val="11"/>
        <w:ind w:left="0" w:firstLine="0" w:firstLineChars="0"/>
        <w:jc w:val="both"/>
      </w:pPr>
      <w:r>
        <w:drawing>
          <wp:inline distT="0" distB="0" distL="114300" distR="114300">
            <wp:extent cx="5448300" cy="7809865"/>
            <wp:effectExtent l="0" t="0" r="12" b="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4"/>
                    <a:stretch>
                      <a:fillRect/>
                    </a:stretch>
                  </pic:blipFill>
                  <pic:spPr>
                    <a:xfrm>
                      <a:off x="0" y="0"/>
                      <a:ext cx="5448300" cy="7809865"/>
                    </a:xfrm>
                    <a:prstGeom prst="rect">
                      <a:avLst/>
                    </a:prstGeom>
                    <a:noFill/>
                    <a:ln w="9525" cap="flat" cmpd="sng">
                      <a:noFill/>
                      <a:prstDash val="solid"/>
                      <a:round/>
                    </a:ln>
                  </pic:spPr>
                </pic:pic>
              </a:graphicData>
            </a:graphic>
          </wp:inline>
        </w:drawing>
      </w:r>
    </w:p>
    <w:p>
      <w:pPr>
        <w:rPr>
          <w:rFonts w:hint="eastAsia"/>
          <w:lang w:eastAsia="zh-CN"/>
        </w:rPr>
        <w:sectPr>
          <w:pgSz w:w="11906" w:h="16838"/>
          <w:pgMar w:top="1174" w:right="1644" w:bottom="1474" w:left="1644" w:header="0" w:footer="794" w:gutter="0"/>
          <w:pgNumType w:fmt="upperRoman" w:start="1"/>
          <w:cols w:space="720" w:num="1"/>
          <w:titlePg/>
          <w:docGrid w:linePitch="312" w:charSpace="0"/>
        </w:sectPr>
      </w:pPr>
    </w:p>
    <w:p>
      <w:pPr>
        <w:ind w:left="0" w:firstLine="0" w:firstLineChars="0"/>
        <w:rPr>
          <w:rFonts w:hint="eastAsia"/>
          <w:color w:val="000000"/>
        </w:rPr>
      </w:pPr>
      <w:r>
        <w:drawing>
          <wp:inline distT="0" distB="0" distL="114300" distR="114300">
            <wp:extent cx="5203190" cy="7749540"/>
            <wp:effectExtent l="0" t="0" r="48" b="23"/>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203190" cy="7749540"/>
                    </a:xfrm>
                    <a:prstGeom prst="rect">
                      <a:avLst/>
                    </a:prstGeom>
                    <a:noFill/>
                    <a:ln w="9525" cap="flat" cmpd="sng">
                      <a:noFill/>
                      <a:prstDash val="solid"/>
                      <a:round/>
                    </a:ln>
                  </pic:spPr>
                </pic:pic>
              </a:graphicData>
            </a:graphic>
          </wp:inline>
        </w:drawing>
      </w:r>
    </w:p>
    <w:p>
      <w:pPr>
        <w:pStyle w:val="11"/>
        <w:rPr>
          <w:rFonts w:hint="eastAsia"/>
          <w:color w:val="000000"/>
          <w:shd w:val="clear" w:color="auto" w:fill="auto"/>
        </w:rPr>
      </w:pPr>
    </w:p>
    <w:p>
      <w:pPr>
        <w:pStyle w:val="11"/>
        <w:ind w:left="0" w:firstLine="0" w:firstLineChars="0"/>
        <w:rPr>
          <w:rFonts w:hint="eastAsia" w:eastAsia="宋体"/>
          <w:color w:val="000000"/>
          <w:lang w:eastAsia="zh-CN"/>
        </w:rPr>
      </w:pPr>
    </w:p>
    <w:p>
      <w:pPr>
        <w:rPr>
          <w:rFonts w:hint="eastAsia" w:eastAsia="宋体"/>
          <w:color w:val="000000"/>
          <w:lang w:eastAsia="zh-CN"/>
        </w:rPr>
      </w:pPr>
    </w:p>
    <w:p>
      <w:pPr>
        <w:pStyle w:val="15"/>
        <w:rPr>
          <w:rFonts w:hint="eastAsia"/>
          <w:lang w:eastAsia="zh-CN"/>
        </w:rPr>
      </w:pPr>
    </w:p>
    <w:p>
      <w:pPr>
        <w:rPr>
          <w:rFonts w:hint="eastAsia"/>
          <w:color w:val="000000"/>
        </w:rPr>
      </w:pPr>
      <w:r>
        <w:rPr>
          <w:rFonts w:hint="eastAsia" w:ascii="黑体" w:eastAsia="黑体" w:cs="黑体"/>
          <w:color w:val="000000"/>
          <w:sz w:val="32"/>
          <w:szCs w:val="32"/>
          <w:lang w:eastAsia="zh-CN"/>
        </w:rPr>
        <w:drawing>
          <wp:anchor distT="0" distB="0" distL="114300" distR="114300" simplePos="0" relativeHeight="251659264" behindDoc="0" locked="0" layoutInCell="1" allowOverlap="1">
            <wp:simplePos x="0" y="0"/>
            <wp:positionH relativeFrom="column">
              <wp:posOffset>1772285</wp:posOffset>
            </wp:positionH>
            <wp:positionV relativeFrom="paragraph">
              <wp:posOffset>175260</wp:posOffset>
            </wp:positionV>
            <wp:extent cx="603250" cy="438785"/>
            <wp:effectExtent l="0" t="0" r="0" b="0"/>
            <wp:wrapNone/>
            <wp:docPr id="13" name="图片 13" descr="曹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曹涛2"/>
                    <pic:cNvPicPr>
                      <a:picLocks noChangeAspect="1"/>
                    </pic:cNvPicPr>
                  </pic:nvPicPr>
                  <pic:blipFill>
                    <a:blip r:embed="rId16"/>
                    <a:stretch>
                      <a:fillRect/>
                    </a:stretch>
                  </pic:blipFill>
                  <pic:spPr>
                    <a:xfrm>
                      <a:off x="0" y="0"/>
                      <a:ext cx="603250" cy="438785"/>
                    </a:xfrm>
                    <a:prstGeom prst="rect">
                      <a:avLst/>
                    </a:prstGeom>
                    <a:noFill/>
                    <a:ln w="9525" cap="flat" cmpd="sng">
                      <a:noFill/>
                      <a:prstDash val="solid"/>
                      <a:miter/>
                    </a:ln>
                  </pic:spPr>
                </pic:pic>
              </a:graphicData>
            </a:graphic>
          </wp:anchor>
        </w:drawing>
      </w:r>
    </w:p>
    <w:p>
      <w:pPr>
        <w:spacing w:line="960" w:lineRule="auto"/>
        <w:ind w:left="0" w:firstLine="1280" w:firstLineChars="400"/>
        <w:rPr>
          <w:rFonts w:hint="eastAsia" w:ascii="黑体" w:eastAsia="黑体" w:cs="黑体"/>
          <w:color w:val="000000"/>
          <w:sz w:val="32"/>
          <w:szCs w:val="32"/>
          <w:lang w:eastAsia="zh-CN"/>
        </w:rPr>
      </w:pPr>
      <w:r>
        <w:rPr>
          <w:rFonts w:ascii="黑体" w:eastAsia="黑体" w:cs="黑体"/>
          <w:color w:val="000000"/>
          <w:sz w:val="32"/>
          <w:szCs w:val="32"/>
        </w:rPr>
        <w:drawing>
          <wp:anchor distT="0" distB="0" distL="114300" distR="114300" simplePos="0" relativeHeight="251659264" behindDoc="0" locked="0" layoutInCell="1" allowOverlap="1">
            <wp:simplePos x="0" y="0"/>
            <wp:positionH relativeFrom="column">
              <wp:posOffset>1817370</wp:posOffset>
            </wp:positionH>
            <wp:positionV relativeFrom="paragraph">
              <wp:posOffset>884555</wp:posOffset>
            </wp:positionV>
            <wp:extent cx="702945" cy="664210"/>
            <wp:effectExtent l="0" t="0" r="0" b="0"/>
            <wp:wrapNone/>
            <wp:docPr id="16" name="图片 3" descr="马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马勇"/>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702944" cy="664210"/>
                    </a:xfrm>
                    <a:prstGeom prst="rect">
                      <a:avLst/>
                    </a:prstGeom>
                    <a:noFill/>
                    <a:ln w="9525" cap="flat" cmpd="sng">
                      <a:noFill/>
                      <a:prstDash val="solid"/>
                      <a:round/>
                    </a:ln>
                  </pic:spPr>
                </pic:pic>
              </a:graphicData>
            </a:graphic>
          </wp:anchor>
        </w:drawing>
      </w:r>
      <w:r>
        <w:rPr>
          <w:rFonts w:hint="eastAsia" w:ascii="黑体" w:eastAsia="黑体" w:cs="黑体"/>
          <w:color w:val="000000"/>
          <w:sz w:val="32"/>
          <w:szCs w:val="32"/>
        </w:rPr>
        <w:t xml:space="preserve">批  准：    </w:t>
      </w:r>
    </w:p>
    <w:p>
      <w:pPr>
        <w:spacing w:line="960" w:lineRule="auto"/>
        <w:ind w:left="0" w:firstLine="1280" w:firstLineChars="400"/>
        <w:rPr>
          <w:rFonts w:hint="eastAsia" w:ascii="黑体" w:eastAsia="黑体" w:cs="黑体"/>
          <w:color w:val="000000"/>
          <w:sz w:val="32"/>
          <w:szCs w:val="32"/>
        </w:rPr>
      </w:pPr>
      <w:r>
        <w:rPr>
          <w:rFonts w:hint="eastAsia" w:ascii="黑体" w:eastAsia="黑体" w:cs="黑体"/>
          <w:color w:val="000000"/>
          <w:sz w:val="32"/>
          <w:szCs w:val="32"/>
        </w:rPr>
        <w:drawing>
          <wp:anchor distT="0" distB="0" distL="114300" distR="114300" simplePos="0" relativeHeight="251659264" behindDoc="0" locked="0" layoutInCell="1" allowOverlap="1">
            <wp:simplePos x="0" y="0"/>
            <wp:positionH relativeFrom="column">
              <wp:posOffset>1713230</wp:posOffset>
            </wp:positionH>
            <wp:positionV relativeFrom="paragraph">
              <wp:posOffset>803275</wp:posOffset>
            </wp:positionV>
            <wp:extent cx="1146175" cy="623570"/>
            <wp:effectExtent l="0" t="0" r="0" b="0"/>
            <wp:wrapNone/>
            <wp:docPr id="19" name="图片 4" descr="余艳华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余艳华签名"/>
                    <pic:cNvPicPr>
                      <a:picLocks noChangeAspect="1"/>
                    </pic:cNvPicPr>
                  </pic:nvPicPr>
                  <pic:blipFill>
                    <a:blip r:embed="rId18"/>
                    <a:stretch>
                      <a:fillRect/>
                    </a:stretch>
                  </pic:blipFill>
                  <pic:spPr>
                    <a:xfrm>
                      <a:off x="0" y="0"/>
                      <a:ext cx="1146174" cy="623569"/>
                    </a:xfrm>
                    <a:prstGeom prst="rect">
                      <a:avLst/>
                    </a:prstGeom>
                    <a:noFill/>
                    <a:ln w="9525" cap="flat" cmpd="sng">
                      <a:noFill/>
                      <a:prstDash val="solid"/>
                      <a:round/>
                    </a:ln>
                  </pic:spPr>
                </pic:pic>
              </a:graphicData>
            </a:graphic>
          </wp:anchor>
        </w:drawing>
      </w:r>
      <w:r>
        <w:rPr>
          <w:rFonts w:hint="eastAsia" w:ascii="黑体" w:eastAsia="黑体" w:cs="黑体"/>
          <w:color w:val="000000"/>
          <w:sz w:val="32"/>
          <w:szCs w:val="32"/>
        </w:rPr>
        <w:t xml:space="preserve">审  查：    </w:t>
      </w:r>
    </w:p>
    <w:p>
      <w:pPr>
        <w:spacing w:line="960" w:lineRule="auto"/>
        <w:ind w:left="0" w:firstLine="1280" w:firstLineChars="400"/>
        <w:rPr>
          <w:rFonts w:hint="eastAsia" w:ascii="黑体" w:eastAsia="黑体" w:cs="黑体"/>
          <w:color w:val="000000"/>
          <w:sz w:val="32"/>
          <w:szCs w:val="32"/>
        </w:rPr>
      </w:pPr>
      <w:r>
        <w:rPr>
          <w:rFonts w:hint="eastAsia" w:ascii="黑体" w:eastAsia="黑体" w:cs="黑体"/>
          <w:color w:val="000000"/>
          <w:sz w:val="32"/>
          <w:szCs w:val="32"/>
        </w:rPr>
        <w:drawing>
          <wp:anchor distT="0" distB="0" distL="114300" distR="114300" simplePos="0" relativeHeight="251659264" behindDoc="0" locked="0" layoutInCell="1" allowOverlap="1">
            <wp:simplePos x="0" y="0"/>
            <wp:positionH relativeFrom="column">
              <wp:posOffset>1791970</wp:posOffset>
            </wp:positionH>
            <wp:positionV relativeFrom="paragraph">
              <wp:posOffset>940435</wp:posOffset>
            </wp:positionV>
            <wp:extent cx="1000125" cy="495300"/>
            <wp:effectExtent l="0" t="0" r="0" b="0"/>
            <wp:wrapNone/>
            <wp:docPr id="22" name="图片 5" descr="胡小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胡小龙3"/>
                    <pic:cNvPicPr>
                      <a:picLocks noChangeAspect="1"/>
                    </pic:cNvPicPr>
                  </pic:nvPicPr>
                  <pic:blipFill>
                    <a:blip r:embed="rId19">
                      <a:lum contrast="11998"/>
                    </a:blip>
                    <a:stretch>
                      <a:fillRect/>
                    </a:stretch>
                  </pic:blipFill>
                  <pic:spPr>
                    <a:xfrm>
                      <a:off x="0" y="0"/>
                      <a:ext cx="1000125" cy="495299"/>
                    </a:xfrm>
                    <a:prstGeom prst="rect">
                      <a:avLst/>
                    </a:prstGeom>
                    <a:noFill/>
                    <a:ln w="9525" cap="flat" cmpd="sng">
                      <a:noFill/>
                      <a:prstDash val="solid"/>
                      <a:round/>
                    </a:ln>
                  </pic:spPr>
                </pic:pic>
              </a:graphicData>
            </a:graphic>
          </wp:anchor>
        </w:drawing>
      </w:r>
      <w:r>
        <w:rPr>
          <w:rFonts w:hint="eastAsia" w:ascii="黑体" w:eastAsia="黑体" w:cs="黑体"/>
          <w:color w:val="000000"/>
          <w:sz w:val="32"/>
          <w:szCs w:val="32"/>
        </w:rPr>
        <w:t xml:space="preserve">校  核：   </w:t>
      </w:r>
    </w:p>
    <w:p>
      <w:pPr>
        <w:spacing w:line="960" w:lineRule="auto"/>
        <w:ind w:left="0" w:firstLine="1280" w:firstLineChars="400"/>
        <w:rPr>
          <w:rFonts w:hint="eastAsia" w:ascii="黑体" w:eastAsia="黑体" w:cs="黑体"/>
          <w:color w:val="000000"/>
          <w:sz w:val="32"/>
          <w:szCs w:val="32"/>
        </w:rPr>
      </w:pPr>
      <w:r>
        <w:rPr>
          <w:rFonts w:hint="eastAsia" w:ascii="黑体" w:eastAsia="黑体" w:cs="黑体"/>
          <w:color w:val="000000"/>
          <w:sz w:val="32"/>
          <w:szCs w:val="32"/>
        </w:rPr>
        <w:t>编  写：</w:t>
      </w:r>
    </w:p>
    <w:p>
      <w:pPr>
        <w:rPr>
          <w:rFonts w:hint="eastAsia"/>
          <w:color w:val="000000"/>
        </w:rPr>
      </w:pPr>
    </w:p>
    <w:p>
      <w:pPr>
        <w:snapToGrid w:val="0"/>
        <w:ind w:firstLine="1417" w:firstLineChars="588"/>
        <w:rPr>
          <w:b/>
          <w:color w:val="000000"/>
          <w:shd w:val="clear" w:color="auto" w:fill="auto"/>
        </w:rPr>
      </w:pPr>
    </w:p>
    <w:p>
      <w:pPr>
        <w:snapToGrid w:val="0"/>
        <w:ind w:firstLine="1417" w:firstLineChars="588"/>
        <w:rPr>
          <w:b/>
          <w:color w:val="000000"/>
          <w:shd w:val="clear" w:color="auto" w:fill="auto"/>
        </w:rPr>
      </w:pPr>
    </w:p>
    <w:p>
      <w:pPr>
        <w:snapToGrid w:val="0"/>
        <w:ind w:firstLine="1417" w:firstLineChars="588"/>
        <w:rPr>
          <w:b/>
          <w:color w:val="000000"/>
          <w:shd w:val="clear" w:color="auto" w:fill="auto"/>
        </w:rPr>
      </w:pPr>
    </w:p>
    <w:p>
      <w:pPr>
        <w:snapToGrid w:val="0"/>
        <w:ind w:firstLine="1417" w:firstLineChars="588"/>
        <w:rPr>
          <w:b/>
          <w:color w:val="000000"/>
          <w:shd w:val="clear" w:color="auto" w:fill="auto"/>
        </w:rPr>
      </w:pPr>
    </w:p>
    <w:p>
      <w:pPr>
        <w:snapToGrid w:val="0"/>
        <w:ind w:firstLine="1417" w:firstLineChars="588"/>
        <w:rPr>
          <w:b/>
          <w:color w:val="000000"/>
          <w:shd w:val="clear" w:color="auto" w:fill="auto"/>
        </w:rPr>
      </w:pPr>
    </w:p>
    <w:p>
      <w:pPr>
        <w:snapToGrid w:val="0"/>
        <w:ind w:firstLine="1417" w:firstLineChars="588"/>
        <w:rPr>
          <w:rFonts w:hint="eastAsia"/>
          <w:b/>
          <w:color w:val="000000"/>
          <w:shd w:val="clear" w:color="auto" w:fill="auto"/>
        </w:rPr>
      </w:pPr>
      <w:r>
        <w:rPr>
          <w:b/>
          <w:color w:val="000000"/>
          <w:shd w:val="clear" w:color="auto" w:fill="auto"/>
        </w:rPr>
        <w:t>单位</w:t>
      </w:r>
      <w:r>
        <w:rPr>
          <w:rFonts w:hint="eastAsia"/>
          <w:b/>
          <w:color w:val="000000"/>
          <w:shd w:val="clear" w:color="auto" w:fill="auto"/>
        </w:rPr>
        <w:t>名称</w:t>
      </w:r>
      <w:r>
        <w:rPr>
          <w:b/>
          <w:color w:val="000000"/>
          <w:shd w:val="clear" w:color="auto" w:fill="auto"/>
        </w:rPr>
        <w:t>：</w:t>
      </w:r>
      <w:r>
        <w:rPr>
          <w:rFonts w:hint="eastAsia"/>
          <w:b/>
          <w:color w:val="000000"/>
          <w:shd w:val="clear" w:color="auto" w:fill="auto"/>
        </w:rPr>
        <w:t>巴州科汇电力设计有限责任公司</w:t>
      </w:r>
    </w:p>
    <w:p>
      <w:pPr>
        <w:snapToGrid w:val="0"/>
        <w:ind w:firstLine="1417" w:firstLineChars="588"/>
        <w:rPr>
          <w:rFonts w:eastAsia="宋体"/>
          <w:b/>
          <w:color w:val="000000"/>
          <w:shd w:val="clear" w:color="auto" w:fill="auto"/>
          <w:lang w:val="en-US" w:eastAsia="zh-CN"/>
        </w:rPr>
      </w:pPr>
      <w:r>
        <w:rPr>
          <w:rFonts w:hint="eastAsia"/>
          <w:b/>
          <w:color w:val="000000"/>
          <w:shd w:val="clear" w:color="auto" w:fill="auto"/>
        </w:rPr>
        <w:t>单位</w:t>
      </w:r>
      <w:r>
        <w:rPr>
          <w:b/>
          <w:color w:val="000000"/>
          <w:shd w:val="clear" w:color="auto" w:fill="auto"/>
        </w:rPr>
        <w:t>地址</w:t>
      </w:r>
      <w:r>
        <w:rPr>
          <w:rFonts w:hint="eastAsia"/>
          <w:b/>
          <w:color w:val="000000"/>
          <w:shd w:val="clear" w:color="auto" w:fill="auto"/>
        </w:rPr>
        <w:t>：新疆巴州库尔勒市天山辖区天山路4号6幢</w:t>
      </w:r>
    </w:p>
    <w:p>
      <w:pPr>
        <w:snapToGrid w:val="0"/>
        <w:ind w:firstLine="1417" w:firstLineChars="588"/>
        <w:rPr>
          <w:rFonts w:eastAsia="宋体"/>
          <w:b/>
          <w:color w:val="000000"/>
          <w:shd w:val="clear" w:color="auto" w:fill="auto"/>
          <w:lang w:val="en-US" w:eastAsia="zh-CN"/>
        </w:rPr>
      </w:pPr>
      <w:r>
        <w:rPr>
          <w:b/>
          <w:color w:val="000000"/>
          <w:shd w:val="clear" w:color="auto" w:fill="auto"/>
        </w:rPr>
        <w:t>单位邮编：8</w:t>
      </w:r>
      <w:r>
        <w:rPr>
          <w:rFonts w:hint="eastAsia"/>
          <w:b/>
          <w:color w:val="000000"/>
          <w:shd w:val="clear" w:color="auto" w:fill="auto"/>
          <w:lang w:val="en-US" w:eastAsia="zh-CN"/>
        </w:rPr>
        <w:t>41000</w:t>
      </w:r>
    </w:p>
    <w:p>
      <w:pPr>
        <w:snapToGrid w:val="0"/>
        <w:spacing w:line="360" w:lineRule="auto"/>
        <w:ind w:firstLine="1417" w:firstLineChars="588"/>
        <w:rPr>
          <w:rFonts w:hint="eastAsia" w:ascii="宋体" w:eastAsia="宋体" w:cs="宋体"/>
          <w:b/>
          <w:color w:val="000000"/>
          <w:sz w:val="24"/>
          <w:lang w:val="en-US" w:eastAsia="zh-CN"/>
        </w:rPr>
      </w:pPr>
      <w:r>
        <w:rPr>
          <w:rFonts w:hint="eastAsia" w:ascii="宋体" w:eastAsia="宋体" w:cs="宋体"/>
          <w:b/>
          <w:color w:val="000000"/>
          <w:sz w:val="24"/>
        </w:rPr>
        <w:t>项目联系人：</w:t>
      </w:r>
      <w:r>
        <w:rPr>
          <w:rFonts w:hint="eastAsia" w:cs="宋体"/>
          <w:b/>
          <w:color w:val="000000"/>
          <w:sz w:val="24"/>
          <w:lang w:eastAsia="zh-CN"/>
        </w:rPr>
        <w:t>徐彬峰</w:t>
      </w:r>
    </w:p>
    <w:p>
      <w:pPr>
        <w:snapToGrid w:val="0"/>
        <w:spacing w:line="360" w:lineRule="auto"/>
        <w:ind w:firstLine="1417" w:firstLineChars="588"/>
        <w:rPr>
          <w:rFonts w:ascii="宋体" w:eastAsia="宋体" w:cs="宋体"/>
          <w:b/>
          <w:color w:val="000000"/>
          <w:sz w:val="24"/>
          <w:lang w:val="en-US" w:eastAsia="zh-CN"/>
        </w:rPr>
      </w:pPr>
      <w:r>
        <w:rPr>
          <w:rFonts w:hint="eastAsia" w:ascii="宋体" w:eastAsia="宋体" w:cs="宋体"/>
          <w:b/>
          <w:color w:val="000000"/>
          <w:sz w:val="24"/>
        </w:rPr>
        <w:t>联系电话：099</w:t>
      </w:r>
      <w:r>
        <w:rPr>
          <w:rFonts w:hint="eastAsia" w:cs="宋体"/>
          <w:b/>
          <w:color w:val="000000"/>
          <w:sz w:val="24"/>
          <w:lang w:val="en-US" w:eastAsia="zh-CN"/>
        </w:rPr>
        <w:t>6</w:t>
      </w:r>
      <w:r>
        <w:rPr>
          <w:rFonts w:hint="eastAsia" w:ascii="宋体" w:eastAsia="宋体" w:cs="宋体"/>
          <w:b/>
          <w:color w:val="000000"/>
          <w:sz w:val="24"/>
        </w:rPr>
        <w:t>-2</w:t>
      </w:r>
      <w:r>
        <w:rPr>
          <w:rFonts w:hint="eastAsia" w:cs="宋体"/>
          <w:b/>
          <w:color w:val="000000"/>
          <w:sz w:val="24"/>
          <w:lang w:val="en-US" w:eastAsia="zh-CN"/>
        </w:rPr>
        <w:t>535073</w:t>
      </w:r>
    </w:p>
    <w:p>
      <w:pPr>
        <w:pStyle w:val="11"/>
        <w:rPr>
          <w:rFonts w:hint="eastAsia"/>
          <w:color w:val="000000"/>
        </w:rPr>
      </w:pPr>
    </w:p>
    <w:p>
      <w:pPr>
        <w:pStyle w:val="11"/>
        <w:rPr>
          <w:rFonts w:hint="eastAsia"/>
          <w:color w:val="000000"/>
          <w:shd w:val="clear" w:color="auto" w:fill="auto"/>
        </w:rPr>
      </w:pPr>
    </w:p>
    <w:p>
      <w:pPr>
        <w:rPr>
          <w:rFonts w:hint="eastAsia"/>
          <w:b/>
          <w:color w:val="000000"/>
          <w:sz w:val="28"/>
          <w:szCs w:val="28"/>
          <w:shd w:val="clear" w:color="auto" w:fill="auto"/>
        </w:rPr>
        <w:sectPr>
          <w:pgSz w:w="11906" w:h="16838"/>
          <w:pgMar w:top="1174" w:right="1644" w:bottom="1474" w:left="1644" w:header="0" w:footer="794" w:gutter="0"/>
          <w:pgNumType w:fmt="upperRoman" w:start="1"/>
          <w:cols w:space="720" w:num="1"/>
          <w:titlePg/>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outlineLvl w:val="9"/>
        <w:rPr>
          <w:rFonts w:hint="eastAsia"/>
          <w:b/>
          <w:color w:val="000000"/>
          <w:sz w:val="32"/>
          <w:szCs w:val="32"/>
          <w:shd w:val="clear" w:color="auto" w:fill="auto"/>
        </w:rPr>
      </w:pPr>
      <w:r>
        <w:rPr>
          <w:rFonts w:hint="eastAsia"/>
          <w:b/>
          <w:color w:val="000000"/>
          <w:sz w:val="32"/>
          <w:szCs w:val="32"/>
          <w:shd w:val="clear" w:color="auto" w:fill="auto"/>
        </w:rPr>
        <w:t>目录</w:t>
      </w:r>
    </w:p>
    <w:p>
      <w:pPr>
        <w:pStyle w:val="11"/>
        <w:rPr>
          <w:rFonts w:hint="eastAsia"/>
          <w:color w:val="000000"/>
          <w:shd w:val="clear" w:color="auto" w:fill="auto"/>
        </w:rPr>
      </w:pPr>
    </w:p>
    <w:p>
      <w:pPr>
        <w:pStyle w:val="14"/>
        <w:tabs>
          <w:tab w:val="right" w:leader="dot" w:pos="8306"/>
          <w:tab w:val="clear" w:pos="8296"/>
        </w:tabs>
        <w:rPr>
          <w:color w:val="000000"/>
        </w:rPr>
      </w:pPr>
      <w:r>
        <w:rPr>
          <w:rFonts w:hint="eastAsia" w:ascii="宋体" w:eastAsia="宋体" w:cs="宋体"/>
          <w:b/>
          <w:bCs/>
          <w:color w:val="000000"/>
          <w:shd w:val="clear" w:color="auto" w:fill="auto"/>
        </w:rPr>
        <w:fldChar w:fldCharType="begin"/>
      </w:r>
      <w:r>
        <w:rPr>
          <w:rFonts w:hint="eastAsia" w:ascii="宋体" w:eastAsia="宋体" w:cs="宋体"/>
          <w:b/>
          <w:bCs/>
          <w:color w:val="000000"/>
          <w:shd w:val="clear" w:color="auto" w:fill="auto"/>
        </w:rPr>
        <w:instrText xml:space="preserve"> TOC \o "1-2" \h \z \u </w:instrText>
      </w:r>
      <w:r>
        <w:rPr>
          <w:rFonts w:hint="eastAsia" w:ascii="宋体" w:eastAsia="宋体" w:cs="宋体"/>
          <w:b/>
          <w:bCs/>
          <w:color w:val="000000"/>
          <w:shd w:val="clear" w:color="auto" w:fill="auto"/>
        </w:rPr>
        <w:fldChar w:fldCharType="separate"/>
      </w: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_Toc12124 </w:instrText>
      </w:r>
      <w:r>
        <w:rPr>
          <w:rFonts w:hint="eastAsia" w:ascii="宋体" w:eastAsia="宋体" w:cs="宋体"/>
          <w:bCs/>
          <w:color w:val="000000"/>
          <w:shd w:val="clear" w:color="auto" w:fill="auto"/>
        </w:rPr>
        <w:fldChar w:fldCharType="separate"/>
      </w:r>
      <w:r>
        <w:rPr>
          <w:rFonts w:hint="eastAsia"/>
          <w:color w:val="000000"/>
          <w:shd w:val="clear" w:color="auto" w:fill="auto"/>
        </w:rPr>
        <w:t>1项目概况</w:t>
      </w:r>
      <w:r>
        <w:rPr>
          <w:color w:val="000000"/>
        </w:rPr>
        <w:tab/>
      </w:r>
      <w:r>
        <w:rPr>
          <w:color w:val="000000"/>
        </w:rPr>
        <w:fldChar w:fldCharType="begin"/>
      </w:r>
      <w:r>
        <w:rPr>
          <w:color w:val="000000"/>
        </w:rPr>
        <w:instrText xml:space="preserve"> PAGEREF _Toc12124 </w:instrText>
      </w:r>
      <w:r>
        <w:rPr>
          <w:color w:val="000000"/>
        </w:rPr>
        <w:fldChar w:fldCharType="separate"/>
      </w:r>
      <w:r>
        <w:rPr>
          <w:color w:val="000000"/>
        </w:rPr>
        <w:t>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_Toc20521 </w:instrText>
      </w:r>
      <w:r>
        <w:rPr>
          <w:rFonts w:hint="eastAsia" w:ascii="宋体" w:eastAsia="宋体" w:cs="宋体"/>
          <w:bCs/>
          <w:color w:val="000000"/>
          <w:shd w:val="clear" w:color="auto" w:fill="auto"/>
        </w:rPr>
        <w:fldChar w:fldCharType="separate"/>
      </w:r>
      <w:r>
        <w:rPr>
          <w:rFonts w:hint="eastAsia"/>
          <w:color w:val="000000"/>
          <w:shd w:val="clear" w:color="auto" w:fill="auto"/>
        </w:rPr>
        <w:t>1.1项目名称及单位</w:t>
      </w:r>
      <w:r>
        <w:rPr>
          <w:color w:val="000000"/>
        </w:rPr>
        <w:tab/>
      </w:r>
      <w:r>
        <w:rPr>
          <w:color w:val="000000"/>
        </w:rPr>
        <w:fldChar w:fldCharType="begin"/>
      </w:r>
      <w:r>
        <w:rPr>
          <w:color w:val="000000"/>
        </w:rPr>
        <w:instrText xml:space="preserve"> PAGEREF _Toc20521 </w:instrText>
      </w:r>
      <w:r>
        <w:rPr>
          <w:color w:val="000000"/>
        </w:rPr>
        <w:fldChar w:fldCharType="separate"/>
      </w:r>
      <w:r>
        <w:rPr>
          <w:color w:val="000000"/>
        </w:rPr>
        <w:t>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_Toc902 </w:instrText>
      </w:r>
      <w:r>
        <w:rPr>
          <w:rFonts w:hint="eastAsia" w:ascii="宋体" w:eastAsia="宋体" w:cs="宋体"/>
          <w:bCs/>
          <w:color w:val="000000"/>
          <w:shd w:val="clear" w:color="auto" w:fill="auto"/>
        </w:rPr>
        <w:fldChar w:fldCharType="separate"/>
      </w:r>
      <w:r>
        <w:rPr>
          <w:rFonts w:hint="eastAsia"/>
          <w:color w:val="000000"/>
          <w:shd w:val="clear" w:color="auto" w:fill="auto"/>
        </w:rPr>
        <w:t>1.2拟建地点</w:t>
      </w:r>
      <w:r>
        <w:rPr>
          <w:color w:val="000000"/>
        </w:rPr>
        <w:tab/>
      </w:r>
      <w:r>
        <w:rPr>
          <w:color w:val="000000"/>
        </w:rPr>
        <w:fldChar w:fldCharType="begin"/>
      </w:r>
      <w:r>
        <w:rPr>
          <w:color w:val="000000"/>
        </w:rPr>
        <w:instrText xml:space="preserve"> PAGEREF _Toc902 </w:instrText>
      </w:r>
      <w:r>
        <w:rPr>
          <w:color w:val="000000"/>
        </w:rPr>
        <w:fldChar w:fldCharType="separate"/>
      </w:r>
      <w:r>
        <w:rPr>
          <w:color w:val="000000"/>
        </w:rPr>
        <w:t>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_Toc5011 </w:instrText>
      </w:r>
      <w:r>
        <w:rPr>
          <w:rFonts w:hint="eastAsia" w:ascii="宋体" w:eastAsia="宋体" w:cs="宋体"/>
          <w:bCs/>
          <w:color w:val="000000"/>
          <w:shd w:val="clear" w:color="auto" w:fill="auto"/>
        </w:rPr>
        <w:fldChar w:fldCharType="separate"/>
      </w:r>
      <w:r>
        <w:rPr>
          <w:rFonts w:hint="eastAsia"/>
          <w:color w:val="000000"/>
          <w:shd w:val="clear" w:color="auto" w:fill="auto"/>
        </w:rPr>
        <w:t>1.3项目建设必要性及可行性</w:t>
      </w:r>
      <w:r>
        <w:rPr>
          <w:color w:val="000000"/>
        </w:rPr>
        <w:tab/>
      </w:r>
      <w:r>
        <w:rPr>
          <w:color w:val="000000"/>
        </w:rPr>
        <w:fldChar w:fldCharType="begin"/>
      </w:r>
      <w:r>
        <w:rPr>
          <w:color w:val="000000"/>
        </w:rPr>
        <w:instrText xml:space="preserve"> PAGEREF _Toc5011 </w:instrText>
      </w:r>
      <w:r>
        <w:rPr>
          <w:color w:val="000000"/>
        </w:rPr>
        <w:fldChar w:fldCharType="separate"/>
      </w:r>
      <w:r>
        <w:rPr>
          <w:color w:val="000000"/>
        </w:rPr>
        <w:t>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_Toc15990 </w:instrText>
      </w:r>
      <w:r>
        <w:rPr>
          <w:rFonts w:hint="eastAsia" w:ascii="宋体" w:eastAsia="宋体" w:cs="宋体"/>
          <w:bCs/>
          <w:color w:val="000000"/>
          <w:shd w:val="clear" w:color="auto" w:fill="auto"/>
        </w:rPr>
        <w:fldChar w:fldCharType="separate"/>
      </w:r>
      <w:r>
        <w:rPr>
          <w:rFonts w:hint="eastAsia"/>
          <w:color w:val="000000"/>
          <w:shd w:val="clear" w:color="auto" w:fill="auto"/>
        </w:rPr>
        <w:t>1.4工程建设内容及规模</w:t>
      </w:r>
      <w:r>
        <w:rPr>
          <w:color w:val="000000"/>
        </w:rPr>
        <w:tab/>
      </w:r>
      <w:r>
        <w:rPr>
          <w:color w:val="000000"/>
        </w:rPr>
        <w:fldChar w:fldCharType="begin"/>
      </w:r>
      <w:r>
        <w:rPr>
          <w:color w:val="000000"/>
        </w:rPr>
        <w:instrText xml:space="preserve"> PAGEREF _Toc15990 </w:instrText>
      </w:r>
      <w:r>
        <w:rPr>
          <w:color w:val="000000"/>
        </w:rPr>
        <w:fldChar w:fldCharType="separate"/>
      </w:r>
      <w:r>
        <w:rPr>
          <w:color w:val="000000"/>
        </w:rPr>
        <w:t>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_Toc15093 </w:instrText>
      </w:r>
      <w:r>
        <w:rPr>
          <w:rFonts w:hint="eastAsia" w:ascii="宋体" w:eastAsia="宋体" w:cs="宋体"/>
          <w:bCs/>
          <w:color w:val="000000"/>
          <w:shd w:val="clear" w:color="auto" w:fill="auto"/>
        </w:rPr>
        <w:fldChar w:fldCharType="separate"/>
      </w:r>
      <w:r>
        <w:rPr>
          <w:rFonts w:hint="eastAsia"/>
          <w:color w:val="000000"/>
          <w:shd w:val="clear" w:color="auto" w:fill="auto"/>
        </w:rPr>
        <w:t>1.5评估依据</w:t>
      </w:r>
      <w:r>
        <w:rPr>
          <w:color w:val="000000"/>
        </w:rPr>
        <w:tab/>
      </w:r>
      <w:r>
        <w:rPr>
          <w:color w:val="000000"/>
        </w:rPr>
        <w:fldChar w:fldCharType="begin"/>
      </w:r>
      <w:r>
        <w:rPr>
          <w:color w:val="000000"/>
        </w:rPr>
        <w:instrText xml:space="preserve"> PAGEREF _Toc15093 </w:instrText>
      </w:r>
      <w:r>
        <w:rPr>
          <w:color w:val="000000"/>
        </w:rPr>
        <w:fldChar w:fldCharType="separate"/>
      </w:r>
      <w:r>
        <w:rPr>
          <w:color w:val="000000"/>
        </w:rPr>
        <w:t>3</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_Toc5248 </w:instrText>
      </w:r>
      <w:r>
        <w:rPr>
          <w:rFonts w:hint="eastAsia" w:ascii="宋体" w:eastAsia="宋体" w:cs="宋体"/>
          <w:bCs/>
          <w:color w:val="000000"/>
          <w:shd w:val="clear" w:color="auto" w:fill="auto"/>
        </w:rPr>
        <w:fldChar w:fldCharType="separate"/>
      </w:r>
      <w:r>
        <w:rPr>
          <w:rFonts w:hint="eastAsia"/>
          <w:color w:val="000000"/>
          <w:shd w:val="clear" w:color="auto" w:fill="auto"/>
        </w:rPr>
        <w:t>1.6评估主体</w:t>
      </w:r>
      <w:r>
        <w:rPr>
          <w:color w:val="000000"/>
        </w:rPr>
        <w:tab/>
      </w:r>
      <w:r>
        <w:rPr>
          <w:color w:val="000000"/>
        </w:rPr>
        <w:fldChar w:fldCharType="begin"/>
      </w:r>
      <w:r>
        <w:rPr>
          <w:color w:val="000000"/>
        </w:rPr>
        <w:instrText xml:space="preserve"> PAGEREF _Toc5248 </w:instrText>
      </w:r>
      <w:r>
        <w:rPr>
          <w:color w:val="000000"/>
        </w:rPr>
        <w:fldChar w:fldCharType="separate"/>
      </w:r>
      <w:r>
        <w:rPr>
          <w:color w:val="000000"/>
        </w:rPr>
        <w:t>6</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_Toc24435 </w:instrText>
      </w:r>
      <w:r>
        <w:rPr>
          <w:rFonts w:hint="eastAsia" w:ascii="宋体" w:eastAsia="宋体" w:cs="宋体"/>
          <w:bCs/>
          <w:color w:val="000000"/>
          <w:shd w:val="clear" w:color="auto" w:fill="auto"/>
        </w:rPr>
        <w:fldChar w:fldCharType="separate"/>
      </w:r>
      <w:r>
        <w:rPr>
          <w:rFonts w:hint="eastAsia"/>
          <w:color w:val="000000"/>
          <w:shd w:val="clear" w:color="auto" w:fill="auto"/>
        </w:rPr>
        <w:t>1.7评估过程和方法</w:t>
      </w:r>
      <w:r>
        <w:rPr>
          <w:color w:val="000000"/>
        </w:rPr>
        <w:tab/>
      </w:r>
      <w:r>
        <w:rPr>
          <w:color w:val="000000"/>
        </w:rPr>
        <w:fldChar w:fldCharType="begin"/>
      </w:r>
      <w:r>
        <w:rPr>
          <w:color w:val="000000"/>
        </w:rPr>
        <w:instrText xml:space="preserve"> PAGEREF _Toc24435 </w:instrText>
      </w:r>
      <w:r>
        <w:rPr>
          <w:color w:val="000000"/>
        </w:rPr>
        <w:fldChar w:fldCharType="separate"/>
      </w:r>
      <w:r>
        <w:rPr>
          <w:color w:val="000000"/>
        </w:rPr>
        <w:t>6</w:t>
      </w:r>
      <w:r>
        <w:rPr>
          <w:color w:val="000000"/>
        </w:rPr>
        <w:fldChar w:fldCharType="end"/>
      </w:r>
      <w:r>
        <w:rPr>
          <w:rFonts w:hint="eastAsia" w:ascii="宋体" w:eastAsia="宋体" w:cs="宋体"/>
          <w:bCs/>
          <w:color w:val="000000"/>
          <w:shd w:val="clear" w:color="auto" w:fill="auto"/>
        </w:rPr>
        <w:fldChar w:fldCharType="end"/>
      </w:r>
    </w:p>
    <w:p>
      <w:pPr>
        <w:pStyle w:val="14"/>
        <w:tabs>
          <w:tab w:val="right" w:leader="dot" w:pos="8306"/>
          <w:tab w:val="clear" w:pos="829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_Toc27088 </w:instrText>
      </w:r>
      <w:r>
        <w:rPr>
          <w:rFonts w:hint="eastAsia" w:ascii="宋体" w:eastAsia="宋体" w:cs="宋体"/>
          <w:bCs/>
          <w:color w:val="000000"/>
          <w:shd w:val="clear" w:color="auto" w:fill="auto"/>
        </w:rPr>
        <w:fldChar w:fldCharType="separate"/>
      </w:r>
      <w:r>
        <w:rPr>
          <w:rFonts w:hint="eastAsia"/>
          <w:color w:val="000000"/>
          <w:shd w:val="clear" w:color="auto" w:fill="auto"/>
        </w:rPr>
        <w:t>2评估内容</w:t>
      </w:r>
      <w:r>
        <w:rPr>
          <w:color w:val="000000"/>
        </w:rPr>
        <w:tab/>
      </w:r>
      <w:r>
        <w:rPr>
          <w:color w:val="000000"/>
        </w:rPr>
        <w:fldChar w:fldCharType="begin"/>
      </w:r>
      <w:r>
        <w:rPr>
          <w:color w:val="000000"/>
        </w:rPr>
        <w:instrText xml:space="preserve"> PAGEREF _Toc27088 </w:instrText>
      </w:r>
      <w:r>
        <w:rPr>
          <w:color w:val="000000"/>
        </w:rPr>
        <w:fldChar w:fldCharType="separate"/>
      </w:r>
      <w:r>
        <w:rPr>
          <w:color w:val="000000"/>
        </w:rPr>
        <w:t>7</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_Toc29516 </w:instrText>
      </w:r>
      <w:r>
        <w:rPr>
          <w:rFonts w:hint="eastAsia" w:ascii="宋体" w:eastAsia="宋体" w:cs="宋体"/>
          <w:bCs/>
          <w:color w:val="000000"/>
          <w:shd w:val="clear" w:color="auto" w:fill="auto"/>
        </w:rPr>
        <w:fldChar w:fldCharType="separate"/>
      </w:r>
      <w:r>
        <w:rPr>
          <w:rFonts w:hint="eastAsia"/>
          <w:color w:val="000000"/>
          <w:shd w:val="clear" w:color="auto" w:fill="auto"/>
        </w:rPr>
        <w:t>2.1风险调查评估及各方意见采纳情况</w:t>
      </w:r>
      <w:r>
        <w:rPr>
          <w:color w:val="000000"/>
        </w:rPr>
        <w:tab/>
      </w:r>
      <w:r>
        <w:rPr>
          <w:color w:val="000000"/>
        </w:rPr>
        <w:fldChar w:fldCharType="begin"/>
      </w:r>
      <w:r>
        <w:rPr>
          <w:color w:val="000000"/>
        </w:rPr>
        <w:instrText xml:space="preserve"> PAGEREF _Toc29516 </w:instrText>
      </w:r>
      <w:r>
        <w:rPr>
          <w:color w:val="000000"/>
        </w:rPr>
        <w:fldChar w:fldCharType="separate"/>
      </w:r>
      <w:r>
        <w:rPr>
          <w:color w:val="000000"/>
        </w:rPr>
        <w:t>7</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_Toc24210 </w:instrText>
      </w:r>
      <w:r>
        <w:rPr>
          <w:rFonts w:hint="eastAsia" w:ascii="宋体" w:eastAsia="宋体" w:cs="宋体"/>
          <w:bCs/>
          <w:color w:val="000000"/>
          <w:shd w:val="clear" w:color="auto" w:fill="auto"/>
        </w:rPr>
        <w:fldChar w:fldCharType="separate"/>
      </w:r>
      <w:r>
        <w:rPr>
          <w:rFonts w:hint="eastAsia"/>
          <w:color w:val="000000"/>
          <w:shd w:val="clear" w:color="auto" w:fill="auto"/>
        </w:rPr>
        <w:t>2.2风险识别和估计的评估</w:t>
      </w:r>
      <w:r>
        <w:rPr>
          <w:color w:val="000000"/>
        </w:rPr>
        <w:tab/>
      </w:r>
      <w:r>
        <w:rPr>
          <w:color w:val="000000"/>
        </w:rPr>
        <w:fldChar w:fldCharType="begin"/>
      </w:r>
      <w:r>
        <w:rPr>
          <w:color w:val="000000"/>
        </w:rPr>
        <w:instrText xml:space="preserve"> PAGEREF _Toc24210 </w:instrText>
      </w:r>
      <w:r>
        <w:rPr>
          <w:color w:val="000000"/>
        </w:rPr>
        <w:fldChar w:fldCharType="separate"/>
      </w:r>
      <w:r>
        <w:rPr>
          <w:color w:val="000000"/>
        </w:rPr>
        <w:t>7</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_Toc16703 </w:instrText>
      </w:r>
      <w:r>
        <w:rPr>
          <w:rFonts w:hint="eastAsia" w:ascii="宋体" w:eastAsia="宋体" w:cs="宋体"/>
          <w:bCs/>
          <w:color w:val="000000"/>
          <w:shd w:val="clear" w:color="auto" w:fill="auto"/>
        </w:rPr>
        <w:fldChar w:fldCharType="separate"/>
      </w:r>
      <w:r>
        <w:rPr>
          <w:rFonts w:hint="eastAsia"/>
          <w:color w:val="000000"/>
          <w:shd w:val="clear" w:color="auto" w:fill="auto"/>
        </w:rPr>
        <w:t>2.3风险防范和化解措施的评估</w:t>
      </w:r>
      <w:r>
        <w:rPr>
          <w:color w:val="000000"/>
        </w:rPr>
        <w:tab/>
      </w:r>
      <w:r>
        <w:rPr>
          <w:color w:val="000000"/>
        </w:rPr>
        <w:fldChar w:fldCharType="begin"/>
      </w:r>
      <w:r>
        <w:rPr>
          <w:color w:val="000000"/>
        </w:rPr>
        <w:instrText xml:space="preserve"> PAGEREF _Toc16703 </w:instrText>
      </w:r>
      <w:r>
        <w:rPr>
          <w:color w:val="000000"/>
        </w:rPr>
        <w:fldChar w:fldCharType="separate"/>
      </w:r>
      <w:r>
        <w:rPr>
          <w:color w:val="000000"/>
        </w:rPr>
        <w:t>9</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_Toc14508 </w:instrText>
      </w:r>
      <w:r>
        <w:rPr>
          <w:rFonts w:hint="eastAsia" w:ascii="宋体" w:eastAsia="宋体" w:cs="宋体"/>
          <w:bCs/>
          <w:color w:val="000000"/>
          <w:shd w:val="clear" w:color="auto" w:fill="auto"/>
        </w:rPr>
        <w:fldChar w:fldCharType="separate"/>
      </w:r>
      <w:r>
        <w:rPr>
          <w:rFonts w:hint="eastAsia" w:eastAsia="宋体" w:cs="Times New Roman"/>
          <w:color w:val="000000"/>
          <w:shd w:val="clear" w:color="auto" w:fill="auto"/>
        </w:rPr>
        <w:t>2.4合法合规性评估</w:t>
      </w:r>
      <w:r>
        <w:rPr>
          <w:color w:val="000000"/>
        </w:rPr>
        <w:tab/>
      </w:r>
      <w:r>
        <w:rPr>
          <w:color w:val="000000"/>
        </w:rPr>
        <w:fldChar w:fldCharType="begin"/>
      </w:r>
      <w:r>
        <w:rPr>
          <w:color w:val="000000"/>
        </w:rPr>
        <w:instrText xml:space="preserve"> PAGEREF _Toc14508 </w:instrText>
      </w:r>
      <w:r>
        <w:rPr>
          <w:color w:val="000000"/>
        </w:rPr>
        <w:fldChar w:fldCharType="separate"/>
      </w:r>
      <w:r>
        <w:rPr>
          <w:color w:val="000000"/>
        </w:rPr>
        <w:t>27</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_Toc3385 </w:instrText>
      </w:r>
      <w:r>
        <w:rPr>
          <w:rFonts w:hint="eastAsia" w:ascii="宋体" w:eastAsia="宋体" w:cs="宋体"/>
          <w:bCs/>
          <w:color w:val="000000"/>
          <w:shd w:val="clear" w:color="auto" w:fill="auto"/>
        </w:rPr>
        <w:fldChar w:fldCharType="separate"/>
      </w:r>
      <w:r>
        <w:rPr>
          <w:rFonts w:hint="eastAsia"/>
          <w:color w:val="000000"/>
          <w:shd w:val="clear" w:color="auto" w:fill="auto"/>
        </w:rPr>
        <w:t>2.5落实措施后的风险等级确定</w:t>
      </w:r>
      <w:r>
        <w:rPr>
          <w:color w:val="000000"/>
        </w:rPr>
        <w:tab/>
      </w:r>
      <w:r>
        <w:rPr>
          <w:color w:val="000000"/>
        </w:rPr>
        <w:fldChar w:fldCharType="begin"/>
      </w:r>
      <w:r>
        <w:rPr>
          <w:color w:val="000000"/>
        </w:rPr>
        <w:instrText xml:space="preserve"> PAGEREF _Toc3385 </w:instrText>
      </w:r>
      <w:r>
        <w:rPr>
          <w:color w:val="000000"/>
        </w:rPr>
        <w:fldChar w:fldCharType="separate"/>
      </w:r>
      <w:r>
        <w:rPr>
          <w:color w:val="000000"/>
        </w:rPr>
        <w:t>28</w:t>
      </w:r>
      <w:r>
        <w:rPr>
          <w:color w:val="000000"/>
        </w:rPr>
        <w:fldChar w:fldCharType="end"/>
      </w:r>
      <w:r>
        <w:rPr>
          <w:rFonts w:hint="eastAsia" w:ascii="宋体" w:eastAsia="宋体" w:cs="宋体"/>
          <w:bCs/>
          <w:color w:val="000000"/>
          <w:shd w:val="clear" w:color="auto" w:fill="auto"/>
        </w:rPr>
        <w:fldChar w:fldCharType="end"/>
      </w:r>
    </w:p>
    <w:p>
      <w:pPr>
        <w:pStyle w:val="14"/>
        <w:tabs>
          <w:tab w:val="right" w:leader="dot" w:pos="8306"/>
          <w:tab w:val="clear" w:pos="829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_Toc21387 </w:instrText>
      </w:r>
      <w:r>
        <w:rPr>
          <w:rFonts w:hint="eastAsia" w:ascii="宋体" w:eastAsia="宋体" w:cs="宋体"/>
          <w:bCs/>
          <w:color w:val="000000"/>
          <w:shd w:val="clear" w:color="auto" w:fill="auto"/>
        </w:rPr>
        <w:fldChar w:fldCharType="separate"/>
      </w:r>
      <w:r>
        <w:rPr>
          <w:rFonts w:hint="eastAsia"/>
          <w:color w:val="000000"/>
          <w:shd w:val="clear" w:color="auto" w:fill="auto"/>
        </w:rPr>
        <w:t>3评估结论</w:t>
      </w:r>
      <w:r>
        <w:rPr>
          <w:color w:val="000000"/>
        </w:rPr>
        <w:tab/>
      </w:r>
      <w:r>
        <w:rPr>
          <w:color w:val="000000"/>
        </w:rPr>
        <w:fldChar w:fldCharType="begin"/>
      </w:r>
      <w:r>
        <w:rPr>
          <w:color w:val="000000"/>
        </w:rPr>
        <w:instrText xml:space="preserve"> PAGEREF _Toc21387 </w:instrText>
      </w:r>
      <w:r>
        <w:rPr>
          <w:color w:val="000000"/>
        </w:rPr>
        <w:fldChar w:fldCharType="separate"/>
      </w:r>
      <w:r>
        <w:rPr>
          <w:color w:val="000000"/>
        </w:rPr>
        <w:t>34</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_Toc5978 </w:instrText>
      </w:r>
      <w:r>
        <w:rPr>
          <w:rFonts w:hint="eastAsia" w:ascii="宋体" w:eastAsia="宋体" w:cs="宋体"/>
          <w:bCs/>
          <w:color w:val="000000"/>
          <w:shd w:val="clear" w:color="auto" w:fill="auto"/>
        </w:rPr>
        <w:fldChar w:fldCharType="separate"/>
      </w:r>
      <w:r>
        <w:rPr>
          <w:rFonts w:hint="eastAsia"/>
          <w:color w:val="000000"/>
          <w:shd w:val="clear" w:color="auto" w:fill="auto"/>
        </w:rPr>
        <w:t>3.1拟建项目主要风险因素</w:t>
      </w:r>
      <w:r>
        <w:rPr>
          <w:color w:val="000000"/>
        </w:rPr>
        <w:tab/>
      </w:r>
      <w:r>
        <w:rPr>
          <w:color w:val="000000"/>
        </w:rPr>
        <w:fldChar w:fldCharType="begin"/>
      </w:r>
      <w:r>
        <w:rPr>
          <w:color w:val="000000"/>
        </w:rPr>
        <w:instrText xml:space="preserve"> PAGEREF _Toc5978 </w:instrText>
      </w:r>
      <w:r>
        <w:rPr>
          <w:color w:val="000000"/>
        </w:rPr>
        <w:fldChar w:fldCharType="separate"/>
      </w:r>
      <w:r>
        <w:rPr>
          <w:color w:val="000000"/>
        </w:rPr>
        <w:t>34</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_Toc8077 </w:instrText>
      </w:r>
      <w:r>
        <w:rPr>
          <w:rFonts w:hint="eastAsia" w:ascii="宋体" w:eastAsia="宋体" w:cs="宋体"/>
          <w:bCs/>
          <w:color w:val="000000"/>
          <w:shd w:val="clear" w:color="auto" w:fill="auto"/>
        </w:rPr>
        <w:fldChar w:fldCharType="separate"/>
      </w:r>
      <w:r>
        <w:rPr>
          <w:rFonts w:hint="eastAsia"/>
          <w:color w:val="000000"/>
          <w:shd w:val="clear" w:color="auto" w:fill="auto"/>
        </w:rPr>
        <w:t>3.2拟建项目合法性、合理性、可行性、可控性</w:t>
      </w:r>
      <w:r>
        <w:rPr>
          <w:color w:val="000000"/>
        </w:rPr>
        <w:tab/>
      </w:r>
      <w:r>
        <w:rPr>
          <w:color w:val="000000"/>
        </w:rPr>
        <w:fldChar w:fldCharType="begin"/>
      </w:r>
      <w:r>
        <w:rPr>
          <w:color w:val="000000"/>
        </w:rPr>
        <w:instrText xml:space="preserve"> PAGEREF _Toc8077 </w:instrText>
      </w:r>
      <w:r>
        <w:rPr>
          <w:color w:val="000000"/>
        </w:rPr>
        <w:fldChar w:fldCharType="separate"/>
      </w:r>
      <w:r>
        <w:rPr>
          <w:color w:val="000000"/>
        </w:rPr>
        <w:t>34</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_Toc1090 </w:instrText>
      </w:r>
      <w:r>
        <w:rPr>
          <w:rFonts w:hint="eastAsia" w:ascii="宋体" w:eastAsia="宋体" w:cs="宋体"/>
          <w:bCs/>
          <w:color w:val="000000"/>
          <w:shd w:val="clear" w:color="auto" w:fill="auto"/>
        </w:rPr>
        <w:fldChar w:fldCharType="separate"/>
      </w:r>
      <w:r>
        <w:rPr>
          <w:rFonts w:hint="eastAsia"/>
          <w:color w:val="000000"/>
          <w:shd w:val="clear" w:color="auto" w:fill="auto"/>
        </w:rPr>
        <w:t>3.3社会稳定风险主要防范及化解措施</w:t>
      </w:r>
      <w:r>
        <w:rPr>
          <w:color w:val="000000"/>
        </w:rPr>
        <w:tab/>
      </w:r>
      <w:r>
        <w:rPr>
          <w:color w:val="000000"/>
        </w:rPr>
        <w:fldChar w:fldCharType="begin"/>
      </w:r>
      <w:r>
        <w:rPr>
          <w:color w:val="000000"/>
        </w:rPr>
        <w:instrText xml:space="preserve"> PAGEREF _Toc1090 </w:instrText>
      </w:r>
      <w:r>
        <w:rPr>
          <w:color w:val="000000"/>
        </w:rPr>
        <w:fldChar w:fldCharType="separate"/>
      </w:r>
      <w:r>
        <w:rPr>
          <w:color w:val="000000"/>
        </w:rPr>
        <w:t>35</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r>
        <w:rPr>
          <w:rFonts w:hint="eastAsia" w:ascii="宋体" w:eastAsia="宋体" w:cs="宋体"/>
          <w:bCs/>
          <w:color w:val="000000"/>
          <w:shd w:val="clear" w:color="auto" w:fill="auto"/>
        </w:rPr>
        <w:fldChar w:fldCharType="begin"/>
      </w:r>
      <w:r>
        <w:rPr>
          <w:rFonts w:hint="eastAsia" w:ascii="宋体" w:eastAsia="宋体" w:cs="宋体"/>
          <w:bCs/>
          <w:color w:val="000000"/>
          <w:shd w:val="clear" w:color="auto" w:fill="auto"/>
        </w:rPr>
        <w:instrText xml:space="preserve"> HYPERLINK \l _Toc13734 </w:instrText>
      </w:r>
      <w:r>
        <w:rPr>
          <w:rFonts w:hint="eastAsia" w:ascii="宋体" w:eastAsia="宋体" w:cs="宋体"/>
          <w:bCs/>
          <w:color w:val="000000"/>
          <w:shd w:val="clear" w:color="auto" w:fill="auto"/>
        </w:rPr>
        <w:fldChar w:fldCharType="separate"/>
      </w:r>
      <w:r>
        <w:rPr>
          <w:rFonts w:hint="eastAsia"/>
          <w:color w:val="000000"/>
          <w:shd w:val="clear" w:color="auto" w:fill="auto"/>
        </w:rPr>
        <w:t>3.4落实风险防范、化解措施的有关建议</w:t>
      </w:r>
      <w:r>
        <w:rPr>
          <w:color w:val="000000"/>
        </w:rPr>
        <w:tab/>
      </w:r>
      <w:r>
        <w:rPr>
          <w:color w:val="000000"/>
        </w:rPr>
        <w:fldChar w:fldCharType="begin"/>
      </w:r>
      <w:r>
        <w:rPr>
          <w:color w:val="000000"/>
        </w:rPr>
        <w:instrText xml:space="preserve"> PAGEREF _Toc13734 </w:instrText>
      </w:r>
      <w:r>
        <w:rPr>
          <w:color w:val="000000"/>
        </w:rPr>
        <w:fldChar w:fldCharType="separate"/>
      </w:r>
      <w:r>
        <w:rPr>
          <w:color w:val="000000"/>
        </w:rPr>
        <w:t>41</w:t>
      </w:r>
      <w:r>
        <w:rPr>
          <w:color w:val="000000"/>
        </w:rPr>
        <w:fldChar w:fldCharType="end"/>
      </w:r>
      <w:r>
        <w:rPr>
          <w:rFonts w:hint="eastAsia" w:ascii="宋体" w:eastAsia="宋体" w:cs="宋体"/>
          <w:bCs/>
          <w:color w:val="000000"/>
          <w:shd w:val="clear" w:color="auto" w:fill="auto"/>
        </w:rPr>
        <w:fldChar w:fldCharType="end"/>
      </w:r>
    </w:p>
    <w:p>
      <w:pPr>
        <w:pStyle w:val="17"/>
        <w:tabs>
          <w:tab w:val="right" w:leader="dot" w:pos="8306"/>
        </w:tabs>
        <w:rPr>
          <w:color w:val="000000"/>
        </w:rPr>
      </w:pPr>
    </w:p>
    <w:p>
      <w:pPr>
        <w:pStyle w:val="14"/>
        <w:rPr>
          <w:rFonts w:hint="eastAsia"/>
          <w:color w:val="000000"/>
          <w:shd w:val="clear" w:color="auto" w:fill="auto"/>
        </w:rPr>
        <w:sectPr>
          <w:headerReference r:id="rId7" w:type="first"/>
          <w:footerReference r:id="rId9" w:type="first"/>
          <w:headerReference r:id="rId6" w:type="default"/>
          <w:footerReference r:id="rId8" w:type="default"/>
          <w:pgSz w:w="11906" w:h="16838"/>
          <w:pgMar w:top="1440" w:right="1800" w:bottom="1440" w:left="1800" w:header="0" w:footer="794" w:gutter="0"/>
          <w:pgNumType w:start="1"/>
          <w:cols w:space="720" w:num="1"/>
          <w:titlePg/>
          <w:docGrid w:linePitch="312" w:charSpace="0"/>
        </w:sectPr>
      </w:pPr>
      <w:r>
        <w:rPr>
          <w:rFonts w:hint="eastAsia" w:ascii="宋体" w:eastAsia="宋体" w:cs="宋体"/>
          <w:bCs/>
          <w:color w:val="000000"/>
          <w:shd w:val="clear" w:color="auto" w:fill="auto"/>
        </w:rPr>
        <w:fldChar w:fldCharType="end"/>
      </w:r>
    </w:p>
    <w:p>
      <w:pPr>
        <w:pStyle w:val="2"/>
        <w:rPr>
          <w:rFonts w:hint="eastAsia" w:eastAsia="宋体"/>
          <w:color w:val="000000"/>
          <w:shd w:val="clear" w:color="auto" w:fill="auto"/>
          <w:lang w:eastAsia="zh-CN"/>
        </w:rPr>
      </w:pPr>
      <w:bookmarkStart w:id="0" w:name="_Toc12124"/>
      <w:bookmarkStart w:id="1" w:name="_Toc13129"/>
      <w:r>
        <w:rPr>
          <w:rFonts w:hint="eastAsia"/>
          <w:color w:val="000000"/>
          <w:shd w:val="clear" w:color="auto" w:fill="auto"/>
        </w:rPr>
        <w:t>1项目概况</w:t>
      </w:r>
      <w:bookmarkEnd w:id="0"/>
      <w:bookmarkEnd w:id="1"/>
    </w:p>
    <w:p>
      <w:pPr>
        <w:pStyle w:val="3"/>
        <w:rPr>
          <w:rFonts w:hint="eastAsia" w:ascii="Times New Roman" w:hAnsi="Times New Roman" w:eastAsia="宋体" w:cs="Times New Roman"/>
          <w:b w:val="0"/>
          <w:bCs w:val="0"/>
          <w:color w:val="000000"/>
          <w:kern w:val="0"/>
          <w:sz w:val="24"/>
          <w:szCs w:val="22"/>
          <w:shd w:val="clear" w:color="auto" w:fill="auto"/>
          <w:lang w:val="en-US" w:eastAsia="zh-CN" w:bidi="ar-SA"/>
        </w:rPr>
      </w:pPr>
      <w:bookmarkStart w:id="2" w:name="_Toc338259020"/>
      <w:bookmarkStart w:id="3" w:name="_Toc347780805"/>
      <w:bookmarkStart w:id="4" w:name="_Toc8664"/>
      <w:bookmarkStart w:id="5" w:name="_Toc20521"/>
      <w:r>
        <w:rPr>
          <w:rFonts w:hint="eastAsia"/>
          <w:color w:val="000000"/>
          <w:shd w:val="clear" w:color="auto" w:fill="auto"/>
        </w:rPr>
        <w:t>1.1</w:t>
      </w:r>
      <w:bookmarkEnd w:id="2"/>
      <w:bookmarkEnd w:id="3"/>
      <w:r>
        <w:rPr>
          <w:rFonts w:hint="eastAsia"/>
          <w:color w:val="000000"/>
          <w:shd w:val="clear" w:color="auto" w:fill="auto"/>
        </w:rPr>
        <w:t>项目名称及单位</w:t>
      </w:r>
      <w:bookmarkEnd w:id="4"/>
      <w:bookmarkEnd w:id="5"/>
    </w:p>
    <w:p>
      <w:pPr>
        <w:pStyle w:val="20"/>
        <w:adjustRightInd w:val="0"/>
        <w:spacing w:before="0" w:beforeAutospacing="0" w:after="0" w:afterAutospacing="0"/>
        <w:rPr>
          <w:rFonts w:ascii="Times New Roman" w:hAnsi="Times New Roman" w:eastAsia="宋体" w:cs="Times New Roman"/>
          <w:b w:val="0"/>
          <w:bCs w:val="0"/>
          <w:color w:val="000000"/>
          <w:kern w:val="0"/>
          <w:sz w:val="24"/>
          <w:szCs w:val="22"/>
          <w:shd w:val="clear" w:color="auto" w:fill="auto"/>
          <w:lang w:val="en-US" w:eastAsia="zh-CN" w:bidi="ar-SA"/>
        </w:rPr>
      </w:pPr>
      <w:r>
        <w:rPr>
          <w:rFonts w:ascii="Times New Roman" w:hAnsi="Times New Roman" w:eastAsia="宋体" w:cs="Times New Roman"/>
          <w:b w:val="0"/>
          <w:bCs w:val="0"/>
          <w:color w:val="000000"/>
          <w:kern w:val="0"/>
          <w:sz w:val="24"/>
          <w:szCs w:val="22"/>
          <w:shd w:val="clear" w:color="auto" w:fill="auto"/>
          <w:lang w:val="en-US" w:eastAsia="zh-CN" w:bidi="ar-SA"/>
        </w:rPr>
        <w:t>项目名称：</w:t>
      </w:r>
      <w:r>
        <w:rPr>
          <w:rFonts w:hint="eastAsia" w:ascii="Times New Roman" w:hAnsi="Times New Roman" w:eastAsia="宋体" w:cs="Times New Roman"/>
          <w:b w:val="0"/>
          <w:bCs w:val="0"/>
          <w:color w:val="000000"/>
          <w:kern w:val="0"/>
          <w:sz w:val="24"/>
          <w:szCs w:val="22"/>
          <w:shd w:val="clear" w:color="auto" w:fill="auto"/>
          <w:lang w:val="en-US" w:eastAsia="zh-CN" w:bidi="ar-SA"/>
        </w:rPr>
        <w:t>巴州环城110千伏输变电工程</w:t>
      </w:r>
    </w:p>
    <w:p>
      <w:pPr>
        <w:pStyle w:val="20"/>
        <w:adjustRightInd w:val="0"/>
        <w:spacing w:before="0" w:beforeAutospacing="0" w:after="0" w:afterAutospacing="0"/>
        <w:rPr>
          <w:rFonts w:ascii="Times New Roman" w:hAnsi="Times New Roman" w:eastAsia="宋体" w:cs="Times New Roman"/>
          <w:b w:val="0"/>
          <w:bCs w:val="0"/>
          <w:color w:val="000000"/>
          <w:kern w:val="0"/>
          <w:sz w:val="24"/>
          <w:szCs w:val="22"/>
          <w:shd w:val="clear" w:color="auto" w:fill="auto"/>
          <w:lang w:val="en-US" w:eastAsia="zh-CN" w:bidi="ar-SA"/>
        </w:rPr>
      </w:pPr>
      <w:r>
        <w:rPr>
          <w:rFonts w:ascii="Times New Roman" w:hAnsi="Times New Roman" w:eastAsia="宋体" w:cs="Times New Roman"/>
          <w:b w:val="0"/>
          <w:bCs w:val="0"/>
          <w:color w:val="000000"/>
          <w:kern w:val="0"/>
          <w:sz w:val="24"/>
          <w:szCs w:val="22"/>
          <w:shd w:val="clear" w:color="auto" w:fill="auto"/>
          <w:lang w:val="en-US" w:eastAsia="zh-CN" w:bidi="ar-SA"/>
        </w:rPr>
        <w:t>建设单位：</w:t>
      </w:r>
      <w:r>
        <w:rPr>
          <w:rFonts w:hint="eastAsia" w:ascii="Times New Roman" w:hAnsi="Times New Roman" w:eastAsia="宋体" w:cs="Times New Roman"/>
          <w:b w:val="0"/>
          <w:bCs w:val="0"/>
          <w:color w:val="000000"/>
          <w:kern w:val="0"/>
          <w:sz w:val="24"/>
          <w:szCs w:val="22"/>
          <w:shd w:val="clear" w:color="auto" w:fill="auto"/>
          <w:lang w:val="en-US" w:eastAsia="zh-CN" w:bidi="ar-SA"/>
        </w:rPr>
        <w:t>国网</w:t>
      </w:r>
      <w:r>
        <w:rPr>
          <w:rFonts w:hint="eastAsia" w:ascii="Times New Roman" w:hAnsi="Times New Roman" w:cs="Times New Roman"/>
          <w:b w:val="0"/>
          <w:bCs w:val="0"/>
          <w:color w:val="000000"/>
          <w:kern w:val="0"/>
          <w:sz w:val="24"/>
          <w:szCs w:val="22"/>
          <w:shd w:val="clear" w:color="auto" w:fill="auto"/>
          <w:lang w:val="en-US" w:eastAsia="zh-CN" w:bidi="ar-SA"/>
        </w:rPr>
        <w:t>巴州供电</w:t>
      </w:r>
      <w:r>
        <w:rPr>
          <w:rFonts w:hint="eastAsia" w:ascii="Times New Roman" w:hAnsi="Times New Roman" w:eastAsia="宋体" w:cs="Times New Roman"/>
          <w:b w:val="0"/>
          <w:bCs w:val="0"/>
          <w:color w:val="000000"/>
          <w:kern w:val="0"/>
          <w:sz w:val="24"/>
          <w:szCs w:val="22"/>
          <w:shd w:val="clear" w:color="auto" w:fill="auto"/>
          <w:lang w:val="en-US" w:eastAsia="zh-CN" w:bidi="ar-SA"/>
        </w:rPr>
        <w:t>公司</w:t>
      </w:r>
    </w:p>
    <w:p>
      <w:pPr>
        <w:pStyle w:val="3"/>
        <w:rPr>
          <w:rFonts w:hint="eastAsia"/>
          <w:color w:val="000000"/>
          <w:shd w:val="clear" w:color="auto" w:fill="auto"/>
        </w:rPr>
      </w:pPr>
      <w:bookmarkStart w:id="6" w:name="_Toc8617"/>
      <w:bookmarkStart w:id="7" w:name="_Toc351374260"/>
      <w:bookmarkStart w:id="8" w:name="_Toc508303989"/>
      <w:bookmarkStart w:id="9" w:name="_Toc381293959"/>
      <w:bookmarkStart w:id="10" w:name="_Toc902"/>
      <w:r>
        <w:rPr>
          <w:rFonts w:hint="eastAsia"/>
          <w:color w:val="000000"/>
          <w:shd w:val="clear" w:color="auto" w:fill="auto"/>
        </w:rPr>
        <w:t>1.2拟建地点</w:t>
      </w:r>
      <w:bookmarkEnd w:id="6"/>
      <w:bookmarkEnd w:id="7"/>
      <w:bookmarkEnd w:id="8"/>
      <w:bookmarkEnd w:id="9"/>
      <w:bookmarkEnd w:id="10"/>
    </w:p>
    <w:p>
      <w:pPr>
        <w:rPr>
          <w:rFonts w:hint="eastAsia" w:ascii="Times New Roman" w:hAnsi="Times New Roman" w:eastAsia="宋体" w:cs="Times New Roman"/>
          <w:color w:val="000000"/>
          <w:szCs w:val="24"/>
          <w:shd w:val="clear" w:color="auto" w:fill="auto"/>
          <w:lang w:eastAsia="zh-CN"/>
        </w:rPr>
      </w:pPr>
      <w:bookmarkStart w:id="11" w:name="_Toc508303990"/>
      <w:bookmarkStart w:id="12" w:name="_Toc351374261"/>
      <w:bookmarkStart w:id="13" w:name="_Toc381293960"/>
      <w:r>
        <w:rPr>
          <w:rFonts w:hint="eastAsia" w:ascii="Times New Roman" w:hAnsi="Times New Roman" w:cs="Times New Roman"/>
          <w:color w:val="000000"/>
          <w:szCs w:val="24"/>
          <w:shd w:val="clear" w:color="auto" w:fill="auto"/>
          <w:lang w:val="en-US" w:eastAsia="zh-CN"/>
        </w:rPr>
        <w:t>工程建设地点位于</w:t>
      </w:r>
      <w:r>
        <w:rPr>
          <w:rFonts w:hint="eastAsia" w:ascii="Times New Roman" w:cs="Times New Roman"/>
          <w:color w:val="000000"/>
          <w:szCs w:val="24"/>
          <w:shd w:val="clear" w:color="auto" w:fill="auto"/>
          <w:lang w:val="en-US" w:eastAsia="zh-CN"/>
        </w:rPr>
        <w:t>库尔勒市</w:t>
      </w:r>
      <w:r>
        <w:rPr>
          <w:rFonts w:hint="eastAsia" w:ascii="Times New Roman" w:hAnsi="Times New Roman" w:eastAsia="宋体" w:cs="Times New Roman"/>
          <w:color w:val="000000"/>
          <w:szCs w:val="24"/>
          <w:shd w:val="clear" w:color="auto" w:fill="auto"/>
          <w:lang w:val="en-US" w:eastAsia="zh-CN"/>
        </w:rPr>
        <w:t>。</w:t>
      </w:r>
    </w:p>
    <w:p>
      <w:pPr>
        <w:ind w:right="-120" w:rightChars="-50" w:firstLine="0" w:firstLineChars="0"/>
        <w:outlineLvl w:val="1"/>
        <w:rPr>
          <w:rStyle w:val="25"/>
          <w:rFonts w:hint="eastAsia" w:eastAsia="宋体"/>
          <w:color w:val="000000"/>
          <w:shd w:val="clear" w:color="auto" w:fill="auto"/>
          <w:lang w:eastAsia="zh-CN"/>
        </w:rPr>
      </w:pPr>
      <w:bookmarkStart w:id="14" w:name="_Toc15597"/>
      <w:bookmarkStart w:id="15" w:name="_Toc5011"/>
      <w:r>
        <w:rPr>
          <w:rStyle w:val="25"/>
          <w:rFonts w:hint="eastAsia"/>
          <w:color w:val="000000"/>
          <w:shd w:val="clear" w:color="auto" w:fill="auto"/>
        </w:rPr>
        <w:t>1.3项目建设</w:t>
      </w:r>
      <w:bookmarkEnd w:id="11"/>
      <w:bookmarkEnd w:id="12"/>
      <w:bookmarkEnd w:id="13"/>
      <w:r>
        <w:rPr>
          <w:rStyle w:val="25"/>
          <w:rFonts w:hint="eastAsia"/>
          <w:color w:val="000000"/>
          <w:shd w:val="clear" w:color="auto" w:fill="auto"/>
        </w:rPr>
        <w:t>必要性及可行性</w:t>
      </w:r>
      <w:bookmarkEnd w:id="14"/>
      <w:bookmarkEnd w:id="15"/>
    </w:p>
    <w:p>
      <w:pPr>
        <w:pStyle w:val="20"/>
        <w:adjustRightInd w:val="0"/>
        <w:spacing w:before="0" w:beforeAutospacing="0" w:after="0" w:afterAutospacing="0"/>
        <w:rPr>
          <w:rFonts w:hint="eastAsia" w:ascii="Times New Roman" w:hAnsi="Times New Roman" w:eastAsia="宋体" w:cs="Times New Roman"/>
          <w:b w:val="0"/>
          <w:bCs w:val="0"/>
          <w:color w:val="000000"/>
          <w:kern w:val="0"/>
          <w:sz w:val="24"/>
          <w:szCs w:val="22"/>
          <w:shd w:val="clear" w:color="auto" w:fill="auto"/>
          <w:lang w:val="en-US" w:eastAsia="zh-CN" w:bidi="ar-SA"/>
        </w:rPr>
      </w:pPr>
      <w:bookmarkStart w:id="16" w:name="_Toc381293961"/>
      <w:bookmarkStart w:id="17" w:name="_Toc508303991"/>
      <w:bookmarkStart w:id="18" w:name="_Toc15990"/>
      <w:bookmarkStart w:id="19" w:name="_Toc25451"/>
      <w:bookmarkStart w:id="20" w:name="_Toc355123939"/>
      <w:bookmarkStart w:id="21" w:name="_Toc355122208"/>
      <w:r>
        <w:rPr>
          <w:rFonts w:ascii="Times New Roman" w:hAnsi="Times New Roman" w:eastAsia="宋体" w:cs="Times New Roman"/>
          <w:b w:val="0"/>
          <w:bCs w:val="0"/>
          <w:color w:val="000000"/>
          <w:kern w:val="0"/>
          <w:sz w:val="24"/>
          <w:szCs w:val="22"/>
          <w:shd w:val="clear" w:color="auto" w:fill="auto"/>
          <w:lang w:val="en-US" w:eastAsia="zh-CN" w:bidi="ar-SA"/>
        </w:rPr>
        <w:t>随着库尔勒市中心城区鸿雁河新区居民住宅小区以及商业的不断入驻，鸿雁河新区至 2027 年新增负荷约 48.8MW，至 2030 年新增负荷约 122.2MW，现有中心变、建国路变、迎宾路变已无法满足区域用电需求，且现有中心变、建国路变已达重载，迎宾路变虽现状负荷较轻，根据配电网规划分区，迎宾路变主供大学城片区，远景负荷增长迅速，难以兼顾鸿雁河新区及大学城片区负荷飞速发展的需要。110kV 建国路变主变最大负载率 88.44%，110kV 中心变主变最大负载率 99.97%（经核实，中心变无增容条件），现状主变已无法供带新增负荷，且东侧现有变电站均已重载，负荷难以转供。迎宾变现状负荷 24.21MW，主变负载率 26.74%，如不建设环城变，迎宾变需至少转供建国路变、中心变负荷约 12.75MW，且需供带全部新增负荷，预计迎宾变 2027年负荷将达74MW、2028 年负荷将达 84MW。本期环城变的建成可彻底解决鸿雁河新区供电区域内现状变电站供电压力，缓解城市生产、建设、生活用电紧张的局面。</w:t>
      </w:r>
      <w:r>
        <w:rPr>
          <w:rFonts w:hint="eastAsia" w:ascii="Times New Roman" w:hAnsi="Times New Roman" w:eastAsia="宋体" w:cs="Times New Roman"/>
          <w:b w:val="0"/>
          <w:bCs w:val="0"/>
          <w:color w:val="000000"/>
          <w:kern w:val="0"/>
          <w:sz w:val="24"/>
          <w:szCs w:val="22"/>
          <w:shd w:val="clear" w:color="auto" w:fill="auto"/>
          <w:lang w:val="en-US" w:eastAsia="zh-CN" w:bidi="ar-SA"/>
        </w:rPr>
        <w:t>因此，本工程的建设是必要的必要的。</w:t>
      </w:r>
    </w:p>
    <w:p>
      <w:pPr>
        <w:pStyle w:val="20"/>
        <w:adjustRightInd w:val="0"/>
        <w:spacing w:before="0" w:beforeAutospacing="0" w:after="0" w:afterAutospacing="0"/>
        <w:rPr>
          <w:rFonts w:hint="eastAsia" w:ascii="Times New Roman" w:hAnsi="Times New Roman" w:eastAsia="宋体" w:cs="Times New Roman"/>
          <w:b w:val="0"/>
          <w:bCs w:val="0"/>
          <w:color w:val="000000"/>
          <w:kern w:val="0"/>
          <w:sz w:val="24"/>
          <w:szCs w:val="22"/>
          <w:shd w:val="clear" w:color="auto" w:fill="auto"/>
          <w:lang w:val="en-US" w:eastAsia="zh-CN" w:bidi="ar-SA"/>
        </w:rPr>
      </w:pPr>
      <w:r>
        <w:rPr>
          <w:rFonts w:hint="eastAsia" w:ascii="Times New Roman" w:hAnsi="Times New Roman" w:eastAsia="宋体" w:cs="Times New Roman"/>
          <w:b w:val="0"/>
          <w:bCs w:val="0"/>
          <w:color w:val="000000"/>
          <w:kern w:val="0"/>
          <w:sz w:val="24"/>
          <w:szCs w:val="22"/>
          <w:shd w:val="clear" w:color="auto" w:fill="auto"/>
          <w:lang w:val="en-US" w:eastAsia="zh-CN" w:bidi="ar-SA"/>
        </w:rPr>
        <w:t>1.4</w:t>
      </w:r>
      <w:bookmarkEnd w:id="16"/>
      <w:r>
        <w:rPr>
          <w:rFonts w:hint="eastAsia" w:ascii="Times New Roman" w:hAnsi="Times New Roman" w:eastAsia="宋体" w:cs="Times New Roman"/>
          <w:b w:val="0"/>
          <w:bCs w:val="0"/>
          <w:color w:val="000000"/>
          <w:kern w:val="0"/>
          <w:sz w:val="24"/>
          <w:szCs w:val="22"/>
          <w:shd w:val="clear" w:color="auto" w:fill="auto"/>
          <w:lang w:val="en-US" w:eastAsia="zh-CN" w:bidi="ar-SA"/>
        </w:rPr>
        <w:t>工程建设内容及规模</w:t>
      </w:r>
      <w:bookmarkEnd w:id="17"/>
      <w:bookmarkEnd w:id="18"/>
      <w:bookmarkEnd w:id="19"/>
    </w:p>
    <w:p>
      <w:pPr>
        <w:pStyle w:val="20"/>
        <w:adjustRightInd w:val="0"/>
        <w:spacing w:before="0" w:beforeAutospacing="0" w:after="0" w:afterAutospacing="0"/>
        <w:rPr>
          <w:rFonts w:hint="eastAsia" w:ascii="Times New Roman" w:hAnsi="Times New Roman" w:eastAsia="宋体" w:cs="Times New Roman"/>
          <w:b w:val="0"/>
          <w:bCs w:val="0"/>
          <w:color w:val="000000"/>
          <w:kern w:val="0"/>
          <w:sz w:val="24"/>
          <w:szCs w:val="22"/>
          <w:shd w:val="clear" w:color="auto" w:fill="auto"/>
          <w:lang w:val="en-US" w:eastAsia="zh-CN" w:bidi="ar-SA"/>
        </w:rPr>
      </w:pPr>
      <w:r>
        <w:rPr>
          <w:rFonts w:hint="eastAsia" w:ascii="Times New Roman" w:hAnsi="Times New Roman" w:eastAsia="宋体" w:cs="Times New Roman"/>
          <w:b w:val="0"/>
          <w:bCs w:val="0"/>
          <w:color w:val="000000"/>
          <w:kern w:val="0"/>
          <w:sz w:val="24"/>
          <w:szCs w:val="22"/>
          <w:shd w:val="clear" w:color="auto" w:fill="auto"/>
          <w:lang w:val="en-US" w:eastAsia="zh-CN" w:bidi="ar-SA"/>
        </w:rPr>
        <w:t>1.4.1本项目主要建设内容</w:t>
      </w:r>
      <w:bookmarkEnd w:id="20"/>
      <w:bookmarkEnd w:id="21"/>
      <w:bookmarkStart w:id="22" w:name="_Toc342378010"/>
      <w:bookmarkStart w:id="23" w:name="_Toc347780761"/>
      <w:bookmarkStart w:id="24" w:name="_Toc347780806"/>
    </w:p>
    <w:p>
      <w:pPr>
        <w:pStyle w:val="37"/>
        <w:keepNext w:val="0"/>
        <w:keepLines w:val="0"/>
        <w:pageBreakBefore w:val="0"/>
        <w:widowControl/>
        <w:kinsoku/>
        <w:wordWrap/>
        <w:overflowPunct/>
        <w:topLinePunct w:val="0"/>
        <w:autoSpaceDE/>
        <w:autoSpaceDN/>
        <w:bidi w:val="0"/>
        <w:snapToGrid/>
        <w:spacing w:before="0" w:after="0" w:line="560" w:lineRule="exact"/>
        <w:ind w:left="0" w:right="0" w:firstLine="480" w:firstLineChars="200"/>
        <w:jc w:val="left"/>
        <w:textAlignment w:val="auto"/>
        <w:rPr>
          <w:rFonts w:hint="eastAsia" w:ascii="Times New Roman" w:hAnsi="Times New Roman" w:eastAsia="宋体" w:cs="Times New Roman"/>
          <w:b w:val="0"/>
          <w:bCs w:val="0"/>
          <w:color w:val="000000"/>
          <w:kern w:val="0"/>
          <w:sz w:val="24"/>
          <w:szCs w:val="22"/>
          <w:shd w:val="clear" w:color="auto" w:fill="auto"/>
          <w:lang w:val="en-US" w:eastAsia="zh-CN" w:bidi="ar-SA"/>
        </w:rPr>
      </w:pPr>
      <w:r>
        <w:rPr>
          <w:rFonts w:ascii="Times New Roman" w:hAnsi="Times New Roman" w:eastAsia="宋体" w:cs="Times New Roman"/>
          <w:b w:val="0"/>
          <w:bCs w:val="0"/>
          <w:color w:val="000000"/>
          <w:kern w:val="0"/>
          <w:sz w:val="24"/>
          <w:szCs w:val="22"/>
          <w:shd w:val="clear" w:color="auto" w:fill="auto"/>
          <w:lang w:val="en-US" w:eastAsia="zh-CN" w:bidi="ar-SA"/>
        </w:rPr>
        <w:t>新建两台主变，容量为50</w:t>
      </w:r>
      <w:r>
        <w:rPr>
          <w:rFonts w:hint="eastAsia" w:eastAsia="宋体" w:cs="Times New Roman"/>
          <w:b w:val="0"/>
          <w:bCs w:val="0"/>
          <w:color w:val="000000"/>
          <w:kern w:val="0"/>
          <w:sz w:val="24"/>
          <w:szCs w:val="22"/>
          <w:shd w:val="clear" w:color="auto" w:fill="auto"/>
          <w:lang w:val="en-US" w:eastAsia="zh-CN" w:bidi="ar-SA"/>
        </w:rPr>
        <w:t>兆伏安</w:t>
      </w:r>
      <w:r>
        <w:rPr>
          <w:rFonts w:hint="eastAsia" w:ascii="Times New Roman" w:hAnsi="Times New Roman" w:eastAsia="宋体" w:cs="Times New Roman"/>
          <w:b w:val="0"/>
          <w:bCs w:val="0"/>
          <w:color w:val="000000"/>
          <w:kern w:val="0"/>
          <w:sz w:val="24"/>
          <w:szCs w:val="22"/>
          <w:shd w:val="clear" w:color="auto" w:fill="auto"/>
          <w:lang w:val="en-US" w:eastAsia="zh-CN" w:bidi="ar-SA"/>
        </w:rPr>
        <w:t>；</w:t>
      </w:r>
      <w:r>
        <w:rPr>
          <w:rFonts w:ascii="Times New Roman" w:hAnsi="Times New Roman" w:eastAsia="宋体" w:cs="Times New Roman"/>
          <w:b w:val="0"/>
          <w:bCs w:val="0"/>
          <w:color w:val="000000"/>
          <w:kern w:val="0"/>
          <w:sz w:val="24"/>
          <w:szCs w:val="22"/>
          <w:shd w:val="clear" w:color="auto" w:fill="auto"/>
          <w:lang w:val="en-US" w:eastAsia="zh-CN" w:bidi="ar-SA"/>
        </w:rPr>
        <w:t>将 110</w:t>
      </w:r>
      <w:r>
        <w:rPr>
          <w:rFonts w:hint="eastAsia" w:eastAsia="宋体" w:cs="Times New Roman"/>
          <w:b w:val="0"/>
          <w:bCs w:val="0"/>
          <w:color w:val="000000"/>
          <w:kern w:val="0"/>
          <w:sz w:val="24"/>
          <w:szCs w:val="22"/>
          <w:shd w:val="clear" w:color="auto" w:fill="auto"/>
          <w:lang w:val="en-US" w:eastAsia="zh-CN" w:bidi="ar-SA"/>
        </w:rPr>
        <w:t>千伏</w:t>
      </w:r>
      <w:r>
        <w:rPr>
          <w:rFonts w:ascii="Times New Roman" w:hAnsi="Times New Roman" w:eastAsia="宋体" w:cs="Times New Roman"/>
          <w:b w:val="0"/>
          <w:bCs w:val="0"/>
          <w:color w:val="000000"/>
          <w:kern w:val="0"/>
          <w:sz w:val="24"/>
          <w:szCs w:val="22"/>
          <w:shd w:val="clear" w:color="auto" w:fill="auto"/>
          <w:lang w:val="en-US" w:eastAsia="zh-CN" w:bidi="ar-SA"/>
        </w:rPr>
        <w:t>渠中线开断接入拟建环城110 千伏变电站，线路长度为2.14</w:t>
      </w:r>
      <w:r>
        <w:rPr>
          <w:rFonts w:hint="eastAsia" w:eastAsia="宋体" w:cs="Times New Roman"/>
          <w:b w:val="0"/>
          <w:bCs w:val="0"/>
          <w:color w:val="000000"/>
          <w:kern w:val="0"/>
          <w:sz w:val="24"/>
          <w:szCs w:val="22"/>
          <w:shd w:val="clear" w:color="auto" w:fill="auto"/>
          <w:lang w:val="en-US" w:eastAsia="zh-CN" w:bidi="ar-SA"/>
        </w:rPr>
        <w:t>千米</w:t>
      </w:r>
      <w:r>
        <w:rPr>
          <w:rFonts w:ascii="Times New Roman" w:hAnsi="Times New Roman" w:eastAsia="宋体" w:cs="Times New Roman"/>
          <w:b w:val="0"/>
          <w:bCs w:val="0"/>
          <w:color w:val="000000"/>
          <w:kern w:val="0"/>
          <w:sz w:val="24"/>
          <w:szCs w:val="22"/>
          <w:shd w:val="clear" w:color="auto" w:fill="auto"/>
          <w:lang w:val="en-US" w:eastAsia="zh-CN" w:bidi="ar-SA"/>
        </w:rPr>
        <w:t>，其中双回架空 1.76</w:t>
      </w:r>
      <w:r>
        <w:rPr>
          <w:rFonts w:hint="eastAsia" w:eastAsia="宋体" w:cs="Times New Roman"/>
          <w:b w:val="0"/>
          <w:bCs w:val="0"/>
          <w:color w:val="000000"/>
          <w:kern w:val="0"/>
          <w:sz w:val="24"/>
          <w:szCs w:val="22"/>
          <w:shd w:val="clear" w:color="auto" w:fill="auto"/>
          <w:lang w:val="en-US" w:eastAsia="zh-CN" w:bidi="ar-SA"/>
        </w:rPr>
        <w:t>千米</w:t>
      </w:r>
      <w:r>
        <w:rPr>
          <w:rFonts w:ascii="Times New Roman" w:hAnsi="Times New Roman" w:eastAsia="宋体" w:cs="Times New Roman"/>
          <w:b w:val="0"/>
          <w:bCs w:val="0"/>
          <w:color w:val="000000"/>
          <w:kern w:val="0"/>
          <w:sz w:val="24"/>
          <w:szCs w:val="22"/>
          <w:shd w:val="clear" w:color="auto" w:fill="auto"/>
          <w:lang w:val="en-US" w:eastAsia="zh-CN" w:bidi="ar-SA"/>
        </w:rPr>
        <w:t>，单回架空 0.31</w:t>
      </w:r>
      <w:r>
        <w:rPr>
          <w:rFonts w:hint="eastAsia" w:eastAsia="宋体" w:cs="Times New Roman"/>
          <w:b w:val="0"/>
          <w:bCs w:val="0"/>
          <w:color w:val="000000"/>
          <w:kern w:val="0"/>
          <w:sz w:val="24"/>
          <w:szCs w:val="22"/>
          <w:shd w:val="clear" w:color="auto" w:fill="auto"/>
          <w:lang w:val="en-US" w:eastAsia="zh-CN" w:bidi="ar-SA"/>
        </w:rPr>
        <w:t>千米</w:t>
      </w:r>
      <w:r>
        <w:rPr>
          <w:rFonts w:ascii="Times New Roman" w:hAnsi="Times New Roman" w:eastAsia="宋体" w:cs="Times New Roman"/>
          <w:b w:val="0"/>
          <w:bCs w:val="0"/>
          <w:color w:val="000000"/>
          <w:kern w:val="0"/>
          <w:sz w:val="24"/>
          <w:szCs w:val="22"/>
          <w:shd w:val="clear" w:color="auto" w:fill="auto"/>
          <w:lang w:val="en-US" w:eastAsia="zh-CN" w:bidi="ar-SA"/>
        </w:rPr>
        <w:t>，电缆 0.07</w:t>
      </w:r>
      <w:r>
        <w:rPr>
          <w:rFonts w:hint="eastAsia" w:eastAsia="宋体" w:cs="Times New Roman"/>
          <w:b w:val="0"/>
          <w:bCs w:val="0"/>
          <w:color w:val="000000"/>
          <w:kern w:val="0"/>
          <w:sz w:val="24"/>
          <w:szCs w:val="22"/>
          <w:shd w:val="clear" w:color="auto" w:fill="auto"/>
          <w:lang w:val="en-US" w:eastAsia="zh-CN" w:bidi="ar-SA"/>
        </w:rPr>
        <w:t>千米</w:t>
      </w:r>
      <w:r>
        <w:rPr>
          <w:rFonts w:ascii="Times New Roman" w:hAnsi="Times New Roman" w:eastAsia="宋体" w:cs="Times New Roman"/>
          <w:b w:val="0"/>
          <w:bCs w:val="0"/>
          <w:color w:val="000000"/>
          <w:kern w:val="0"/>
          <w:sz w:val="24"/>
          <w:szCs w:val="22"/>
          <w:shd w:val="clear" w:color="auto" w:fill="auto"/>
          <w:lang w:val="en-US" w:eastAsia="zh-CN" w:bidi="ar-SA"/>
        </w:rPr>
        <w:t>。</w:t>
      </w:r>
    </w:p>
    <w:p>
      <w:pPr>
        <w:pStyle w:val="28"/>
        <w:keepNext w:val="0"/>
        <w:keepLines w:val="0"/>
        <w:pageBreakBefore w:val="0"/>
        <w:widowControl/>
        <w:numPr>
          <w:ilvl w:val="0"/>
          <w:numId w:val="0"/>
        </w:numPr>
        <w:kinsoku/>
        <w:wordWrap/>
        <w:overflowPunct/>
        <w:topLinePunct w:val="0"/>
        <w:autoSpaceDE/>
        <w:autoSpaceDN/>
        <w:bidi w:val="0"/>
        <w:adjustRightInd/>
        <w:snapToGrid/>
        <w:textAlignment w:val="auto"/>
        <w:rPr>
          <w:rFonts w:hint="eastAsia"/>
          <w:color w:val="000000"/>
          <w:sz w:val="24"/>
          <w:szCs w:val="24"/>
          <w:highlight w:val="none"/>
          <w:u w:val="none"/>
          <w:shd w:val="clear" w:color="auto" w:fill="auto"/>
        </w:rPr>
      </w:pPr>
      <w:r>
        <w:rPr>
          <w:rFonts w:hint="eastAsia"/>
          <w:color w:val="000000"/>
          <w:sz w:val="24"/>
          <w:szCs w:val="24"/>
          <w:highlight w:val="none"/>
          <w:u w:val="none"/>
          <w:shd w:val="clear" w:color="auto" w:fill="auto"/>
        </w:rPr>
        <w:t>1.4.2</w:t>
      </w:r>
      <w:r>
        <w:rPr>
          <w:color w:val="000000"/>
          <w:sz w:val="24"/>
          <w:szCs w:val="24"/>
          <w:highlight w:val="none"/>
          <w:u w:val="none"/>
          <w:shd w:val="clear" w:color="auto" w:fill="auto"/>
        </w:rPr>
        <w:t>地质</w:t>
      </w:r>
      <w:r>
        <w:rPr>
          <w:rFonts w:hint="eastAsia"/>
          <w:color w:val="000000"/>
          <w:sz w:val="24"/>
          <w:szCs w:val="24"/>
          <w:highlight w:val="none"/>
          <w:u w:val="none"/>
          <w:shd w:val="clear" w:color="auto" w:fill="auto"/>
        </w:rPr>
        <w:t>条件</w:t>
      </w:r>
    </w:p>
    <w:p>
      <w:pPr>
        <w:ind w:left="0" w:firstLine="0" w:firstLineChars="0"/>
        <w:rPr>
          <w:rFonts w:ascii="宋体" w:cs="仿宋_GB2312"/>
          <w:b/>
          <w:bCs/>
          <w:color w:val="000000"/>
          <w:szCs w:val="24"/>
        </w:rPr>
      </w:pPr>
      <w:r>
        <w:rPr>
          <w:rFonts w:hint="eastAsia" w:cs="仿宋_GB2312"/>
          <w:b/>
          <w:bCs/>
          <w:color w:val="000000"/>
          <w:szCs w:val="24"/>
          <w:lang w:val="en-US" w:eastAsia="zh-CN"/>
        </w:rPr>
        <w:t>1.4.2.</w:t>
      </w:r>
      <w:r>
        <w:rPr>
          <w:rFonts w:hint="eastAsia" w:ascii="宋体" w:cs="仿宋_GB2312"/>
          <w:b/>
          <w:bCs/>
          <w:color w:val="000000"/>
          <w:szCs w:val="24"/>
        </w:rPr>
        <w:t>1地层岩性</w:t>
      </w:r>
    </w:p>
    <w:p>
      <w:pPr>
        <w:ind w:left="0" w:firstLine="480" w:firstLineChars="200"/>
        <w:rPr>
          <w:rFonts w:hint="eastAsia" w:cs="仿宋_GB2312"/>
          <w:color w:val="000000"/>
          <w:szCs w:val="22"/>
        </w:rPr>
      </w:pPr>
      <w:r>
        <w:rPr>
          <w:rFonts w:hint="eastAsia" w:cs="仿宋_GB2312"/>
          <w:color w:val="000000"/>
          <w:szCs w:val="22"/>
        </w:rPr>
        <w:t>①填土：主要为</w:t>
      </w:r>
      <w:r>
        <w:rPr>
          <w:rFonts w:hint="eastAsia" w:cs="仿宋_GB2312"/>
          <w:color w:val="000000"/>
          <w:szCs w:val="22"/>
          <w:lang w:val="en-US" w:eastAsia="zh-CN"/>
        </w:rPr>
        <w:t>线路</w:t>
      </w:r>
      <w:r>
        <w:rPr>
          <w:rFonts w:hint="eastAsia" w:cs="仿宋_GB2312"/>
          <w:color w:val="000000"/>
          <w:szCs w:val="22"/>
        </w:rPr>
        <w:t>建设过程中的新近回填土，主要成分为级配砂砾石，层厚约为1.</w:t>
      </w:r>
      <w:r>
        <w:rPr>
          <w:rFonts w:hint="eastAsia" w:cs="仿宋_GB2312"/>
          <w:color w:val="000000"/>
          <w:szCs w:val="22"/>
          <w:lang w:val="en-US" w:eastAsia="zh-CN"/>
        </w:rPr>
        <w:t>2</w:t>
      </w:r>
      <w:r>
        <w:rPr>
          <w:rFonts w:hint="eastAsia" w:cs="仿宋_GB2312"/>
          <w:color w:val="000000"/>
          <w:szCs w:val="22"/>
        </w:rPr>
        <w:t>m，整个场地均有分布。</w:t>
      </w:r>
    </w:p>
    <w:p>
      <w:pPr>
        <w:ind w:left="0" w:firstLine="480" w:firstLineChars="200"/>
        <w:rPr>
          <w:rFonts w:hint="eastAsia" w:cs="仿宋_GB2312"/>
          <w:color w:val="000000"/>
          <w:szCs w:val="22"/>
        </w:rPr>
      </w:pPr>
      <w:r>
        <w:rPr>
          <w:rFonts w:hint="eastAsia" w:cs="仿宋_GB2312"/>
          <w:color w:val="000000"/>
          <w:szCs w:val="22"/>
        </w:rPr>
        <w:t>②松散圆砾：杂色，稍湿，松散，厚约0.</w:t>
      </w:r>
      <w:r>
        <w:rPr>
          <w:rFonts w:hint="eastAsia" w:cs="仿宋_GB2312"/>
          <w:color w:val="000000"/>
          <w:szCs w:val="22"/>
          <w:lang w:val="en-US" w:eastAsia="zh-CN"/>
        </w:rPr>
        <w:t>7</w:t>
      </w:r>
      <w:r>
        <w:rPr>
          <w:rFonts w:hint="eastAsia" w:cs="仿宋_GB2312"/>
          <w:color w:val="000000"/>
          <w:szCs w:val="22"/>
        </w:rPr>
        <w:t>m，本层主要为人工活动至使地层扰动后形成，其地层结构已破环，整个场地均有分布。</w:t>
      </w:r>
    </w:p>
    <w:p>
      <w:pPr>
        <w:ind w:left="0"/>
        <w:rPr>
          <w:rFonts w:hint="eastAsia" w:cs="仿宋_GB2312"/>
          <w:b/>
          <w:bCs/>
          <w:color w:val="000000"/>
          <w:szCs w:val="24"/>
          <w:lang w:val="en-US" w:eastAsia="zh-CN"/>
        </w:rPr>
      </w:pPr>
      <w:r>
        <w:rPr>
          <w:rFonts w:hint="eastAsia" w:cs="仿宋_GB2312"/>
          <w:color w:val="000000"/>
          <w:szCs w:val="22"/>
        </w:rPr>
        <w:t>③中密圆砾：杂色，稍湿，中密，磨圆程度一般，多为亚圆形，级配良好，一般粒径1</w:t>
      </w:r>
      <w:r>
        <w:rPr>
          <w:rFonts w:hint="eastAsia" w:cs="仿宋_GB2312"/>
          <w:color w:val="000000"/>
          <w:szCs w:val="22"/>
          <w:lang w:val="en-US" w:eastAsia="zh-CN"/>
        </w:rPr>
        <w:t>5</w:t>
      </w:r>
      <w:r>
        <w:rPr>
          <w:rFonts w:hint="eastAsia" w:ascii="宋体" w:eastAsia="宋体" w:cs="宋体"/>
          <w:color w:val="000000"/>
          <w:szCs w:val="22"/>
        </w:rPr>
        <w:t>～</w:t>
      </w:r>
      <w:r>
        <w:rPr>
          <w:rFonts w:hint="eastAsia" w:cs="仿宋_GB2312"/>
          <w:color w:val="000000"/>
          <w:szCs w:val="22"/>
          <w:lang w:val="en-US" w:eastAsia="zh-CN"/>
        </w:rPr>
        <w:t>4</w:t>
      </w:r>
      <w:r>
        <w:rPr>
          <w:rFonts w:hint="eastAsia" w:cs="仿宋_GB2312"/>
          <w:color w:val="000000"/>
          <w:szCs w:val="22"/>
        </w:rPr>
        <w:t>0mm，最大粒径</w:t>
      </w:r>
      <w:r>
        <w:rPr>
          <w:rFonts w:hint="eastAsia" w:cs="仿宋_GB2312"/>
          <w:color w:val="000000"/>
          <w:szCs w:val="22"/>
          <w:lang w:val="en-US" w:eastAsia="zh-CN"/>
        </w:rPr>
        <w:t>5</w:t>
      </w:r>
      <w:r>
        <w:rPr>
          <w:rFonts w:hint="eastAsia" w:cs="仿宋_GB2312"/>
          <w:color w:val="000000"/>
          <w:szCs w:val="22"/>
        </w:rPr>
        <w:t>0mm。该层层顶埋深约0.</w:t>
      </w:r>
      <w:r>
        <w:rPr>
          <w:rFonts w:hint="eastAsia" w:cs="仿宋_GB2312"/>
          <w:color w:val="000000"/>
          <w:szCs w:val="22"/>
          <w:lang w:val="en-US" w:eastAsia="zh-CN"/>
        </w:rPr>
        <w:t>60</w:t>
      </w:r>
      <w:r>
        <w:rPr>
          <w:rFonts w:hint="eastAsia" w:cs="仿宋_GB2312"/>
          <w:color w:val="000000"/>
          <w:szCs w:val="22"/>
        </w:rPr>
        <w:t>m，厚度一般大于1</w:t>
      </w:r>
      <w:r>
        <w:rPr>
          <w:rFonts w:hint="eastAsia" w:cs="仿宋_GB2312"/>
          <w:color w:val="000000"/>
          <w:szCs w:val="22"/>
          <w:lang w:val="en-US" w:eastAsia="zh-CN"/>
        </w:rPr>
        <w:t>0</w:t>
      </w:r>
      <w:r>
        <w:rPr>
          <w:rFonts w:hint="eastAsia" w:cs="仿宋_GB2312"/>
          <w:color w:val="000000"/>
          <w:szCs w:val="22"/>
        </w:rPr>
        <w:t>m，整个场地均有分布</w:t>
      </w:r>
      <w:r>
        <w:rPr>
          <w:rFonts w:hint="eastAsia"/>
          <w:color w:val="000000"/>
          <w:szCs w:val="24"/>
          <w:lang w:val="en-US" w:eastAsia="zh-CN"/>
        </w:rPr>
        <w:t>。</w:t>
      </w:r>
    </w:p>
    <w:p>
      <w:pPr>
        <w:ind w:left="0" w:firstLine="0" w:firstLineChars="0"/>
        <w:rPr>
          <w:rFonts w:ascii="宋体" w:cs="仿宋_GB2312"/>
          <w:b/>
          <w:bCs/>
          <w:color w:val="000000"/>
          <w:szCs w:val="24"/>
        </w:rPr>
      </w:pPr>
      <w:r>
        <w:rPr>
          <w:rFonts w:hint="eastAsia" w:cs="仿宋_GB2312"/>
          <w:b/>
          <w:bCs/>
          <w:color w:val="000000"/>
          <w:szCs w:val="24"/>
          <w:lang w:val="en-US" w:eastAsia="zh-CN"/>
        </w:rPr>
        <w:t>1.4.2.</w:t>
      </w:r>
      <w:r>
        <w:rPr>
          <w:rFonts w:hint="eastAsia" w:ascii="宋体" w:cs="仿宋_GB2312"/>
          <w:b/>
          <w:bCs/>
          <w:color w:val="000000"/>
          <w:szCs w:val="24"/>
        </w:rPr>
        <w:t>2物理力学参数</w:t>
      </w:r>
    </w:p>
    <w:p>
      <w:pPr>
        <w:ind w:left="0" w:firstLine="480" w:firstLineChars="200"/>
        <w:rPr>
          <w:rFonts w:ascii="宋体" w:cs="仿宋_GB2312"/>
          <w:color w:val="000000"/>
          <w:szCs w:val="24"/>
        </w:rPr>
      </w:pPr>
      <w:r>
        <w:rPr>
          <w:rFonts w:hint="eastAsia" w:ascii="宋体" w:cs="仿宋_GB2312"/>
          <w:color w:val="000000"/>
          <w:szCs w:val="24"/>
        </w:rPr>
        <w:t>参考</w:t>
      </w:r>
      <w:r>
        <w:rPr>
          <w:rFonts w:ascii="宋体" w:cs="仿宋_GB2312"/>
          <w:color w:val="000000"/>
          <w:kern w:val="0"/>
          <w:szCs w:val="24"/>
        </w:rPr>
        <w:t>当地建筑经验类比，建议站址内地基土主要物理力学性质指标见</w:t>
      </w:r>
      <w:r>
        <w:rPr>
          <w:rFonts w:hint="eastAsia" w:ascii="宋体" w:cs="仿宋_GB2312"/>
          <w:color w:val="000000"/>
          <w:kern w:val="0"/>
          <w:szCs w:val="24"/>
        </w:rPr>
        <w:t>下</w:t>
      </w:r>
      <w:r>
        <w:rPr>
          <w:rFonts w:ascii="宋体" w:cs="仿宋_GB2312"/>
          <w:color w:val="000000"/>
          <w:kern w:val="0"/>
          <w:szCs w:val="24"/>
        </w:rPr>
        <w:t>表。</w:t>
      </w:r>
    </w:p>
    <w:p>
      <w:pPr>
        <w:spacing w:before="156" w:beforeLines="50" w:line="240" w:lineRule="auto"/>
        <w:ind w:left="0"/>
        <w:jc w:val="center"/>
        <w:rPr>
          <w:rFonts w:ascii="宋体" w:cs="华文中宋"/>
          <w:b/>
          <w:bCs/>
          <w:color w:val="000000"/>
          <w:szCs w:val="24"/>
        </w:rPr>
      </w:pPr>
      <w:r>
        <w:rPr>
          <w:rFonts w:ascii="宋体" w:cs="华文中宋"/>
          <w:b/>
          <w:bCs/>
          <w:color w:val="000000"/>
          <w:szCs w:val="24"/>
        </w:rPr>
        <w:t>地基土主要物理力学性质指标表</w:t>
      </w:r>
    </w:p>
    <w:tbl>
      <w:tblPr>
        <w:tblStyle w:val="21"/>
        <w:tblW w:w="836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2615"/>
        <w:gridCol w:w="1006"/>
        <w:gridCol w:w="646"/>
        <w:gridCol w:w="918"/>
        <w:gridCol w:w="905"/>
        <w:gridCol w:w="1027"/>
        <w:gridCol w:w="12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Ex>
        <w:trPr>
          <w:trHeight w:val="437" w:hRule="atLeast"/>
          <w:jc w:val="center"/>
        </w:trPr>
        <w:tc>
          <w:tcPr>
            <w:tcW w:w="2615" w:type="dxa"/>
            <w:vMerge w:val="restart"/>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岩土名称</w:t>
            </w:r>
          </w:p>
        </w:tc>
        <w:tc>
          <w:tcPr>
            <w:tcW w:w="5745" w:type="dxa"/>
            <w:gridSpan w:val="6"/>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岩土主要物理力学指标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Ex>
        <w:trPr>
          <w:trHeight w:val="594" w:hRule="atLeast"/>
          <w:jc w:val="center"/>
        </w:trPr>
        <w:tc>
          <w:tcPr>
            <w:tcW w:w="2615" w:type="dxa"/>
            <w:vMerge w:val="continue"/>
            <w:tcBorders>
              <w:top w:val="single" w:color="000000" w:sz="6" w:space="0"/>
              <w:left w:val="single" w:color="000000" w:sz="6" w:space="0"/>
              <w:bottom w:val="single" w:color="000000" w:sz="12" w:space="0"/>
              <w:right w:val="single" w:color="000000" w:sz="6" w:space="0"/>
            </w:tcBorders>
            <w:noWrap/>
            <w:vAlign w:val="center"/>
          </w:tcPr>
          <w:p/>
        </w:tc>
        <w:tc>
          <w:tcPr>
            <w:tcW w:w="1006" w:type="dxa"/>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天然重度</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z w:val="21"/>
                <w:szCs w:val="21"/>
              </w:rPr>
              <w:t>γ(kN/m</w:t>
            </w:r>
            <w:r>
              <w:rPr>
                <w:rFonts w:hint="eastAsia" w:ascii="宋体" w:eastAsia="宋体" w:cs="宋体"/>
                <w:color w:val="000000"/>
                <w:sz w:val="21"/>
                <w:szCs w:val="21"/>
                <w:vertAlign w:val="superscript"/>
              </w:rPr>
              <w:t>3</w:t>
            </w:r>
            <w:r>
              <w:rPr>
                <w:rFonts w:hint="eastAsia" w:ascii="宋体" w:eastAsia="宋体" w:cs="宋体"/>
                <w:color w:val="000000"/>
                <w:sz w:val="21"/>
                <w:szCs w:val="21"/>
              </w:rPr>
              <w:t>)</w:t>
            </w:r>
          </w:p>
        </w:tc>
        <w:tc>
          <w:tcPr>
            <w:tcW w:w="646" w:type="dxa"/>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w w:val="80"/>
                <w:sz w:val="21"/>
                <w:szCs w:val="21"/>
              </w:rPr>
              <w:t>孔隙比</w:t>
            </w:r>
          </w:p>
        </w:tc>
        <w:tc>
          <w:tcPr>
            <w:tcW w:w="918" w:type="dxa"/>
            <w:tcBorders>
              <w:top w:val="single" w:color="000000" w:sz="6" w:space="0"/>
              <w:left w:val="single" w:color="000000" w:sz="6" w:space="0"/>
              <w:bottom w:val="single" w:color="000000" w:sz="12"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w w:val="80"/>
                <w:sz w:val="21"/>
                <w:szCs w:val="21"/>
              </w:rPr>
            </w:pPr>
            <w:r>
              <w:rPr>
                <w:rFonts w:hint="eastAsia" w:ascii="宋体" w:eastAsia="宋体" w:cs="宋体"/>
                <w:color w:val="000000"/>
                <w:w w:val="80"/>
                <w:sz w:val="21"/>
                <w:szCs w:val="21"/>
              </w:rPr>
              <w:t>压缩系数</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w w:val="80"/>
                <w:sz w:val="21"/>
                <w:szCs w:val="21"/>
              </w:rPr>
              <w:t>（MPa</w:t>
            </w:r>
            <w:r>
              <w:rPr>
                <w:rFonts w:hint="eastAsia" w:ascii="宋体" w:eastAsia="宋体" w:cs="宋体"/>
                <w:color w:val="000000"/>
                <w:w w:val="80"/>
                <w:sz w:val="21"/>
                <w:szCs w:val="21"/>
                <w:vertAlign w:val="superscript"/>
              </w:rPr>
              <w:t>－1</w:t>
            </w:r>
            <w:r>
              <w:rPr>
                <w:rFonts w:hint="eastAsia" w:ascii="宋体" w:eastAsia="宋体" w:cs="宋体"/>
                <w:color w:val="000000"/>
                <w:w w:val="80"/>
                <w:sz w:val="21"/>
                <w:szCs w:val="21"/>
              </w:rPr>
              <w:t>）</w:t>
            </w:r>
          </w:p>
        </w:tc>
        <w:tc>
          <w:tcPr>
            <w:tcW w:w="905" w:type="dxa"/>
            <w:tcBorders>
              <w:top w:val="single" w:color="000000" w:sz="6" w:space="0"/>
              <w:left w:val="single" w:color="auto" w:sz="4" w:space="0"/>
              <w:bottom w:val="single" w:color="000000" w:sz="12"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粘聚力</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z w:val="21"/>
                <w:szCs w:val="21"/>
              </w:rPr>
              <w:t>C</w:t>
            </w:r>
            <w:r>
              <w:rPr>
                <w:rFonts w:hint="eastAsia" w:ascii="宋体" w:eastAsia="宋体" w:cs="宋体"/>
                <w:color w:val="000000"/>
                <w:sz w:val="21"/>
                <w:szCs w:val="21"/>
                <w:vertAlign w:val="subscript"/>
              </w:rPr>
              <w:t>k</w:t>
            </w:r>
            <w:r>
              <w:rPr>
                <w:rFonts w:hint="eastAsia" w:ascii="宋体" w:eastAsia="宋体" w:cs="宋体"/>
                <w:color w:val="000000"/>
                <w:sz w:val="21"/>
                <w:szCs w:val="21"/>
              </w:rPr>
              <w:t>(kPa)</w:t>
            </w:r>
          </w:p>
        </w:tc>
        <w:tc>
          <w:tcPr>
            <w:tcW w:w="1027" w:type="dxa"/>
            <w:tcBorders>
              <w:top w:val="single" w:color="000000" w:sz="6" w:space="0"/>
              <w:left w:val="single" w:color="000000" w:sz="6" w:space="0"/>
              <w:bottom w:val="single" w:color="000000" w:sz="12"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内摩擦角</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z w:val="21"/>
                <w:szCs w:val="21"/>
              </w:rPr>
              <w:t>φ</w:t>
            </w:r>
            <w:r>
              <w:rPr>
                <w:rFonts w:hint="eastAsia" w:ascii="宋体" w:eastAsia="宋体" w:cs="宋体"/>
                <w:color w:val="000000"/>
                <w:sz w:val="21"/>
                <w:szCs w:val="21"/>
                <w:vertAlign w:val="subscript"/>
              </w:rPr>
              <w:t>k</w:t>
            </w:r>
            <w:r>
              <w:rPr>
                <w:rFonts w:hint="eastAsia" w:ascii="宋体" w:eastAsia="宋体" w:cs="宋体"/>
                <w:color w:val="000000"/>
                <w:sz w:val="21"/>
                <w:szCs w:val="21"/>
              </w:rPr>
              <w:t>(°)</w:t>
            </w:r>
          </w:p>
        </w:tc>
        <w:tc>
          <w:tcPr>
            <w:tcW w:w="1243" w:type="dxa"/>
            <w:tcBorders>
              <w:top w:val="single" w:color="000000" w:sz="6" w:space="0"/>
              <w:left w:val="single" w:color="auto" w:sz="4" w:space="0"/>
              <w:bottom w:val="single" w:color="000000" w:sz="12"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pacing w:val="-6"/>
                <w:w w:val="90"/>
                <w:kern w:val="0"/>
                <w:sz w:val="21"/>
                <w:szCs w:val="21"/>
              </w:rPr>
              <w:t>承载力特征值</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spacing w:val="-6"/>
                <w:w w:val="90"/>
                <w:kern w:val="0"/>
                <w:sz w:val="21"/>
                <w:szCs w:val="21"/>
              </w:rPr>
            </w:pPr>
            <w:r>
              <w:rPr>
                <w:rFonts w:hint="eastAsia" w:ascii="宋体" w:eastAsia="宋体" w:cs="宋体"/>
                <w:color w:val="000000"/>
                <w:sz w:val="21"/>
                <w:szCs w:val="21"/>
              </w:rPr>
              <w:t>f</w:t>
            </w:r>
            <w:r>
              <w:rPr>
                <w:rFonts w:hint="eastAsia" w:ascii="宋体" w:eastAsia="宋体" w:cs="宋体"/>
                <w:color w:val="000000"/>
                <w:sz w:val="21"/>
                <w:szCs w:val="21"/>
                <w:vertAlign w:val="subscript"/>
              </w:rPr>
              <w:t>ak</w:t>
            </w:r>
            <w:r>
              <w:rPr>
                <w:rFonts w:hint="eastAsia" w:ascii="宋体" w:eastAsia="宋体" w:cs="宋体"/>
                <w:color w:val="000000"/>
                <w:sz w:val="21"/>
                <w:szCs w:val="21"/>
              </w:rPr>
              <w:t>（kPa）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Ex>
        <w:trPr>
          <w:trHeight w:val="423" w:hRule="atLeast"/>
          <w:jc w:val="center"/>
        </w:trPr>
        <w:tc>
          <w:tcPr>
            <w:tcW w:w="2615" w:type="dxa"/>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sz w:val="21"/>
                <w:szCs w:val="21"/>
              </w:rPr>
            </w:pPr>
            <w:r>
              <w:rPr>
                <w:rFonts w:hint="eastAsia" w:ascii="宋体" w:eastAsia="宋体" w:cs="宋体"/>
                <w:color w:val="000000"/>
                <w:sz w:val="21"/>
                <w:szCs w:val="21"/>
              </w:rPr>
              <w:t>③中密圆砾</w:t>
            </w:r>
          </w:p>
        </w:tc>
        <w:tc>
          <w:tcPr>
            <w:tcW w:w="1006" w:type="dxa"/>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kern w:val="0"/>
                <w:sz w:val="21"/>
                <w:szCs w:val="21"/>
              </w:rPr>
            </w:pPr>
            <w:r>
              <w:rPr>
                <w:rFonts w:hint="eastAsia" w:ascii="宋体" w:eastAsia="宋体" w:cs="宋体"/>
                <w:color w:val="000000"/>
                <w:kern w:val="0"/>
                <w:sz w:val="21"/>
                <w:szCs w:val="21"/>
                <w:lang w:val="en-US" w:eastAsia="zh-CN"/>
              </w:rPr>
              <w:t>30</w:t>
            </w:r>
            <w:r>
              <w:rPr>
                <w:rFonts w:hint="eastAsia" w:ascii="宋体" w:eastAsia="宋体" w:cs="宋体"/>
                <w:color w:val="000000"/>
                <w:kern w:val="0"/>
                <w:sz w:val="21"/>
                <w:szCs w:val="21"/>
              </w:rPr>
              <w:t>.0</w:t>
            </w:r>
          </w:p>
        </w:tc>
        <w:tc>
          <w:tcPr>
            <w:tcW w:w="646" w:type="dxa"/>
            <w:tcBorders>
              <w:top w:val="single" w:color="000000" w:sz="6" w:space="0"/>
              <w:left w:val="single" w:color="000000" w:sz="6"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kern w:val="0"/>
                <w:sz w:val="21"/>
                <w:szCs w:val="21"/>
              </w:rPr>
            </w:pPr>
            <w:r>
              <w:rPr>
                <w:rFonts w:hint="eastAsia" w:ascii="宋体" w:eastAsia="宋体" w:cs="宋体"/>
                <w:color w:val="000000"/>
                <w:kern w:val="0"/>
                <w:sz w:val="21"/>
                <w:szCs w:val="21"/>
              </w:rPr>
              <w:t>—</w:t>
            </w:r>
          </w:p>
        </w:tc>
        <w:tc>
          <w:tcPr>
            <w:tcW w:w="918" w:type="dxa"/>
            <w:tcBorders>
              <w:top w:val="single" w:color="000000" w:sz="6" w:space="0"/>
              <w:left w:val="single" w:color="000000" w:sz="6" w:space="0"/>
              <w:bottom w:val="single" w:color="000000" w:sz="12"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kern w:val="0"/>
                <w:sz w:val="21"/>
                <w:szCs w:val="21"/>
              </w:rPr>
            </w:pPr>
            <w:r>
              <w:rPr>
                <w:rFonts w:hint="eastAsia" w:ascii="宋体" w:eastAsia="宋体" w:cs="宋体"/>
                <w:color w:val="000000"/>
                <w:kern w:val="0"/>
                <w:sz w:val="21"/>
                <w:szCs w:val="21"/>
              </w:rPr>
              <w:t>—</w:t>
            </w:r>
          </w:p>
        </w:tc>
        <w:tc>
          <w:tcPr>
            <w:tcW w:w="905" w:type="dxa"/>
            <w:tcBorders>
              <w:top w:val="single" w:color="000000" w:sz="6" w:space="0"/>
              <w:left w:val="single" w:color="auto" w:sz="4"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eastAsia="宋体" w:cs="宋体"/>
                <w:color w:val="000000"/>
                <w:kern w:val="0"/>
                <w:sz w:val="21"/>
                <w:szCs w:val="21"/>
              </w:rPr>
            </w:pPr>
            <w:r>
              <w:rPr>
                <w:rFonts w:hint="eastAsia" w:ascii="宋体" w:eastAsia="宋体" w:cs="宋体"/>
                <w:color w:val="000000"/>
                <w:kern w:val="0"/>
                <w:sz w:val="21"/>
                <w:szCs w:val="21"/>
              </w:rPr>
              <w:t>—</w:t>
            </w:r>
          </w:p>
        </w:tc>
        <w:tc>
          <w:tcPr>
            <w:tcW w:w="1027" w:type="dxa"/>
            <w:tcBorders>
              <w:top w:val="single" w:color="000000" w:sz="6" w:space="0"/>
              <w:left w:val="single" w:color="000000" w:sz="6" w:space="0"/>
              <w:bottom w:val="single" w:color="000000" w:sz="12"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kern w:val="0"/>
                <w:sz w:val="21"/>
                <w:szCs w:val="21"/>
                <w:lang w:val="en-US" w:eastAsia="zh-CN"/>
              </w:rPr>
            </w:pPr>
            <w:r>
              <w:rPr>
                <w:rFonts w:hint="eastAsia" w:ascii="宋体" w:eastAsia="宋体" w:cs="宋体"/>
                <w:color w:val="000000"/>
                <w:kern w:val="0"/>
                <w:sz w:val="21"/>
                <w:szCs w:val="21"/>
              </w:rPr>
              <w:t>3</w:t>
            </w:r>
            <w:r>
              <w:rPr>
                <w:rFonts w:hint="eastAsia" w:ascii="宋体" w:eastAsia="宋体" w:cs="宋体"/>
                <w:color w:val="000000"/>
                <w:kern w:val="0"/>
                <w:sz w:val="21"/>
                <w:szCs w:val="21"/>
                <w:lang w:val="en-US" w:eastAsia="zh-CN"/>
              </w:rPr>
              <w:t>5</w:t>
            </w:r>
            <w:r>
              <w:rPr>
                <w:rFonts w:hint="eastAsia" w:ascii="宋体" w:eastAsia="宋体" w:cs="宋体"/>
                <w:color w:val="000000"/>
                <w:kern w:val="0"/>
                <w:sz w:val="21"/>
                <w:szCs w:val="21"/>
              </w:rPr>
              <w:t>～</w:t>
            </w:r>
            <w:r>
              <w:rPr>
                <w:rFonts w:hint="eastAsia" w:ascii="宋体" w:eastAsia="宋体" w:cs="宋体"/>
                <w:color w:val="000000"/>
                <w:kern w:val="0"/>
                <w:sz w:val="21"/>
                <w:szCs w:val="21"/>
                <w:lang w:val="en-US" w:eastAsia="zh-CN"/>
              </w:rPr>
              <w:t>40</w:t>
            </w:r>
          </w:p>
        </w:tc>
        <w:tc>
          <w:tcPr>
            <w:tcW w:w="1243" w:type="dxa"/>
            <w:tcBorders>
              <w:top w:val="single" w:color="000000" w:sz="6" w:space="0"/>
              <w:left w:val="single" w:color="auto" w:sz="4" w:space="0"/>
              <w:bottom w:val="single" w:color="000000" w:sz="12" w:space="0"/>
              <w:right w:val="single" w:color="000000" w:sz="6"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left="0" w:firstLine="0" w:firstLineChars="0"/>
              <w:jc w:val="both"/>
              <w:textAlignment w:val="auto"/>
              <w:rPr>
                <w:rFonts w:hint="eastAsia" w:ascii="宋体" w:eastAsia="宋体" w:cs="宋体"/>
                <w:color w:val="000000"/>
                <w:kern w:val="0"/>
                <w:sz w:val="21"/>
                <w:szCs w:val="21"/>
                <w:lang w:val="en-US" w:eastAsia="zh-CN"/>
              </w:rPr>
            </w:pPr>
            <w:r>
              <w:rPr>
                <w:rFonts w:hint="eastAsia" w:ascii="宋体" w:eastAsia="宋体" w:cs="宋体"/>
                <w:color w:val="000000"/>
                <w:kern w:val="0"/>
                <w:sz w:val="21"/>
                <w:szCs w:val="21"/>
              </w:rPr>
              <w:t>300～</w:t>
            </w:r>
            <w:r>
              <w:rPr>
                <w:rFonts w:hint="eastAsia" w:ascii="宋体" w:eastAsia="宋体" w:cs="宋体"/>
                <w:color w:val="000000"/>
                <w:kern w:val="0"/>
                <w:sz w:val="21"/>
                <w:szCs w:val="21"/>
                <w:lang w:val="en-US" w:eastAsia="zh-CN"/>
              </w:rPr>
              <w:t>400</w:t>
            </w:r>
          </w:p>
        </w:tc>
      </w:tr>
    </w:tbl>
    <w:p>
      <w:pPr>
        <w:keepNext w:val="0"/>
        <w:keepLines w:val="0"/>
        <w:pageBreakBefore w:val="0"/>
        <w:widowControl w:val="0"/>
        <w:kinsoku/>
        <w:wordWrap/>
        <w:overflowPunct/>
        <w:topLinePunct w:val="0"/>
        <w:autoSpaceDE/>
        <w:autoSpaceDN/>
        <w:bidi w:val="0"/>
        <w:adjustRightInd/>
        <w:snapToGrid w:val="0"/>
        <w:ind w:left="0"/>
        <w:textAlignment w:val="auto"/>
        <w:rPr>
          <w:rFonts w:hint="eastAsia" w:cs="仿宋_GB2312"/>
          <w:b/>
          <w:bCs/>
          <w:color w:val="000000"/>
          <w:szCs w:val="24"/>
          <w:lang w:val="en-US" w:eastAsia="zh-CN"/>
        </w:rPr>
      </w:pPr>
    </w:p>
    <w:p>
      <w:pPr>
        <w:keepNext w:val="0"/>
        <w:keepLines w:val="0"/>
        <w:pageBreakBefore w:val="0"/>
        <w:widowControl w:val="0"/>
        <w:kinsoku/>
        <w:wordWrap/>
        <w:overflowPunct/>
        <w:topLinePunct w:val="0"/>
        <w:autoSpaceDE/>
        <w:autoSpaceDN/>
        <w:bidi w:val="0"/>
        <w:adjustRightInd/>
        <w:snapToGrid w:val="0"/>
        <w:ind w:left="0" w:firstLine="0" w:firstLineChars="0"/>
        <w:textAlignment w:val="auto"/>
        <w:rPr>
          <w:rFonts w:ascii="宋体" w:cs="仿宋_GB2312"/>
          <w:b/>
          <w:bCs/>
          <w:color w:val="000000"/>
          <w:szCs w:val="24"/>
        </w:rPr>
      </w:pPr>
      <w:r>
        <w:rPr>
          <w:rFonts w:hint="eastAsia" w:cs="仿宋_GB2312"/>
          <w:b/>
          <w:bCs/>
          <w:color w:val="000000"/>
          <w:szCs w:val="24"/>
          <w:lang w:val="en-US" w:eastAsia="zh-CN"/>
        </w:rPr>
        <w:t>1.4.2.</w:t>
      </w:r>
      <w:r>
        <w:rPr>
          <w:rFonts w:hint="eastAsia" w:ascii="宋体" w:cs="仿宋_GB2312"/>
          <w:b/>
          <w:bCs/>
          <w:color w:val="000000"/>
          <w:szCs w:val="24"/>
        </w:rPr>
        <w:t>3水文地质条件</w:t>
      </w:r>
    </w:p>
    <w:p>
      <w:pPr>
        <w:keepNext w:val="0"/>
        <w:keepLines w:val="0"/>
        <w:pageBreakBefore w:val="0"/>
        <w:widowControl w:val="0"/>
        <w:kinsoku/>
        <w:wordWrap/>
        <w:overflowPunct/>
        <w:topLinePunct w:val="0"/>
        <w:autoSpaceDE/>
        <w:autoSpaceDN/>
        <w:bidi w:val="0"/>
        <w:adjustRightInd/>
        <w:snapToGrid w:val="0"/>
        <w:ind w:left="0"/>
        <w:textAlignment w:val="auto"/>
        <w:rPr>
          <w:rFonts w:hint="eastAsia" w:ascii="宋体" w:eastAsia="宋体" w:cs="仿宋_GB2312"/>
          <w:color w:val="000000"/>
          <w:szCs w:val="24"/>
          <w:lang w:eastAsia="zh-CN"/>
        </w:rPr>
      </w:pPr>
      <w:r>
        <w:rPr>
          <w:rFonts w:hint="eastAsia" w:ascii="宋体" w:cs="仿宋_GB2312"/>
          <w:color w:val="000000"/>
          <w:szCs w:val="24"/>
        </w:rPr>
        <w:t>场地内地下水类型主要为孔隙潜水，赋存于与圆砾层中，其主要补给来源于大气降水、径流补给，主要通过径流及地下水开采等途径排泄。</w:t>
      </w:r>
      <w:r>
        <w:rPr>
          <w:rFonts w:hint="eastAsia" w:cs="仿宋_GB2312"/>
          <w:color w:val="000000"/>
          <w:szCs w:val="24"/>
        </w:rPr>
        <w:t>勘测期间勘探深度内未见地下水，地下水位一般大于</w:t>
      </w:r>
      <w:r>
        <w:rPr>
          <w:rFonts w:cs="仿宋_GB2312"/>
          <w:color w:val="000000"/>
          <w:szCs w:val="24"/>
        </w:rPr>
        <w:t>15</w:t>
      </w:r>
      <w:r>
        <w:rPr>
          <w:rFonts w:hint="eastAsia" w:cs="仿宋_GB2312"/>
          <w:color w:val="000000"/>
          <w:szCs w:val="24"/>
        </w:rPr>
        <w:t>m，对浅基础开挖和施工基本无影响</w:t>
      </w:r>
      <w:r>
        <w:rPr>
          <w:rFonts w:hint="eastAsia" w:cs="仿宋_GB2312"/>
          <w:color w:val="000000"/>
          <w:szCs w:val="24"/>
          <w:lang w:eastAsia="zh-CN"/>
        </w:rPr>
        <w:t>。</w:t>
      </w:r>
    </w:p>
    <w:p>
      <w:pPr>
        <w:keepNext w:val="0"/>
        <w:keepLines w:val="0"/>
        <w:pageBreakBefore w:val="0"/>
        <w:widowControl w:val="0"/>
        <w:kinsoku/>
        <w:wordWrap/>
        <w:overflowPunct/>
        <w:topLinePunct w:val="0"/>
        <w:autoSpaceDE/>
        <w:autoSpaceDN/>
        <w:bidi w:val="0"/>
        <w:adjustRightInd/>
        <w:snapToGrid w:val="0"/>
        <w:ind w:left="0" w:firstLine="0" w:firstLineChars="0"/>
        <w:textAlignment w:val="auto"/>
        <w:rPr>
          <w:rFonts w:ascii="宋体" w:cs="仿宋_GB2312"/>
          <w:b/>
          <w:bCs/>
          <w:color w:val="000000"/>
          <w:szCs w:val="24"/>
        </w:rPr>
      </w:pPr>
      <w:r>
        <w:rPr>
          <w:rFonts w:hint="eastAsia" w:cs="仿宋_GB2312"/>
          <w:b/>
          <w:bCs/>
          <w:color w:val="000000"/>
          <w:szCs w:val="24"/>
          <w:lang w:val="en-US" w:eastAsia="zh-CN"/>
        </w:rPr>
        <w:t>1.4.2.</w:t>
      </w:r>
      <w:r>
        <w:rPr>
          <w:rFonts w:ascii="宋体" w:cs="仿宋_GB2312"/>
          <w:b/>
          <w:bCs/>
          <w:color w:val="000000"/>
          <w:szCs w:val="24"/>
        </w:rPr>
        <w:t>4</w:t>
      </w:r>
      <w:r>
        <w:rPr>
          <w:rFonts w:hint="eastAsia" w:ascii="宋体" w:cs="仿宋_GB2312"/>
          <w:b/>
          <w:bCs/>
          <w:color w:val="000000"/>
          <w:szCs w:val="24"/>
        </w:rPr>
        <w:t>土的腐蚀性</w:t>
      </w:r>
    </w:p>
    <w:p>
      <w:pPr>
        <w:keepNext w:val="0"/>
        <w:keepLines w:val="0"/>
        <w:pageBreakBefore w:val="0"/>
        <w:widowControl w:val="0"/>
        <w:kinsoku/>
        <w:wordWrap/>
        <w:overflowPunct/>
        <w:topLinePunct w:val="0"/>
        <w:autoSpaceDE/>
        <w:autoSpaceDN/>
        <w:bidi w:val="0"/>
        <w:adjustRightInd/>
        <w:snapToGrid w:val="0"/>
        <w:ind w:left="0" w:firstLine="480" w:firstLineChars="200"/>
        <w:textAlignment w:val="auto"/>
        <w:rPr>
          <w:rFonts w:cs="仿宋_GB2312"/>
          <w:color w:val="000000"/>
          <w:szCs w:val="24"/>
        </w:rPr>
      </w:pPr>
      <w:r>
        <w:rPr>
          <w:rFonts w:hint="eastAsia" w:cs="仿宋_GB2312"/>
          <w:color w:val="000000"/>
          <w:szCs w:val="24"/>
        </w:rPr>
        <w:t>根据</w:t>
      </w:r>
      <w:r>
        <w:rPr>
          <w:rFonts w:hint="eastAsia" w:ascii="宋体" w:cs="仿宋_GB2312"/>
          <w:color w:val="000000"/>
          <w:szCs w:val="24"/>
        </w:rPr>
        <w:t>以往周边经验</w:t>
      </w:r>
      <w:r>
        <w:rPr>
          <w:rFonts w:hint="eastAsia" w:cs="仿宋_GB2312"/>
          <w:color w:val="000000"/>
          <w:szCs w:val="24"/>
        </w:rPr>
        <w:t>，场地内地基土对混凝土结构具微腐蚀，对钢筋混凝土结构中钢筋具弱腐蚀，对钢结构具微腐蚀。</w:t>
      </w:r>
    </w:p>
    <w:p>
      <w:pPr>
        <w:keepNext w:val="0"/>
        <w:keepLines w:val="0"/>
        <w:pageBreakBefore w:val="0"/>
        <w:widowControl w:val="0"/>
        <w:kinsoku/>
        <w:wordWrap/>
        <w:overflowPunct/>
        <w:topLinePunct w:val="0"/>
        <w:autoSpaceDE/>
        <w:autoSpaceDN/>
        <w:bidi w:val="0"/>
        <w:adjustRightInd/>
        <w:snapToGrid w:val="0"/>
        <w:ind w:left="0" w:firstLine="0" w:firstLineChars="0"/>
        <w:textAlignment w:val="auto"/>
        <w:rPr>
          <w:rFonts w:ascii="宋体" w:cs="仿宋_GB2312"/>
          <w:b/>
          <w:bCs/>
          <w:color w:val="000000"/>
          <w:szCs w:val="24"/>
        </w:rPr>
      </w:pPr>
      <w:r>
        <w:rPr>
          <w:rFonts w:hint="eastAsia" w:cs="仿宋_GB2312"/>
          <w:b/>
          <w:bCs/>
          <w:color w:val="000000"/>
          <w:szCs w:val="24"/>
          <w:lang w:val="en-US" w:eastAsia="zh-CN"/>
        </w:rPr>
        <w:t>1.4.2.</w:t>
      </w:r>
      <w:r>
        <w:rPr>
          <w:rFonts w:hint="eastAsia" w:ascii="宋体" w:cs="仿宋_GB2312"/>
          <w:b/>
          <w:bCs/>
          <w:color w:val="000000"/>
          <w:szCs w:val="24"/>
        </w:rPr>
        <w:t>5特殊性岩土</w:t>
      </w:r>
    </w:p>
    <w:p>
      <w:pPr>
        <w:keepNext w:val="0"/>
        <w:keepLines w:val="0"/>
        <w:pageBreakBefore w:val="0"/>
        <w:widowControl w:val="0"/>
        <w:kinsoku/>
        <w:wordWrap/>
        <w:overflowPunct/>
        <w:topLinePunct w:val="0"/>
        <w:autoSpaceDE/>
        <w:autoSpaceDN/>
        <w:bidi w:val="0"/>
        <w:adjustRightInd/>
        <w:snapToGrid w:val="0"/>
        <w:ind w:left="0"/>
        <w:textAlignment w:val="auto"/>
        <w:rPr>
          <w:rFonts w:ascii="宋体" w:cs="仿宋_GB2312"/>
          <w:color w:val="000000"/>
          <w:szCs w:val="24"/>
        </w:rPr>
      </w:pPr>
      <w:r>
        <w:rPr>
          <w:rFonts w:hint="eastAsia" w:cs="仿宋_GB2312"/>
          <w:color w:val="000000"/>
          <w:szCs w:val="24"/>
          <w:lang w:eastAsia="zh-CN"/>
        </w:rPr>
        <w:t>（</w:t>
      </w:r>
      <w:r>
        <w:rPr>
          <w:rFonts w:hint="eastAsia" w:cs="仿宋_GB2312"/>
          <w:color w:val="000000"/>
          <w:szCs w:val="24"/>
          <w:lang w:val="en-US" w:eastAsia="zh-CN"/>
        </w:rPr>
        <w:t>1</w:t>
      </w:r>
      <w:r>
        <w:rPr>
          <w:rFonts w:hint="eastAsia" w:cs="仿宋_GB2312"/>
          <w:color w:val="000000"/>
          <w:szCs w:val="24"/>
          <w:lang w:eastAsia="zh-CN"/>
        </w:rPr>
        <w:t>）</w:t>
      </w:r>
      <w:r>
        <w:rPr>
          <w:rFonts w:hint="eastAsia" w:ascii="宋体" w:cs="仿宋_GB2312"/>
          <w:color w:val="000000"/>
          <w:szCs w:val="24"/>
        </w:rPr>
        <w:t>盐渍土</w:t>
      </w:r>
    </w:p>
    <w:p>
      <w:pPr>
        <w:keepNext w:val="0"/>
        <w:keepLines w:val="0"/>
        <w:pageBreakBefore w:val="0"/>
        <w:widowControl w:val="0"/>
        <w:kinsoku/>
        <w:wordWrap/>
        <w:overflowPunct/>
        <w:topLinePunct w:val="0"/>
        <w:autoSpaceDE/>
        <w:autoSpaceDN/>
        <w:bidi w:val="0"/>
        <w:adjustRightInd/>
        <w:snapToGrid w:val="0"/>
        <w:ind w:left="0" w:firstLine="480" w:firstLineChars="200"/>
        <w:textAlignment w:val="auto"/>
        <w:rPr>
          <w:rFonts w:ascii="宋体" w:cs="仿宋_GB2312"/>
          <w:color w:val="000000"/>
          <w:szCs w:val="24"/>
        </w:rPr>
      </w:pPr>
      <w:r>
        <w:rPr>
          <w:rFonts w:hint="eastAsia" w:cs="仿宋_GB2312"/>
          <w:color w:val="000000"/>
          <w:szCs w:val="24"/>
        </w:rPr>
        <w:t>根据以往工程资料显示</w:t>
      </w:r>
      <w:r>
        <w:rPr>
          <w:rFonts w:cs="仿宋_GB2312"/>
          <w:color w:val="000000"/>
          <w:szCs w:val="24"/>
        </w:rPr>
        <w:t>，</w:t>
      </w:r>
      <w:r>
        <w:rPr>
          <w:rFonts w:hint="eastAsia" w:cs="仿宋_GB2312"/>
          <w:color w:val="000000"/>
          <w:szCs w:val="24"/>
          <w:lang w:eastAsia="zh-CN"/>
        </w:rPr>
        <w:t>线路</w:t>
      </w:r>
      <w:r>
        <w:rPr>
          <w:rFonts w:hint="eastAsia" w:cs="仿宋_GB2312"/>
          <w:color w:val="000000"/>
          <w:szCs w:val="24"/>
        </w:rPr>
        <w:t>内</w:t>
      </w:r>
      <w:r>
        <w:rPr>
          <w:rFonts w:cs="仿宋_GB2312"/>
          <w:color w:val="000000"/>
          <w:szCs w:val="24"/>
        </w:rPr>
        <w:t>地基土易溶盐</w:t>
      </w:r>
      <w:r>
        <w:rPr>
          <w:rFonts w:hint="eastAsia" w:ascii="宋体" w:cs="仿宋_GB2312"/>
          <w:color w:val="000000"/>
          <w:szCs w:val="24"/>
        </w:rPr>
        <w:t>含量</w:t>
      </w:r>
      <w:r>
        <w:rPr>
          <w:rFonts w:hint="eastAsia"/>
          <w:color w:val="000000"/>
          <w:szCs w:val="24"/>
        </w:rPr>
        <w:t>小于0</w:t>
      </w:r>
      <w:r>
        <w:rPr>
          <w:color w:val="000000"/>
          <w:szCs w:val="24"/>
        </w:rPr>
        <w:t>.</w:t>
      </w:r>
      <w:r>
        <w:rPr>
          <w:rFonts w:hint="eastAsia"/>
          <w:color w:val="000000"/>
          <w:szCs w:val="24"/>
          <w:lang w:val="en-US" w:eastAsia="zh-CN"/>
        </w:rPr>
        <w:t>4</w:t>
      </w:r>
      <w:r>
        <w:rPr>
          <w:rFonts w:hint="eastAsia"/>
          <w:color w:val="000000"/>
          <w:szCs w:val="24"/>
        </w:rPr>
        <w:t>%</w:t>
      </w:r>
      <w:r>
        <w:rPr>
          <w:rFonts w:hint="eastAsia" w:ascii="宋体" w:cs="仿宋_GB2312"/>
          <w:color w:val="000000"/>
          <w:szCs w:val="24"/>
        </w:rPr>
        <w:t>，为非盐渍土，</w:t>
      </w:r>
      <w:r>
        <w:rPr>
          <w:rFonts w:hint="eastAsia" w:cs="仿宋_GB2312"/>
          <w:color w:val="000000"/>
          <w:szCs w:val="24"/>
        </w:rPr>
        <w:t>不具盐胀性及溶陷性</w:t>
      </w:r>
      <w:r>
        <w:rPr>
          <w:rFonts w:hint="eastAsia" w:ascii="宋体" w:cs="仿宋_GB2312"/>
          <w:color w:val="000000"/>
          <w:szCs w:val="24"/>
        </w:rPr>
        <w:t>。</w:t>
      </w:r>
    </w:p>
    <w:p>
      <w:pPr>
        <w:keepNext w:val="0"/>
        <w:keepLines w:val="0"/>
        <w:pageBreakBefore w:val="0"/>
        <w:widowControl w:val="0"/>
        <w:kinsoku/>
        <w:wordWrap/>
        <w:overflowPunct/>
        <w:topLinePunct w:val="0"/>
        <w:autoSpaceDE/>
        <w:autoSpaceDN/>
        <w:bidi w:val="0"/>
        <w:adjustRightInd/>
        <w:snapToGrid w:val="0"/>
        <w:ind w:left="0"/>
        <w:textAlignment w:val="auto"/>
        <w:rPr>
          <w:rFonts w:ascii="宋体" w:cs="仿宋_GB2312"/>
          <w:color w:val="000000"/>
          <w:szCs w:val="24"/>
        </w:rPr>
      </w:pPr>
      <w:r>
        <w:rPr>
          <w:rFonts w:hint="eastAsia" w:cs="仿宋_GB2312"/>
          <w:color w:val="000000"/>
          <w:szCs w:val="24"/>
          <w:lang w:eastAsia="zh-CN"/>
        </w:rPr>
        <w:t>（</w:t>
      </w:r>
      <w:r>
        <w:rPr>
          <w:rFonts w:hint="eastAsia" w:cs="仿宋_GB2312"/>
          <w:color w:val="000000"/>
          <w:szCs w:val="24"/>
          <w:lang w:val="en-US" w:eastAsia="zh-CN"/>
        </w:rPr>
        <w:t>2</w:t>
      </w:r>
      <w:r>
        <w:rPr>
          <w:rFonts w:hint="eastAsia" w:cs="仿宋_GB2312"/>
          <w:color w:val="000000"/>
          <w:szCs w:val="24"/>
          <w:lang w:eastAsia="zh-CN"/>
        </w:rPr>
        <w:t>）</w:t>
      </w:r>
      <w:r>
        <w:rPr>
          <w:rFonts w:hint="eastAsia" w:ascii="宋体" w:cs="仿宋_GB2312"/>
          <w:color w:val="000000"/>
          <w:szCs w:val="24"/>
        </w:rPr>
        <w:t>季节性冻土</w:t>
      </w:r>
    </w:p>
    <w:p>
      <w:pPr>
        <w:keepNext w:val="0"/>
        <w:keepLines w:val="0"/>
        <w:pageBreakBefore w:val="0"/>
        <w:widowControl w:val="0"/>
        <w:kinsoku/>
        <w:wordWrap/>
        <w:overflowPunct/>
        <w:topLinePunct w:val="0"/>
        <w:autoSpaceDE/>
        <w:autoSpaceDN/>
        <w:bidi w:val="0"/>
        <w:adjustRightInd/>
        <w:snapToGrid w:val="0"/>
        <w:ind w:left="0" w:firstLine="480" w:firstLineChars="200"/>
        <w:textAlignment w:val="auto"/>
        <w:rPr>
          <w:rFonts w:cs="仿宋_GB2312"/>
          <w:color w:val="000000"/>
          <w:szCs w:val="24"/>
        </w:rPr>
      </w:pPr>
      <w:r>
        <w:rPr>
          <w:color w:val="000000"/>
          <w:szCs w:val="24"/>
        </w:rPr>
        <w:t>场地季节性冻土标准冻深为</w:t>
      </w:r>
      <w:r>
        <w:rPr>
          <w:rFonts w:hint="eastAsia"/>
          <w:color w:val="000000"/>
          <w:szCs w:val="24"/>
          <w:lang w:val="en-US" w:eastAsia="zh-CN"/>
        </w:rPr>
        <w:t>0.8</w:t>
      </w:r>
      <w:r>
        <w:rPr>
          <w:color w:val="000000"/>
          <w:szCs w:val="24"/>
        </w:rPr>
        <w:t>m</w:t>
      </w:r>
      <w:r>
        <w:rPr>
          <w:rFonts w:hint="eastAsia"/>
          <w:color w:val="000000"/>
          <w:szCs w:val="24"/>
        </w:rPr>
        <w:t>，经计算，</w:t>
      </w:r>
      <w:r>
        <w:rPr>
          <w:rFonts w:hint="eastAsia" w:cs="仿宋_GB2312"/>
          <w:color w:val="000000"/>
          <w:szCs w:val="24"/>
        </w:rPr>
        <w:t>场地内设计冻深为</w:t>
      </w:r>
      <w:r>
        <w:rPr>
          <w:rFonts w:cs="仿宋_GB2312"/>
          <w:color w:val="000000"/>
          <w:szCs w:val="24"/>
        </w:rPr>
        <w:t>1.</w:t>
      </w:r>
      <w:r>
        <w:rPr>
          <w:rFonts w:hint="eastAsia" w:cs="仿宋_GB2312"/>
          <w:color w:val="000000"/>
          <w:szCs w:val="24"/>
          <w:lang w:val="en-US" w:eastAsia="zh-CN"/>
        </w:rPr>
        <w:t>1</w:t>
      </w:r>
      <w:r>
        <w:rPr>
          <w:rFonts w:cs="仿宋_GB2312"/>
          <w:color w:val="000000"/>
          <w:szCs w:val="24"/>
        </w:rPr>
        <w:t>0</w:t>
      </w:r>
      <w:r>
        <w:rPr>
          <w:rFonts w:hint="eastAsia" w:cs="仿宋_GB2312"/>
          <w:color w:val="000000"/>
          <w:szCs w:val="24"/>
        </w:rPr>
        <w:t>m</w:t>
      </w:r>
      <w:r>
        <w:rPr>
          <w:rFonts w:hint="eastAsia"/>
          <w:color w:val="000000"/>
          <w:szCs w:val="24"/>
        </w:rPr>
        <w:t>。</w:t>
      </w:r>
    </w:p>
    <w:p>
      <w:pPr>
        <w:keepNext w:val="0"/>
        <w:keepLines w:val="0"/>
        <w:pageBreakBefore w:val="0"/>
        <w:widowControl w:val="0"/>
        <w:kinsoku/>
        <w:wordWrap/>
        <w:overflowPunct/>
        <w:topLinePunct w:val="0"/>
        <w:autoSpaceDE/>
        <w:autoSpaceDN/>
        <w:bidi w:val="0"/>
        <w:adjustRightInd/>
        <w:snapToGrid w:val="0"/>
        <w:ind w:left="0" w:firstLine="0" w:firstLineChars="0"/>
        <w:textAlignment w:val="auto"/>
        <w:rPr>
          <w:rFonts w:cs="仿宋_GB2312"/>
          <w:b/>
          <w:bCs/>
          <w:color w:val="000000"/>
          <w:szCs w:val="24"/>
        </w:rPr>
      </w:pPr>
      <w:r>
        <w:rPr>
          <w:rFonts w:hint="eastAsia" w:cs="仿宋_GB2312"/>
          <w:b/>
          <w:bCs/>
          <w:color w:val="000000"/>
          <w:szCs w:val="24"/>
          <w:lang w:val="en-US" w:eastAsia="zh-CN"/>
        </w:rPr>
        <w:t>1.4.2.</w:t>
      </w:r>
      <w:r>
        <w:rPr>
          <w:rFonts w:cs="仿宋_GB2312"/>
          <w:b/>
          <w:bCs/>
          <w:color w:val="000000"/>
          <w:szCs w:val="24"/>
        </w:rPr>
        <w:t>6</w:t>
      </w:r>
      <w:r>
        <w:rPr>
          <w:rFonts w:hint="eastAsia" w:cs="仿宋_GB2312"/>
          <w:b/>
          <w:bCs/>
          <w:color w:val="000000"/>
          <w:szCs w:val="24"/>
        </w:rPr>
        <w:t>地震动参数及场地类别</w:t>
      </w:r>
    </w:p>
    <w:p>
      <w:pPr>
        <w:keepNext w:val="0"/>
        <w:keepLines w:val="0"/>
        <w:pageBreakBefore w:val="0"/>
        <w:widowControl w:val="0"/>
        <w:kinsoku/>
        <w:wordWrap/>
        <w:overflowPunct/>
        <w:topLinePunct w:val="0"/>
        <w:autoSpaceDE/>
        <w:autoSpaceDN/>
        <w:bidi w:val="0"/>
        <w:snapToGrid w:val="0"/>
        <w:ind w:left="0" w:firstLine="480" w:firstLineChars="200"/>
        <w:textAlignment w:val="auto"/>
        <w:rPr>
          <w:rFonts w:ascii="宋体" w:cs="仿宋_GB2312"/>
          <w:color w:val="000000"/>
          <w:szCs w:val="24"/>
        </w:rPr>
      </w:pPr>
      <w:r>
        <w:rPr>
          <w:rFonts w:hint="eastAsia" w:ascii="宋体" w:cs="仿宋_GB2312"/>
          <w:color w:val="000000"/>
          <w:szCs w:val="24"/>
        </w:rPr>
        <w:t>场地土主要为</w:t>
      </w:r>
      <w:r>
        <w:rPr>
          <w:rFonts w:cs="仿宋_GB2312"/>
          <w:color w:val="000000"/>
          <w:szCs w:val="24"/>
        </w:rPr>
        <w:t>第四系上更新统～全新统</w:t>
      </w:r>
      <w:r>
        <w:rPr>
          <w:rFonts w:hint="eastAsia" w:ascii="宋体" w:cs="仿宋_GB2312"/>
          <w:color w:val="000000"/>
          <w:szCs w:val="24"/>
        </w:rPr>
        <w:t>冲洪积相圆砾层，等效剪切波速</w:t>
      </w:r>
      <w:r>
        <w:rPr>
          <w:rFonts w:ascii="宋体" w:cs="仿宋_GB2312"/>
          <w:color w:val="000000"/>
          <w:szCs w:val="24"/>
        </w:rPr>
        <w:t>250</w:t>
      </w:r>
      <w:r>
        <w:rPr>
          <w:rFonts w:hint="eastAsia" w:ascii="宋体" w:cs="仿宋_GB2312"/>
          <w:color w:val="000000"/>
          <w:szCs w:val="24"/>
        </w:rPr>
        <w:t>～</w:t>
      </w:r>
      <w:r>
        <w:rPr>
          <w:rFonts w:ascii="宋体" w:cs="仿宋_GB2312"/>
          <w:color w:val="000000"/>
          <w:szCs w:val="24"/>
        </w:rPr>
        <w:t>500</w:t>
      </w:r>
      <w:r>
        <w:rPr>
          <w:rFonts w:hint="eastAsia" w:ascii="宋体" w:cs="仿宋_GB2312"/>
          <w:color w:val="000000"/>
          <w:szCs w:val="24"/>
        </w:rPr>
        <w:t>m/s，判定</w:t>
      </w:r>
      <w:r>
        <w:rPr>
          <w:rFonts w:hint="eastAsia" w:cs="仿宋_GB2312"/>
          <w:color w:val="000000"/>
          <w:szCs w:val="24"/>
          <w:lang w:eastAsia="zh-CN"/>
        </w:rPr>
        <w:t>线路</w:t>
      </w:r>
      <w:r>
        <w:rPr>
          <w:rFonts w:hint="eastAsia" w:ascii="宋体" w:cs="仿宋_GB2312"/>
          <w:color w:val="000000"/>
          <w:szCs w:val="24"/>
        </w:rPr>
        <w:t>区域的场地土类型主要为中硬土，建筑场地类别为Ⅱ类。场地区域的基本地震动峰值加速度值为</w:t>
      </w:r>
      <w:r>
        <w:rPr>
          <w:rFonts w:hint="eastAsia"/>
          <w:color w:val="000000"/>
          <w:szCs w:val="24"/>
        </w:rPr>
        <w:t>0.</w:t>
      </w:r>
      <w:r>
        <w:rPr>
          <w:color w:val="000000"/>
          <w:szCs w:val="24"/>
        </w:rPr>
        <w:t>20</w:t>
      </w:r>
      <w:r>
        <w:rPr>
          <w:rFonts w:hint="eastAsia"/>
          <w:color w:val="000000"/>
          <w:szCs w:val="24"/>
        </w:rPr>
        <w:t>g</w:t>
      </w:r>
      <w:r>
        <w:rPr>
          <w:rFonts w:hint="eastAsia" w:ascii="宋体" w:cs="仿宋_GB2312"/>
          <w:color w:val="000000"/>
          <w:szCs w:val="24"/>
        </w:rPr>
        <w:t>，基本地震烈度为</w:t>
      </w:r>
      <w:r>
        <w:rPr>
          <w:rFonts w:hint="eastAsia"/>
          <w:color w:val="000000"/>
          <w:szCs w:val="24"/>
        </w:rPr>
        <w:t>Ⅷ</w:t>
      </w:r>
      <w:r>
        <w:rPr>
          <w:rFonts w:hint="eastAsia" w:ascii="宋体" w:cs="仿宋_GB2312"/>
          <w:color w:val="000000"/>
          <w:szCs w:val="24"/>
        </w:rPr>
        <w:t>度，地震动加速度反应谱特征周期为</w:t>
      </w:r>
      <w:r>
        <w:rPr>
          <w:rFonts w:hint="eastAsia"/>
          <w:color w:val="000000"/>
          <w:szCs w:val="24"/>
        </w:rPr>
        <w:t>0.4</w:t>
      </w:r>
      <w:r>
        <w:rPr>
          <w:color w:val="000000"/>
          <w:szCs w:val="24"/>
        </w:rPr>
        <w:t>5</w:t>
      </w:r>
      <w:r>
        <w:rPr>
          <w:rFonts w:hint="eastAsia"/>
          <w:color w:val="000000"/>
          <w:szCs w:val="24"/>
        </w:rPr>
        <w:t>s</w:t>
      </w:r>
      <w:r>
        <w:rPr>
          <w:rFonts w:hint="eastAsia" w:ascii="宋体" w:cs="仿宋_GB2312"/>
          <w:color w:val="000000"/>
          <w:szCs w:val="24"/>
        </w:rPr>
        <w:t>，设计地震分组为第三组。</w:t>
      </w:r>
    </w:p>
    <w:p>
      <w:pPr>
        <w:keepNext w:val="0"/>
        <w:keepLines w:val="0"/>
        <w:pageBreakBefore w:val="0"/>
        <w:widowControl w:val="0"/>
        <w:kinsoku/>
        <w:wordWrap/>
        <w:overflowPunct/>
        <w:topLinePunct w:val="0"/>
        <w:autoSpaceDE/>
        <w:autoSpaceDN/>
        <w:bidi w:val="0"/>
        <w:adjustRightInd/>
        <w:snapToGrid w:val="0"/>
        <w:ind w:left="0" w:firstLine="480" w:firstLineChars="200"/>
        <w:textAlignment w:val="auto"/>
        <w:rPr>
          <w:rFonts w:cs="仿宋_GB2312"/>
          <w:color w:val="000000"/>
          <w:szCs w:val="24"/>
        </w:rPr>
      </w:pPr>
      <w:r>
        <w:rPr>
          <w:rFonts w:hint="eastAsia" w:cs="仿宋_GB2312"/>
          <w:color w:val="000000"/>
          <w:szCs w:val="24"/>
          <w:lang w:val="en-US" w:eastAsia="zh-CN"/>
        </w:rPr>
        <w:t>线路</w:t>
      </w:r>
      <w:r>
        <w:rPr>
          <w:rFonts w:hint="eastAsia" w:cs="仿宋_GB2312"/>
          <w:color w:val="000000"/>
          <w:szCs w:val="24"/>
        </w:rPr>
        <w:t>区域内</w:t>
      </w:r>
      <w:r>
        <w:rPr>
          <w:rFonts w:cs="仿宋_GB2312"/>
          <w:color w:val="000000"/>
          <w:szCs w:val="24"/>
        </w:rPr>
        <w:t>20</w:t>
      </w:r>
      <w:r>
        <w:rPr>
          <w:rFonts w:hint="eastAsia" w:cs="仿宋_GB2312"/>
          <w:color w:val="000000"/>
          <w:szCs w:val="24"/>
        </w:rPr>
        <w:t>m深度范围内不存在饱和粉土及饱和砂土，场地为不液化场地，属抗震一般地段。</w:t>
      </w:r>
    </w:p>
    <w:p>
      <w:pPr>
        <w:pStyle w:val="27"/>
        <w:keepNext w:val="0"/>
        <w:keepLines w:val="0"/>
        <w:pageBreakBefore w:val="0"/>
        <w:widowControl/>
        <w:kinsoku/>
        <w:wordWrap/>
        <w:overflowPunct/>
        <w:topLinePunct w:val="0"/>
        <w:autoSpaceDE/>
        <w:autoSpaceDN/>
        <w:bidi w:val="0"/>
        <w:adjustRightInd w:val="0"/>
        <w:snapToGrid w:val="0"/>
        <w:ind w:firstLine="0" w:firstLineChars="0"/>
        <w:textAlignment w:val="auto"/>
        <w:outlineLvl w:val="2"/>
        <w:rPr>
          <w:rFonts w:eastAsia="宋体"/>
          <w:b/>
          <w:color w:val="000000"/>
          <w:szCs w:val="24"/>
          <w:shd w:val="clear" w:color="auto" w:fill="auto"/>
        </w:rPr>
      </w:pPr>
      <w:r>
        <w:rPr>
          <w:rFonts w:hint="eastAsia" w:eastAsia="宋体"/>
          <w:b/>
          <w:color w:val="000000"/>
          <w:szCs w:val="24"/>
          <w:shd w:val="clear" w:color="auto" w:fill="auto"/>
        </w:rPr>
        <w:t>1.4.3</w:t>
      </w:r>
      <w:r>
        <w:rPr>
          <w:rFonts w:eastAsia="宋体"/>
          <w:b/>
          <w:color w:val="000000"/>
          <w:szCs w:val="24"/>
          <w:shd w:val="clear" w:color="auto" w:fill="auto"/>
        </w:rPr>
        <w:t>气象</w:t>
      </w:r>
    </w:p>
    <w:p>
      <w:pPr>
        <w:keepNext w:val="0"/>
        <w:keepLines w:val="0"/>
        <w:pageBreakBefore w:val="0"/>
        <w:widowControl w:val="0"/>
        <w:kinsoku/>
        <w:wordWrap/>
        <w:overflowPunct/>
        <w:topLinePunct w:val="0"/>
        <w:autoSpaceDE/>
        <w:autoSpaceDN/>
        <w:bidi w:val="0"/>
        <w:snapToGrid w:val="0"/>
        <w:textAlignment w:val="auto"/>
        <w:rPr>
          <w:rFonts w:hint="eastAsia" w:ascii="宋体"/>
          <w:snapToGrid w:val="0"/>
          <w:color w:val="000000"/>
          <w:sz w:val="24"/>
          <w:szCs w:val="24"/>
        </w:rPr>
      </w:pPr>
      <w:r>
        <w:rPr>
          <w:rFonts w:hint="eastAsia" w:ascii="宋体"/>
          <w:snapToGrid w:val="0"/>
          <w:color w:val="000000"/>
          <w:sz w:val="24"/>
          <w:szCs w:val="24"/>
        </w:rPr>
        <w:t>线路所处地区位于亚欧大陆腹地，远离海洋，属暖温带干旱型气候，具有大陆性气候特点：气候干燥，蒸发量大，降水稀少，且年季变化大，晴天多，日照长，光热丰富，气候变化剧烈，冬季寒冷，夏季酷热，昼夜温差大，全年平均风速小。本境各地由于受地形影响，北部、西北部山区湿润多降水，夏季凉爽，冬季严寒，高山区四季降雪；平原地区气候比较干燥，夏季炎热，冬季寒冷；南部沙漠区常年干燥少雨，多风沙天气，冬季干冷，夏季干热。</w:t>
      </w:r>
    </w:p>
    <w:p>
      <w:pPr>
        <w:keepNext w:val="0"/>
        <w:keepLines w:val="0"/>
        <w:pageBreakBefore w:val="0"/>
        <w:widowControl w:val="0"/>
        <w:kinsoku/>
        <w:wordWrap/>
        <w:overflowPunct/>
        <w:topLinePunct w:val="0"/>
        <w:autoSpaceDE/>
        <w:autoSpaceDN/>
        <w:bidi w:val="0"/>
        <w:snapToGrid w:val="0"/>
        <w:textAlignment w:val="auto"/>
        <w:rPr>
          <w:rFonts w:hint="eastAsia"/>
          <w:color w:val="000000"/>
        </w:rPr>
      </w:pPr>
      <w:r>
        <w:rPr>
          <w:rFonts w:hint="eastAsia"/>
          <w:color w:val="000000"/>
        </w:rPr>
        <w:t>线路沿线气象</w:t>
      </w:r>
      <w:r>
        <w:rPr>
          <w:rFonts w:hint="eastAsia"/>
          <w:color w:val="000000"/>
          <w:lang w:eastAsia="zh-CN"/>
        </w:rPr>
        <w:t>参照库尔勒市</w:t>
      </w:r>
      <w:r>
        <w:rPr>
          <w:rFonts w:hint="eastAsia"/>
          <w:color w:val="000000"/>
        </w:rPr>
        <w:t>气象台站</w:t>
      </w:r>
      <w:r>
        <w:rPr>
          <w:rFonts w:hint="eastAsia"/>
          <w:color w:val="000000"/>
          <w:lang w:eastAsia="zh-CN"/>
        </w:rPr>
        <w:t>，以上工程</w:t>
      </w:r>
      <w:r>
        <w:rPr>
          <w:rFonts w:hint="eastAsia"/>
          <w:color w:val="000000"/>
        </w:rPr>
        <w:t>相应气象组合及气象分段如下：见表</w:t>
      </w:r>
      <w:r>
        <w:rPr>
          <w:rFonts w:hint="eastAsia"/>
          <w:color w:val="000000"/>
          <w:lang w:val="en-US" w:eastAsia="zh-CN"/>
        </w:rPr>
        <w:t>1.4</w:t>
      </w:r>
      <w:r>
        <w:rPr>
          <w:rFonts w:hint="eastAsia"/>
          <w:color w:val="000000"/>
        </w:rPr>
        <w:t>-</w:t>
      </w:r>
      <w:r>
        <w:rPr>
          <w:rFonts w:hint="eastAsia"/>
          <w:color w:val="000000"/>
          <w:lang w:val="en-US" w:eastAsia="zh-CN"/>
        </w:rPr>
        <w:t>1</w:t>
      </w:r>
      <w:r>
        <w:rPr>
          <w:rFonts w:hint="eastAsia"/>
          <w:color w:val="000000"/>
        </w:rPr>
        <w:t>。</w:t>
      </w:r>
    </w:p>
    <w:p>
      <w:pPr>
        <w:pStyle w:val="11"/>
        <w:jc w:val="center"/>
        <w:rPr>
          <w:rFonts w:hint="eastAsia" w:ascii="宋体" w:eastAsia="宋体" w:cs="宋体"/>
          <w:color w:val="000000"/>
          <w:highlight w:val="none"/>
          <w:lang w:val="en-US" w:eastAsia="zh-CN"/>
        </w:rPr>
      </w:pPr>
      <w:r>
        <w:rPr>
          <w:rFonts w:hint="eastAsia" w:cs="宋体"/>
          <w:b/>
          <w:color w:val="000000"/>
          <w:sz w:val="24"/>
          <w:highlight w:val="none"/>
          <w:lang w:eastAsia="zh-CN"/>
        </w:rPr>
        <w:t>表</w:t>
      </w:r>
      <w:r>
        <w:rPr>
          <w:rFonts w:hint="eastAsia" w:cs="宋体"/>
          <w:b/>
          <w:color w:val="000000"/>
          <w:sz w:val="24"/>
          <w:highlight w:val="none"/>
          <w:lang w:val="en-US" w:eastAsia="zh-CN"/>
        </w:rPr>
        <w:t>1.4-1          气象站基本要素统计值</w:t>
      </w:r>
    </w:p>
    <w:tbl>
      <w:tblPr>
        <w:tblStyle w:val="21"/>
        <w:tblW w:w="852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4"/>
        <w:gridCol w:w="3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ascii="宋体" w:eastAsia="宋体" w:cs="宋体"/>
                <w:color w:val="000000"/>
                <w:kern w:val="0"/>
                <w:sz w:val="21"/>
                <w:szCs w:val="21"/>
              </w:rPr>
              <w:t>要素</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lang w:val="en-US" w:eastAsia="zh-CN"/>
              </w:rPr>
            </w:pPr>
            <w:r>
              <w:rPr>
                <w:rFonts w:hint="eastAsia" w:cs="宋体"/>
                <w:color w:val="000000"/>
                <w:kern w:val="0"/>
                <w:sz w:val="21"/>
                <w:szCs w:val="21"/>
                <w:lang w:val="en-US" w:eastAsia="zh-CN"/>
              </w:rPr>
              <w:t>库尔勒市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多年平均气温(℃)</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10.7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极端最高气温(℃)</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40.1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极端最低气温(℃)</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最大风速(m/s)</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17.0，NNW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平均风速(m/s)</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8"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平均雷暴日数(d)</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最多雷暴日数(d)</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最大冻土深度(cm)</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沙尘暴日数(d)</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平均降水量(mm)</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46.7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最大积雪深度(cm)</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7"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平均相对湿度(%)</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8" w:hRule="atLeast"/>
          <w:jc w:val="center"/>
        </w:trPr>
        <w:tc>
          <w:tcPr>
            <w:tcW w:w="5154"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平均大风日数(d)</w:t>
            </w:r>
          </w:p>
        </w:tc>
        <w:tc>
          <w:tcPr>
            <w:tcW w:w="3366"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spacing w:line="360" w:lineRule="atLeast"/>
              <w:ind w:firstLine="0" w:firstLineChars="0"/>
              <w:jc w:val="center"/>
              <w:rPr>
                <w:rFonts w:ascii="宋体" w:eastAsia="宋体" w:cs="宋体"/>
                <w:color w:val="000000"/>
                <w:kern w:val="0"/>
                <w:sz w:val="21"/>
                <w:szCs w:val="21"/>
              </w:rPr>
            </w:pPr>
            <w:r>
              <w:rPr>
                <w:rFonts w:hint="eastAsia" w:ascii="宋体" w:eastAsia="宋体" w:cs="宋体"/>
                <w:color w:val="000000"/>
                <w:kern w:val="0"/>
                <w:sz w:val="21"/>
                <w:szCs w:val="21"/>
              </w:rPr>
              <w:t>15</w:t>
            </w:r>
          </w:p>
        </w:tc>
      </w:tr>
    </w:tbl>
    <w:p>
      <w:pPr>
        <w:ind w:left="0" w:firstLine="0" w:firstLineChars="0"/>
        <w:rPr>
          <w:rFonts w:hint="eastAsia"/>
          <w:color w:val="000000"/>
        </w:rPr>
      </w:pP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right="0" w:firstLine="0" w:firstLineChars="0"/>
        <w:jc w:val="both"/>
        <w:textAlignment w:val="center"/>
        <w:outlineLvl w:val="1"/>
        <w:rPr>
          <w:rFonts w:hint="eastAsia" w:eastAsia="宋体"/>
          <w:b/>
          <w:color w:val="000000"/>
          <w:shd w:val="clear" w:color="auto" w:fill="auto"/>
          <w:lang w:eastAsia="zh-CN"/>
        </w:rPr>
      </w:pPr>
      <w:bookmarkStart w:id="25" w:name="_Toc15093"/>
      <w:bookmarkStart w:id="26" w:name="_Toc28098"/>
      <w:r>
        <w:rPr>
          <w:rStyle w:val="25"/>
          <w:rFonts w:hint="eastAsia"/>
          <w:color w:val="000000"/>
          <w:shd w:val="clear" w:color="auto" w:fill="auto"/>
        </w:rPr>
        <w:t>1.5评估依据</w:t>
      </w:r>
      <w:bookmarkEnd w:id="22"/>
      <w:bookmarkEnd w:id="23"/>
      <w:bookmarkEnd w:id="25"/>
      <w:bookmarkEnd w:id="26"/>
    </w:p>
    <w:p>
      <w:pPr>
        <w:snapToGrid w:val="0"/>
        <w:ind w:firstLine="0" w:firstLineChars="0"/>
        <w:outlineLvl w:val="2"/>
        <w:rPr>
          <w:rFonts w:hint="eastAsia" w:cs="宋体"/>
          <w:b/>
          <w:snapToGrid w:val="0"/>
          <w:color w:val="000000"/>
          <w:szCs w:val="24"/>
          <w:shd w:val="clear" w:color="auto" w:fill="auto"/>
        </w:rPr>
      </w:pPr>
      <w:r>
        <w:rPr>
          <w:rFonts w:hint="eastAsia" w:cs="宋体"/>
          <w:b/>
          <w:snapToGrid w:val="0"/>
          <w:color w:val="000000"/>
          <w:szCs w:val="24"/>
          <w:shd w:val="clear" w:color="auto" w:fill="auto"/>
        </w:rPr>
        <w:t>1</w:t>
      </w:r>
      <w:r>
        <w:rPr>
          <w:rFonts w:hint="eastAsia" w:cs="宋体"/>
          <w:b/>
          <w:color w:val="000000"/>
          <w:szCs w:val="24"/>
          <w:shd w:val="clear" w:color="auto" w:fill="auto"/>
        </w:rPr>
        <w:t>.5</w:t>
      </w:r>
      <w:r>
        <w:rPr>
          <w:rFonts w:hint="eastAsia" w:cs="宋体"/>
          <w:b/>
          <w:snapToGrid w:val="0"/>
          <w:color w:val="000000"/>
          <w:szCs w:val="24"/>
          <w:shd w:val="clear" w:color="auto" w:fill="auto"/>
        </w:rPr>
        <w:t>.1法律法规及相关规定</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bookmarkStart w:id="27" w:name="_Toc355122240"/>
      <w:bookmarkStart w:id="28" w:name="_Toc355123971"/>
      <w:r>
        <w:rPr>
          <w:rFonts w:hint="eastAsia" w:ascii="宋体" w:eastAsia="宋体" w:cs="Times New Roman"/>
          <w:color w:val="000000"/>
          <w:sz w:val="24"/>
        </w:rPr>
        <w:t>(1)《中华人民共和国突发事件应对法》(20</w:t>
      </w:r>
      <w:r>
        <w:rPr>
          <w:rFonts w:hint="eastAsia" w:eastAsia="宋体" w:cs="Times New Roman"/>
          <w:color w:val="000000"/>
          <w:sz w:val="24"/>
          <w:lang w:val="en-US" w:eastAsia="zh-CN"/>
        </w:rPr>
        <w:t>2</w:t>
      </w:r>
      <w:r>
        <w:rPr>
          <w:rFonts w:hint="eastAsia" w:cs="Times New Roman"/>
          <w:color w:val="000000"/>
          <w:sz w:val="24"/>
          <w:lang w:val="en-US" w:eastAsia="zh-CN"/>
        </w:rPr>
        <w:t>4</w:t>
      </w:r>
      <w:r>
        <w:rPr>
          <w:rFonts w:hint="eastAsia" w:ascii="宋体" w:eastAsia="宋体" w:cs="Times New Roman"/>
          <w:color w:val="000000"/>
          <w:sz w:val="24"/>
        </w:rPr>
        <w:t>年</w:t>
      </w:r>
      <w:r>
        <w:rPr>
          <w:rFonts w:hint="eastAsia" w:cs="Times New Roman"/>
          <w:color w:val="000000"/>
          <w:sz w:val="24"/>
          <w:lang w:val="en-US" w:eastAsia="zh-CN"/>
        </w:rPr>
        <w:t>6</w:t>
      </w:r>
      <w:r>
        <w:rPr>
          <w:rFonts w:hint="eastAsia" w:ascii="宋体" w:eastAsia="宋体" w:cs="Times New Roman"/>
          <w:color w:val="000000"/>
          <w:sz w:val="24"/>
        </w:rPr>
        <w:t>月</w:t>
      </w:r>
      <w:r>
        <w:rPr>
          <w:rFonts w:hint="eastAsia" w:cs="Times New Roman"/>
          <w:color w:val="000000"/>
          <w:sz w:val="24"/>
          <w:lang w:val="en-US" w:eastAsia="zh-CN"/>
        </w:rPr>
        <w:t>28</w:t>
      </w:r>
      <w:r>
        <w:rPr>
          <w:rFonts w:hint="eastAsia" w:ascii="宋体" w:eastAsia="宋体" w:cs="Times New Roman"/>
          <w:color w:val="000000"/>
          <w:sz w:val="24"/>
        </w:rPr>
        <w:t>日</w:t>
      </w:r>
      <w:r>
        <w:rPr>
          <w:rFonts w:hint="eastAsia" w:eastAsia="宋体" w:cs="Times New Roman"/>
          <w:color w:val="000000"/>
          <w:sz w:val="24"/>
          <w:lang w:eastAsia="zh-CN"/>
        </w:rPr>
        <w:t>修订</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(2)《中华人民共和国土地管理法》(20</w:t>
      </w:r>
      <w:r>
        <w:rPr>
          <w:rFonts w:hint="eastAsia" w:ascii="宋体" w:eastAsia="宋体" w:cs="Times New Roman"/>
          <w:color w:val="000000"/>
          <w:sz w:val="24"/>
          <w:lang w:val="en-US" w:eastAsia="zh-CN"/>
        </w:rPr>
        <w:t>19</w:t>
      </w:r>
      <w:r>
        <w:rPr>
          <w:rFonts w:hint="eastAsia" w:ascii="宋体" w:eastAsia="宋体" w:cs="Times New Roman"/>
          <w:color w:val="000000"/>
          <w:sz w:val="24"/>
        </w:rPr>
        <w:t>年</w:t>
      </w:r>
      <w:r>
        <w:rPr>
          <w:rFonts w:hint="eastAsia" w:ascii="宋体" w:eastAsia="宋体" w:cs="Times New Roman"/>
          <w:color w:val="000000"/>
          <w:sz w:val="24"/>
          <w:lang w:val="en-US" w:eastAsia="zh-CN"/>
        </w:rPr>
        <w:t>8</w:t>
      </w:r>
      <w:r>
        <w:rPr>
          <w:rFonts w:hint="eastAsia" w:ascii="宋体" w:eastAsia="宋体" w:cs="Times New Roman"/>
          <w:color w:val="000000"/>
          <w:sz w:val="24"/>
        </w:rPr>
        <w:t>月2</w:t>
      </w:r>
      <w:r>
        <w:rPr>
          <w:rFonts w:hint="eastAsia" w:ascii="宋体" w:eastAsia="宋体" w:cs="Times New Roman"/>
          <w:color w:val="000000"/>
          <w:sz w:val="24"/>
          <w:lang w:val="en-US" w:eastAsia="zh-CN"/>
        </w:rPr>
        <w:t>6</w:t>
      </w:r>
      <w:r>
        <w:rPr>
          <w:rFonts w:hint="eastAsia" w:ascii="宋体" w:eastAsia="宋体" w:cs="Times New Roman"/>
          <w:color w:val="000000"/>
          <w:sz w:val="24"/>
        </w:rPr>
        <w:t>日</w:t>
      </w:r>
      <w:r>
        <w:rPr>
          <w:rFonts w:hint="eastAsia" w:ascii="宋体" w:eastAsia="宋体" w:cs="Times New Roman"/>
          <w:color w:val="000000"/>
          <w:sz w:val="24"/>
          <w:lang w:eastAsia="zh-CN"/>
        </w:rPr>
        <w:t>修订</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(3)《中华人民共和国城乡规划法》(201</w:t>
      </w:r>
      <w:r>
        <w:rPr>
          <w:rFonts w:hint="eastAsia" w:ascii="宋体" w:eastAsia="宋体" w:cs="Times New Roman"/>
          <w:color w:val="000000"/>
          <w:sz w:val="24"/>
          <w:lang w:val="en-US" w:eastAsia="zh-CN"/>
        </w:rPr>
        <w:t>9</w:t>
      </w:r>
      <w:r>
        <w:rPr>
          <w:rFonts w:hint="eastAsia" w:ascii="宋体" w:eastAsia="宋体" w:cs="Times New Roman"/>
          <w:color w:val="000000"/>
          <w:sz w:val="24"/>
        </w:rPr>
        <w:t>年4月2</w:t>
      </w:r>
      <w:r>
        <w:rPr>
          <w:rFonts w:hint="eastAsia" w:ascii="宋体" w:eastAsia="宋体" w:cs="Times New Roman"/>
          <w:color w:val="000000"/>
          <w:sz w:val="24"/>
          <w:lang w:val="en-US" w:eastAsia="zh-CN"/>
        </w:rPr>
        <w:t>3</w:t>
      </w:r>
      <w:r>
        <w:rPr>
          <w:rFonts w:hint="eastAsia" w:ascii="宋体" w:eastAsia="宋体" w:cs="Times New Roman"/>
          <w:color w:val="000000"/>
          <w:sz w:val="24"/>
        </w:rPr>
        <w:t>日修订)；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(4)《中华人民共和国环境保护法(修订)》(2015年1月1日实施)；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(5)《中华人民共和国安全生产法(修订)》(20</w:t>
      </w:r>
      <w:r>
        <w:rPr>
          <w:rFonts w:hint="eastAsia" w:ascii="宋体" w:eastAsia="宋体" w:cs="Times New Roman"/>
          <w:color w:val="000000"/>
          <w:sz w:val="24"/>
          <w:lang w:val="en-US" w:eastAsia="zh-CN"/>
        </w:rPr>
        <w:t>21</w:t>
      </w:r>
      <w:r>
        <w:rPr>
          <w:rFonts w:hint="eastAsia" w:ascii="宋体" w:eastAsia="宋体" w:cs="Times New Roman"/>
          <w:color w:val="000000"/>
          <w:sz w:val="24"/>
        </w:rPr>
        <w:t>年</w:t>
      </w:r>
      <w:r>
        <w:rPr>
          <w:rFonts w:hint="eastAsia" w:ascii="宋体" w:eastAsia="宋体" w:cs="Times New Roman"/>
          <w:color w:val="000000"/>
          <w:sz w:val="24"/>
          <w:lang w:val="en-US" w:eastAsia="zh-CN"/>
        </w:rPr>
        <w:t>6</w:t>
      </w:r>
      <w:r>
        <w:rPr>
          <w:rFonts w:hint="eastAsia" w:ascii="宋体" w:eastAsia="宋体" w:cs="Times New Roman"/>
          <w:color w:val="000000"/>
          <w:sz w:val="24"/>
        </w:rPr>
        <w:t>月</w:t>
      </w:r>
      <w:r>
        <w:rPr>
          <w:rFonts w:hint="eastAsia" w:ascii="宋体" w:eastAsia="宋体" w:cs="Times New Roman"/>
          <w:color w:val="000000"/>
          <w:sz w:val="24"/>
          <w:lang w:val="en-US" w:eastAsia="zh-CN"/>
        </w:rPr>
        <w:t>10</w:t>
      </w:r>
      <w:r>
        <w:rPr>
          <w:rFonts w:hint="eastAsia" w:ascii="宋体" w:eastAsia="宋体" w:cs="Times New Roman"/>
          <w:color w:val="000000"/>
          <w:sz w:val="24"/>
        </w:rPr>
        <w:t>日</w:t>
      </w:r>
      <w:r>
        <w:rPr>
          <w:rFonts w:hint="eastAsia" w:ascii="宋体" w:eastAsia="宋体" w:cs="Times New Roman"/>
          <w:color w:val="000000"/>
          <w:sz w:val="24"/>
          <w:lang w:val="en-US" w:eastAsia="zh-CN"/>
        </w:rPr>
        <w:t>,中华人民共和国主席令第88号</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(6)《中华人民共和国水法</w:t>
      </w:r>
      <w:r>
        <w:rPr>
          <w:rFonts w:hint="eastAsia" w:ascii="宋体" w:eastAsia="宋体" w:cs="Times New Roman"/>
          <w:color w:val="000000"/>
          <w:sz w:val="24"/>
          <w:lang w:val="en-US" w:eastAsia="zh-CN"/>
        </w:rPr>
        <w:t>(修订)</w:t>
      </w:r>
      <w:r>
        <w:rPr>
          <w:rFonts w:hint="eastAsia" w:ascii="宋体" w:eastAsia="宋体" w:cs="Times New Roman"/>
          <w:color w:val="000000"/>
          <w:sz w:val="24"/>
        </w:rPr>
        <w:t>》(2016年7月2日</w:t>
      </w:r>
      <w:r>
        <w:rPr>
          <w:rFonts w:hint="eastAsia" w:ascii="宋体" w:eastAsia="宋体" w:cs="Times New Roman"/>
          <w:color w:val="000000"/>
          <w:sz w:val="24"/>
          <w:lang w:eastAsia="zh-CN"/>
        </w:rPr>
        <w:t>实施</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(7)《中华人民共和国可再生能源法》(2010年4月1日起实施)；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(8)</w:t>
      </w:r>
      <w:r>
        <w:rPr>
          <w:rFonts w:hint="eastAsia" w:ascii="宋体" w:eastAsia="宋体" w:cs="宋体"/>
          <w:color w:val="000000"/>
          <w:kern w:val="0"/>
          <w:sz w:val="24"/>
          <w:szCs w:val="20"/>
          <w:highlight w:val="none"/>
        </w:rPr>
        <w:t>《中华人民共和国野生动物保护法》</w:t>
      </w:r>
      <w:r>
        <w:rPr>
          <w:rFonts w:hint="eastAsia" w:ascii="宋体" w:eastAsia="宋体" w:cs="宋体"/>
          <w:color w:val="000000"/>
          <w:kern w:val="0"/>
          <w:sz w:val="24"/>
          <w:szCs w:val="20"/>
          <w:highlight w:val="none"/>
          <w:lang w:eastAsia="zh-CN"/>
        </w:rPr>
        <w:t>（</w:t>
      </w:r>
      <w:r>
        <w:rPr>
          <w:rFonts w:hint="eastAsia" w:ascii="宋体" w:eastAsia="宋体" w:cs="宋体"/>
          <w:color w:val="000000"/>
          <w:kern w:val="0"/>
          <w:sz w:val="24"/>
          <w:szCs w:val="20"/>
          <w:highlight w:val="none"/>
        </w:rPr>
        <w:t>2022年12月30日修订，2023年5月1日起施行</w:t>
      </w:r>
      <w:r>
        <w:rPr>
          <w:rFonts w:hint="eastAsia" w:ascii="宋体" w:eastAsia="宋体" w:cs="宋体"/>
          <w:color w:val="000000"/>
          <w:kern w:val="0"/>
          <w:sz w:val="24"/>
          <w:szCs w:val="20"/>
          <w:highlight w:val="none"/>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eastAsia="宋体" w:cs="Times New Roman"/>
          <w:color w:val="000000"/>
          <w:sz w:val="24"/>
          <w:lang w:val="en-US" w:eastAsia="zh-CN"/>
        </w:rPr>
      </w:pPr>
      <w:r>
        <w:rPr>
          <w:rFonts w:hint="eastAsia" w:ascii="宋体" w:eastAsia="宋体" w:cs="Times New Roman"/>
          <w:color w:val="000000"/>
          <w:sz w:val="24"/>
          <w:lang w:val="en-US" w:eastAsia="zh-CN"/>
        </w:rPr>
        <w:t>(9)《中华人民共和国劳动法》(2018年12月29日修订)；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ascii="宋体" w:eastAsia="宋体" w:cs="Times New Roman"/>
          <w:color w:val="000000"/>
          <w:sz w:val="24"/>
          <w:lang w:val="en-US" w:eastAsia="zh-CN"/>
        </w:rPr>
        <w:t>10</w:t>
      </w:r>
      <w:r>
        <w:rPr>
          <w:rFonts w:hint="eastAsia" w:ascii="宋体" w:eastAsia="宋体" w:cs="Times New Roman"/>
          <w:color w:val="000000"/>
          <w:sz w:val="24"/>
        </w:rPr>
        <w:t>)《中华人民共和国电力法》(2018年12月29日修订)；</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(1</w:t>
      </w:r>
      <w:r>
        <w:rPr>
          <w:rFonts w:hint="eastAsia" w:ascii="宋体" w:eastAsia="宋体" w:cs="Times New Roman"/>
          <w:color w:val="000000"/>
          <w:sz w:val="24"/>
          <w:lang w:val="en-US" w:eastAsia="zh-CN"/>
        </w:rPr>
        <w:t>1</w:t>
      </w:r>
      <w:r>
        <w:rPr>
          <w:rFonts w:hint="eastAsia" w:ascii="宋体" w:eastAsia="宋体" w:cs="Times New Roman"/>
          <w:color w:val="000000"/>
          <w:sz w:val="24"/>
        </w:rPr>
        <w:t>)《中华人民共和国土地管理法实施条例》(2014年7月29日修正版)；</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eastAsia="zh-CN"/>
        </w:rPr>
      </w:pPr>
      <w:r>
        <w:rPr>
          <w:rFonts w:hint="eastAsia" w:eastAsia="宋体" w:cs="Times New Roman"/>
          <w:color w:val="000000"/>
          <w:sz w:val="24"/>
          <w:lang w:val="en-US" w:eastAsia="zh-CN"/>
        </w:rPr>
        <w:t>(12)</w:t>
      </w:r>
      <w:r>
        <w:rPr>
          <w:rFonts w:hint="eastAsia" w:eastAsia="宋体" w:cs="Times New Roman"/>
          <w:color w:val="000000"/>
          <w:sz w:val="24"/>
          <w:lang w:eastAsia="zh-CN"/>
        </w:rPr>
        <w:t>《中华人民共和国节约能源法》（</w:t>
      </w:r>
      <w:r>
        <w:rPr>
          <w:rFonts w:hint="eastAsia" w:eastAsia="宋体" w:cs="Times New Roman"/>
          <w:color w:val="000000"/>
          <w:sz w:val="24"/>
          <w:lang w:val="en-US" w:eastAsia="zh-CN"/>
        </w:rPr>
        <w:t>2008年4月1日施行</w:t>
      </w:r>
      <w:r>
        <w:rPr>
          <w:rFonts w:hint="eastAsia" w:eastAsia="宋体" w:cs="Times New Roman"/>
          <w:color w:val="000000"/>
          <w:sz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eastAsia="宋体" w:cs="Times New Roman"/>
          <w:color w:val="000000"/>
          <w:sz w:val="24"/>
          <w:lang w:val="en-US" w:eastAsia="zh-CN"/>
        </w:rPr>
        <w:t>(13)《中华人民共和国清洁生产促进法》（2012年7月1日期施行）；</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eastAsia="宋体" w:cs="Times New Roman"/>
          <w:color w:val="000000"/>
          <w:sz w:val="24"/>
          <w:lang w:val="en-US" w:eastAsia="zh-CN"/>
        </w:rPr>
      </w:pPr>
      <w:r>
        <w:rPr>
          <w:rFonts w:hint="eastAsia" w:eastAsia="宋体" w:cs="Times New Roman"/>
          <w:color w:val="000000"/>
          <w:sz w:val="24"/>
          <w:lang w:val="en-US" w:eastAsia="zh-CN"/>
        </w:rPr>
        <w:t>(14)《中华人民共和国职业病防治法》（2017年11月4日第三次修正）；</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ascii="宋体" w:eastAsia="宋体" w:cs="Times New Roman"/>
          <w:color w:val="000000"/>
          <w:sz w:val="24"/>
        </w:rPr>
        <w:t>(</w:t>
      </w:r>
      <w:r>
        <w:rPr>
          <w:rFonts w:hint="eastAsia" w:eastAsia="宋体" w:cs="Times New Roman"/>
          <w:color w:val="000000"/>
          <w:sz w:val="24"/>
          <w:lang w:val="en-US" w:eastAsia="zh-CN"/>
        </w:rPr>
        <w:t>15</w:t>
      </w:r>
      <w:r>
        <w:rPr>
          <w:rFonts w:hint="eastAsia" w:ascii="宋体" w:eastAsia="宋体" w:cs="Times New Roman"/>
          <w:color w:val="000000"/>
          <w:sz w:val="24"/>
        </w:rPr>
        <w:t>)</w:t>
      </w:r>
      <w:r>
        <w:rPr>
          <w:rFonts w:hint="eastAsia" w:ascii="宋体" w:eastAsia="宋体" w:cs="宋体"/>
          <w:color w:val="000000"/>
          <w:kern w:val="0"/>
          <w:sz w:val="24"/>
          <w:szCs w:val="20"/>
          <w:highlight w:val="none"/>
        </w:rPr>
        <w:t>《中华人民共和国草原法（20</w:t>
      </w:r>
      <w:r>
        <w:rPr>
          <w:rFonts w:hint="eastAsia" w:ascii="宋体" w:eastAsia="宋体" w:cs="宋体"/>
          <w:color w:val="000000"/>
          <w:kern w:val="0"/>
          <w:sz w:val="24"/>
          <w:szCs w:val="20"/>
          <w:highlight w:val="none"/>
          <w:lang w:val="en-US" w:eastAsia="zh-CN"/>
        </w:rPr>
        <w:t>21</w:t>
      </w:r>
      <w:r>
        <w:rPr>
          <w:rFonts w:hint="eastAsia" w:ascii="宋体" w:eastAsia="宋体" w:cs="宋体"/>
          <w:color w:val="000000"/>
          <w:kern w:val="0"/>
          <w:sz w:val="24"/>
          <w:szCs w:val="20"/>
          <w:highlight w:val="none"/>
        </w:rPr>
        <w:t>修订）》</w:t>
      </w:r>
      <w:r>
        <w:rPr>
          <w:rFonts w:hint="eastAsia" w:ascii="宋体" w:eastAsia="宋体" w:cs="宋体"/>
          <w:color w:val="000000"/>
          <w:kern w:val="0"/>
          <w:sz w:val="24"/>
          <w:szCs w:val="20"/>
          <w:highlight w:val="none"/>
          <w:lang w:val="en-US" w:eastAsia="zh-CN"/>
        </w:rPr>
        <w:t>(</w:t>
      </w:r>
      <w:r>
        <w:rPr>
          <w:rFonts w:hint="eastAsia" w:ascii="宋体" w:eastAsia="宋体" w:cs="宋体"/>
          <w:color w:val="000000"/>
          <w:kern w:val="0"/>
          <w:sz w:val="24"/>
          <w:szCs w:val="20"/>
          <w:highlight w:val="none"/>
        </w:rPr>
        <w:t>20</w:t>
      </w:r>
      <w:r>
        <w:rPr>
          <w:rFonts w:hint="eastAsia" w:ascii="宋体" w:eastAsia="宋体" w:cs="宋体"/>
          <w:color w:val="000000"/>
          <w:kern w:val="0"/>
          <w:sz w:val="24"/>
          <w:szCs w:val="20"/>
          <w:highlight w:val="none"/>
          <w:lang w:val="en-US" w:eastAsia="zh-CN"/>
        </w:rPr>
        <w:t>21</w:t>
      </w:r>
      <w:r>
        <w:rPr>
          <w:rFonts w:hint="eastAsia" w:ascii="宋体" w:eastAsia="宋体" w:cs="宋体"/>
          <w:color w:val="000000"/>
          <w:kern w:val="0"/>
          <w:sz w:val="24"/>
          <w:szCs w:val="20"/>
          <w:highlight w:val="none"/>
        </w:rPr>
        <w:t>年</w:t>
      </w:r>
      <w:r>
        <w:rPr>
          <w:rFonts w:hint="eastAsia" w:ascii="宋体" w:eastAsia="宋体" w:cs="宋体"/>
          <w:color w:val="000000"/>
          <w:kern w:val="0"/>
          <w:sz w:val="24"/>
          <w:szCs w:val="20"/>
          <w:highlight w:val="none"/>
          <w:lang w:val="en-US" w:eastAsia="zh-CN"/>
        </w:rPr>
        <w:t>4</w:t>
      </w:r>
      <w:r>
        <w:rPr>
          <w:rFonts w:hint="eastAsia" w:ascii="宋体" w:eastAsia="宋体" w:cs="宋体"/>
          <w:color w:val="000000"/>
          <w:kern w:val="0"/>
          <w:sz w:val="24"/>
          <w:szCs w:val="20"/>
          <w:highlight w:val="none"/>
        </w:rPr>
        <w:t>月29日起实施</w:t>
      </w:r>
      <w:r>
        <w:rPr>
          <w:rFonts w:hint="eastAsia" w:ascii="宋体" w:eastAsia="宋体" w:cs="宋体"/>
          <w:color w:val="000000"/>
          <w:kern w:val="0"/>
          <w:sz w:val="24"/>
          <w:szCs w:val="20"/>
          <w:highlight w:val="none"/>
          <w:lang w:val="en-US"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eastAsia="宋体" w:cs="Times New Roman"/>
          <w:color w:val="000000"/>
          <w:sz w:val="24"/>
          <w:lang w:val="en-US" w:eastAsia="zh-CN"/>
        </w:rPr>
        <w:t>16</w:t>
      </w:r>
      <w:r>
        <w:rPr>
          <w:rFonts w:hint="eastAsia" w:ascii="宋体" w:eastAsia="宋体" w:cs="Times New Roman"/>
          <w:color w:val="000000"/>
          <w:sz w:val="24"/>
          <w:lang w:val="en-US" w:eastAsia="zh-CN"/>
        </w:rPr>
        <w:t>)《中华人民共和国民法典》(2020年5月28日，十三届全国人民代表大会第三次会议表决通过)；</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eastAsia="宋体" w:cs="Times New Roman"/>
          <w:color w:val="000000"/>
          <w:sz w:val="24"/>
          <w:lang w:val="en-US" w:eastAsia="zh-CN"/>
        </w:rPr>
        <w:t>17</w:t>
      </w:r>
      <w:r>
        <w:rPr>
          <w:rFonts w:hint="eastAsia" w:ascii="宋体" w:eastAsia="宋体" w:cs="Times New Roman"/>
          <w:color w:val="000000"/>
          <w:sz w:val="24"/>
          <w:lang w:val="en-US" w:eastAsia="zh-CN"/>
        </w:rPr>
        <w:t>)《中华人民共和国水土保持法》(2011年3月1日实施)；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lang w:val="en-US" w:eastAsia="zh-CN"/>
        </w:rPr>
        <w:t>(</w:t>
      </w:r>
      <w:r>
        <w:rPr>
          <w:rFonts w:hint="eastAsia" w:eastAsia="宋体" w:cs="Times New Roman"/>
          <w:color w:val="000000"/>
          <w:sz w:val="24"/>
          <w:lang w:val="en-US" w:eastAsia="zh-CN"/>
        </w:rPr>
        <w:t>18</w:t>
      </w:r>
      <w:r>
        <w:rPr>
          <w:rFonts w:hint="eastAsia" w:ascii="宋体" w:eastAsia="宋体" w:cs="Times New Roman"/>
          <w:color w:val="000000"/>
          <w:sz w:val="24"/>
          <w:lang w:val="en-US" w:eastAsia="zh-CN"/>
        </w:rPr>
        <w:t>)《中华人民共和国噪声污染防治法》(20</w:t>
      </w:r>
      <w:r>
        <w:rPr>
          <w:rFonts w:hint="eastAsia" w:eastAsia="宋体" w:cs="Times New Roman"/>
          <w:color w:val="000000"/>
          <w:sz w:val="24"/>
          <w:lang w:val="en-US" w:eastAsia="zh-CN"/>
        </w:rPr>
        <w:t>22</w:t>
      </w:r>
      <w:r>
        <w:rPr>
          <w:rFonts w:hint="eastAsia" w:ascii="宋体" w:eastAsia="宋体" w:cs="Times New Roman"/>
          <w:color w:val="000000"/>
          <w:sz w:val="24"/>
          <w:lang w:val="en-US" w:eastAsia="zh-CN"/>
        </w:rPr>
        <w:t>年</w:t>
      </w:r>
      <w:r>
        <w:rPr>
          <w:rFonts w:hint="eastAsia" w:eastAsia="宋体" w:cs="Times New Roman"/>
          <w:color w:val="000000"/>
          <w:sz w:val="24"/>
          <w:lang w:val="en-US" w:eastAsia="zh-CN"/>
        </w:rPr>
        <w:t>6</w:t>
      </w:r>
      <w:r>
        <w:rPr>
          <w:rFonts w:hint="eastAsia" w:ascii="宋体" w:eastAsia="宋体" w:cs="Times New Roman"/>
          <w:color w:val="000000"/>
          <w:sz w:val="24"/>
          <w:lang w:val="en-US" w:eastAsia="zh-CN"/>
        </w:rPr>
        <w:t>月</w:t>
      </w:r>
      <w:r>
        <w:rPr>
          <w:rFonts w:hint="eastAsia" w:eastAsia="宋体" w:cs="Times New Roman"/>
          <w:color w:val="000000"/>
          <w:sz w:val="24"/>
          <w:lang w:val="en-US" w:eastAsia="zh-CN"/>
        </w:rPr>
        <w:t>5</w:t>
      </w:r>
      <w:r>
        <w:rPr>
          <w:rFonts w:hint="eastAsia" w:ascii="宋体" w:eastAsia="宋体" w:cs="Times New Roman"/>
          <w:color w:val="000000"/>
          <w:sz w:val="24"/>
          <w:lang w:val="en-US" w:eastAsia="zh-CN"/>
        </w:rPr>
        <w:t>日</w:t>
      </w:r>
      <w:r>
        <w:rPr>
          <w:rFonts w:hint="eastAsia" w:eastAsia="宋体" w:cs="Times New Roman"/>
          <w:color w:val="000000"/>
          <w:sz w:val="24"/>
          <w:lang w:val="en-US" w:eastAsia="zh-CN"/>
        </w:rPr>
        <w:t>起</w:t>
      </w:r>
      <w:r>
        <w:rPr>
          <w:rFonts w:hint="eastAsia" w:ascii="宋体" w:eastAsia="宋体" w:cs="Times New Roman"/>
          <w:color w:val="000000"/>
          <w:sz w:val="24"/>
          <w:lang w:val="en-US" w:eastAsia="zh-CN"/>
        </w:rPr>
        <w:t>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19</w:t>
      </w:r>
      <w:r>
        <w:rPr>
          <w:rFonts w:hint="eastAsia" w:ascii="宋体" w:eastAsia="宋体" w:cs="Times New Roman"/>
          <w:color w:val="000000"/>
          <w:sz w:val="24"/>
        </w:rPr>
        <w:t>)《中华人民共和国食品安全法实施条例》(2016修订版，2016年02月06日发布)</w:t>
      </w:r>
      <w:r>
        <w:rPr>
          <w:rFonts w:hint="eastAsia" w:ascii="宋体" w:eastAsia="宋体" w:cs="Times New Roman"/>
          <w:color w:val="000000"/>
          <w:sz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20</w:t>
      </w:r>
      <w:r>
        <w:rPr>
          <w:rFonts w:hint="eastAsia" w:ascii="宋体" w:eastAsia="宋体" w:cs="Times New Roman"/>
          <w:color w:val="000000"/>
          <w:sz w:val="24"/>
        </w:rPr>
        <w:t>)《国家</w:t>
      </w:r>
      <w:r>
        <w:rPr>
          <w:rFonts w:hint="eastAsia" w:ascii="宋体" w:eastAsia="宋体" w:cs="Times New Roman"/>
          <w:color w:val="000000"/>
          <w:sz w:val="24"/>
        </w:rPr>
        <w:fldChar w:fldCharType="begin"/>
      </w:r>
      <w:r>
        <w:instrText xml:space="preserve">HYPERLINK "http://baike.baidu.com/view/876611.htm"</w:instrText>
      </w:r>
      <w:r>
        <w:rPr>
          <w:rFonts w:hint="eastAsia" w:ascii="宋体" w:eastAsia="宋体" w:cs="Times New Roman"/>
          <w:color w:val="000000"/>
          <w:sz w:val="24"/>
        </w:rPr>
        <w:fldChar w:fldCharType="separate"/>
      </w:r>
      <w:r>
        <w:rPr>
          <w:rFonts w:hint="eastAsia" w:ascii="宋体" w:eastAsia="宋体" w:cs="Times New Roman"/>
          <w:color w:val="000000"/>
          <w:sz w:val="24"/>
        </w:rPr>
        <w:t>突发公共事件</w:t>
      </w:r>
      <w:r>
        <w:rPr>
          <w:rFonts w:hint="eastAsia" w:ascii="宋体" w:eastAsia="宋体" w:cs="Times New Roman"/>
          <w:color w:val="000000"/>
          <w:sz w:val="24"/>
        </w:rPr>
        <w:fldChar w:fldCharType="end"/>
      </w:r>
      <w:r>
        <w:rPr>
          <w:rFonts w:hint="eastAsia" w:ascii="宋体" w:eastAsia="宋体" w:cs="Times New Roman"/>
          <w:color w:val="000000"/>
          <w:sz w:val="24"/>
        </w:rPr>
        <w:t>总体应急预案》</w:t>
      </w:r>
      <w:r>
        <w:rPr>
          <w:rFonts w:hint="eastAsia" w:eastAsia="宋体" w:cs="Times New Roman"/>
          <w:color w:val="000000"/>
          <w:sz w:val="24"/>
          <w:lang w:eastAsia="zh-CN"/>
        </w:rPr>
        <w:t>（</w:t>
      </w:r>
      <w:r>
        <w:rPr>
          <w:rFonts w:hint="eastAsia" w:ascii="宋体" w:eastAsia="宋体" w:cs="Times New Roman"/>
          <w:color w:val="000000"/>
          <w:sz w:val="24"/>
        </w:rPr>
        <w:t>国务院2006年1月8日发布</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21</w:t>
      </w:r>
      <w:r>
        <w:rPr>
          <w:rFonts w:hint="eastAsia" w:ascii="宋体" w:eastAsia="宋体" w:cs="Times New Roman"/>
          <w:color w:val="000000"/>
          <w:sz w:val="24"/>
        </w:rPr>
        <w:t>)《国家特别重大、重大突发公共事件分级标准(试行)》</w:t>
      </w:r>
      <w:r>
        <w:rPr>
          <w:rFonts w:hint="eastAsia" w:eastAsia="宋体" w:cs="Times New Roman"/>
          <w:color w:val="000000"/>
          <w:sz w:val="24"/>
          <w:lang w:eastAsia="zh-CN"/>
        </w:rPr>
        <w:t>（</w:t>
      </w:r>
      <w:r>
        <w:rPr>
          <w:rFonts w:hint="eastAsia" w:ascii="宋体" w:eastAsia="宋体" w:cs="Times New Roman"/>
          <w:color w:val="000000"/>
          <w:sz w:val="24"/>
        </w:rPr>
        <w:t>2008年1月18日发布</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22</w:t>
      </w:r>
      <w:r>
        <w:rPr>
          <w:rFonts w:hint="eastAsia" w:ascii="宋体" w:eastAsia="宋体" w:cs="Times New Roman"/>
          <w:color w:val="000000"/>
          <w:sz w:val="24"/>
        </w:rPr>
        <w:t>)《国家发展改革委关于印发国家发展改革委重大固定资产投资项目社会稳定风险分析暂行办法的通知》</w:t>
      </w:r>
      <w:r>
        <w:rPr>
          <w:rFonts w:hint="eastAsia" w:eastAsia="宋体" w:cs="Times New Roman"/>
          <w:color w:val="000000"/>
          <w:sz w:val="24"/>
          <w:lang w:eastAsia="zh-CN"/>
        </w:rPr>
        <w:t>（</w:t>
      </w:r>
      <w:r>
        <w:rPr>
          <w:rFonts w:hint="eastAsia" w:ascii="宋体" w:eastAsia="宋体" w:cs="Times New Roman"/>
          <w:color w:val="000000"/>
          <w:sz w:val="24"/>
        </w:rPr>
        <w:t>国家发展改革委员会·发改投资[2012]2492号</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23</w:t>
      </w:r>
      <w:r>
        <w:rPr>
          <w:rFonts w:hint="eastAsia" w:ascii="宋体" w:eastAsia="宋体" w:cs="Times New Roman"/>
          <w:color w:val="000000"/>
          <w:sz w:val="24"/>
        </w:rPr>
        <w:t>)《国家发展改革委办公厅关于印发重大固定资产投资项目社会稳定风险分析篇章和评估报告编制大纲(试行)的通知》</w:t>
      </w:r>
      <w:r>
        <w:rPr>
          <w:rFonts w:hint="eastAsia" w:eastAsia="宋体" w:cs="Times New Roman"/>
          <w:color w:val="000000"/>
          <w:sz w:val="24"/>
          <w:lang w:eastAsia="zh-CN"/>
        </w:rPr>
        <w:t>（</w:t>
      </w:r>
      <w:r>
        <w:rPr>
          <w:rFonts w:hint="eastAsia" w:ascii="宋体" w:eastAsia="宋体" w:cs="Times New Roman"/>
          <w:color w:val="000000"/>
          <w:sz w:val="24"/>
        </w:rPr>
        <w:t>国家发展改革委员会办公厅·发改办投资[2013]428号</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ascii="宋体" w:eastAsia="宋体" w:cs="Times New Roman"/>
          <w:color w:val="000000"/>
          <w:sz w:val="24"/>
        </w:rPr>
        <w:t>(</w:t>
      </w:r>
      <w:r>
        <w:rPr>
          <w:rFonts w:hint="eastAsia" w:eastAsia="宋体" w:cs="Times New Roman"/>
          <w:color w:val="000000"/>
          <w:sz w:val="24"/>
          <w:lang w:val="en-US" w:eastAsia="zh-CN"/>
        </w:rPr>
        <w:t>24</w:t>
      </w:r>
      <w:r>
        <w:rPr>
          <w:rFonts w:hint="eastAsia" w:ascii="宋体" w:eastAsia="宋体" w:cs="Times New Roman"/>
          <w:color w:val="000000"/>
          <w:sz w:val="24"/>
        </w:rPr>
        <w:t>)《国家大面积停电事故事件应急预案》</w:t>
      </w:r>
      <w:r>
        <w:rPr>
          <w:rFonts w:hint="eastAsia" w:eastAsia="宋体" w:cs="Times New Roman"/>
          <w:color w:val="000000"/>
          <w:sz w:val="24"/>
          <w:lang w:eastAsia="zh-CN"/>
        </w:rPr>
        <w:t>（</w:t>
      </w:r>
      <w:r>
        <w:rPr>
          <w:rFonts w:hint="eastAsia" w:ascii="宋体" w:eastAsia="宋体" w:cs="Times New Roman"/>
          <w:color w:val="000000"/>
          <w:sz w:val="24"/>
        </w:rPr>
        <w:t>国务院国办函[2015]134号</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eastAsia="宋体" w:cs="Times New Roman"/>
          <w:color w:val="000000"/>
          <w:sz w:val="24"/>
          <w:lang w:val="en-US" w:eastAsia="zh-CN"/>
        </w:rPr>
        <w:t>25</w:t>
      </w:r>
      <w:r>
        <w:rPr>
          <w:rFonts w:hint="eastAsia" w:ascii="宋体" w:eastAsia="宋体" w:cs="Times New Roman"/>
          <w:color w:val="000000"/>
          <w:sz w:val="24"/>
          <w:lang w:val="en-US" w:eastAsia="zh-CN"/>
        </w:rPr>
        <w:t>)《突发公共卫生事件应急条例》(2011年1月8日实施)；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eastAsia="宋体" w:cs="Times New Roman"/>
          <w:color w:val="000000"/>
          <w:sz w:val="24"/>
          <w:lang w:val="en-US" w:eastAsia="zh-CN"/>
        </w:rPr>
      </w:pPr>
      <w:r>
        <w:rPr>
          <w:rFonts w:hint="eastAsia" w:eastAsia="宋体" w:cs="Times New Roman"/>
          <w:color w:val="000000"/>
          <w:sz w:val="24"/>
          <w:lang w:val="en-US" w:eastAsia="zh-CN"/>
        </w:rPr>
        <w:t>(26)《产业结构调整指导目录(20</w:t>
      </w:r>
      <w:r>
        <w:rPr>
          <w:rFonts w:hint="eastAsia" w:cs="Times New Roman"/>
          <w:color w:val="000000"/>
          <w:sz w:val="24"/>
          <w:lang w:val="en-US" w:eastAsia="zh-CN"/>
        </w:rPr>
        <w:t>24</w:t>
      </w:r>
      <w:r>
        <w:rPr>
          <w:rFonts w:hint="eastAsia" w:eastAsia="宋体" w:cs="Times New Roman"/>
          <w:color w:val="000000"/>
          <w:sz w:val="24"/>
          <w:lang w:val="en-US" w:eastAsia="zh-CN"/>
        </w:rPr>
        <w:t>年本)》；</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27</w:t>
      </w:r>
      <w:r>
        <w:rPr>
          <w:rFonts w:hint="eastAsia" w:ascii="宋体" w:eastAsia="宋体" w:cs="Times New Roman"/>
          <w:color w:val="000000"/>
          <w:sz w:val="24"/>
        </w:rPr>
        <w:t>)《工伤保险条例》</w:t>
      </w:r>
      <w:r>
        <w:rPr>
          <w:rFonts w:hint="eastAsia" w:eastAsia="宋体" w:cs="Times New Roman"/>
          <w:color w:val="000000"/>
          <w:sz w:val="24"/>
          <w:lang w:eastAsia="zh-CN"/>
        </w:rPr>
        <w:t>（</w:t>
      </w:r>
      <w:r>
        <w:rPr>
          <w:rFonts w:hint="eastAsia" w:ascii="宋体" w:eastAsia="宋体" w:cs="Times New Roman"/>
          <w:color w:val="000000"/>
          <w:sz w:val="24"/>
        </w:rPr>
        <w:t>国务院(2011)586号令</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28</w:t>
      </w:r>
      <w:r>
        <w:rPr>
          <w:rFonts w:hint="eastAsia" w:ascii="宋体" w:eastAsia="宋体" w:cs="Times New Roman"/>
          <w:color w:val="000000"/>
          <w:sz w:val="24"/>
        </w:rPr>
        <w:t>)《生产安全事故应急预案管理办法》</w:t>
      </w:r>
      <w:r>
        <w:rPr>
          <w:rFonts w:hint="eastAsia" w:eastAsia="宋体" w:cs="Times New Roman"/>
          <w:color w:val="000000"/>
          <w:sz w:val="24"/>
          <w:lang w:eastAsia="zh-CN"/>
        </w:rPr>
        <w:t>（</w:t>
      </w:r>
      <w:r>
        <w:rPr>
          <w:rFonts w:hint="eastAsia" w:ascii="宋体" w:eastAsia="宋体" w:cs="Times New Roman"/>
          <w:color w:val="000000"/>
          <w:sz w:val="24"/>
          <w:lang w:val="en-US" w:eastAsia="zh-CN"/>
        </w:rPr>
        <w:t>2019年6月24日修改，2019年9月1日施行</w:t>
      </w:r>
      <w:r>
        <w:rPr>
          <w:rFonts w:hint="eastAsia" w:eastAsia="宋体" w:cs="Times New Roman"/>
          <w:color w:val="000000"/>
          <w:sz w:val="24"/>
          <w:lang w:val="en-US"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29</w:t>
      </w:r>
      <w:r>
        <w:rPr>
          <w:rFonts w:hint="eastAsia" w:ascii="宋体" w:eastAsia="宋体" w:cs="Times New Roman"/>
          <w:color w:val="000000"/>
          <w:sz w:val="24"/>
        </w:rPr>
        <w:t>)《生产经营单位生产安全事故应急预案编制导则》(GB/T29639-</w:t>
      </w:r>
      <w:r>
        <w:rPr>
          <w:rFonts w:hint="eastAsia" w:ascii="宋体" w:eastAsia="宋体" w:cs="Times New Roman"/>
          <w:color w:val="000000"/>
          <w:sz w:val="24"/>
          <w:lang w:val="en-US" w:eastAsia="zh-CN"/>
        </w:rPr>
        <w:t>2020</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30</w:t>
      </w:r>
      <w:r>
        <w:rPr>
          <w:rFonts w:hint="eastAsia" w:ascii="宋体" w:eastAsia="宋体" w:cs="Times New Roman"/>
          <w:color w:val="000000"/>
          <w:sz w:val="24"/>
        </w:rPr>
        <w:t>)《生产安全事故报告和调查处理条例》</w:t>
      </w:r>
      <w:r>
        <w:rPr>
          <w:rFonts w:hint="eastAsia" w:eastAsia="宋体" w:cs="Times New Roman"/>
          <w:color w:val="000000"/>
          <w:sz w:val="24"/>
          <w:lang w:eastAsia="zh-CN"/>
        </w:rPr>
        <w:t>（</w:t>
      </w:r>
      <w:r>
        <w:rPr>
          <w:rFonts w:hint="eastAsia" w:ascii="宋体" w:eastAsia="宋体" w:cs="Times New Roman"/>
          <w:color w:val="000000"/>
          <w:sz w:val="24"/>
        </w:rPr>
        <w:t>国务院(2007)493号令</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rPr>
      </w:pPr>
      <w:r>
        <w:rPr>
          <w:rFonts w:hint="eastAsia" w:ascii="宋体" w:eastAsia="宋体" w:cs="Times New Roman"/>
          <w:color w:val="000000"/>
          <w:sz w:val="24"/>
        </w:rPr>
        <w:t>(</w:t>
      </w:r>
      <w:r>
        <w:rPr>
          <w:rFonts w:hint="eastAsia" w:eastAsia="宋体" w:cs="Times New Roman"/>
          <w:color w:val="000000"/>
          <w:sz w:val="24"/>
          <w:lang w:val="en-US" w:eastAsia="zh-CN"/>
        </w:rPr>
        <w:t>31</w:t>
      </w:r>
      <w:r>
        <w:rPr>
          <w:rFonts w:hint="eastAsia" w:ascii="宋体" w:eastAsia="宋体" w:cs="Times New Roman"/>
          <w:color w:val="000000"/>
          <w:sz w:val="24"/>
        </w:rPr>
        <w:t>)《</w:t>
      </w:r>
      <w:r>
        <w:rPr>
          <w:rFonts w:hint="eastAsia" w:ascii="宋体" w:eastAsia="宋体" w:cs="Times New Roman"/>
          <w:color w:val="000000"/>
          <w:sz w:val="24"/>
          <w:lang w:val="zh-CN"/>
        </w:rPr>
        <w:t>生产安全事故应急条例</w:t>
      </w:r>
      <w:r>
        <w:rPr>
          <w:rFonts w:hint="eastAsia" w:ascii="宋体" w:eastAsia="宋体" w:cs="Times New Roman"/>
          <w:color w:val="000000"/>
          <w:sz w:val="24"/>
        </w:rPr>
        <w:t>》</w:t>
      </w:r>
      <w:r>
        <w:rPr>
          <w:rFonts w:hint="eastAsia" w:eastAsia="宋体" w:cs="Times New Roman"/>
          <w:color w:val="000000"/>
          <w:sz w:val="24"/>
          <w:lang w:eastAsia="zh-CN"/>
        </w:rPr>
        <w:t>（</w:t>
      </w:r>
      <w:r>
        <w:rPr>
          <w:rFonts w:hint="eastAsia" w:ascii="宋体" w:eastAsia="宋体" w:cs="Times New Roman"/>
          <w:color w:val="000000"/>
          <w:sz w:val="24"/>
          <w:lang w:val="zh-CN"/>
        </w:rPr>
        <w:t>国务院令</w:t>
      </w:r>
      <w:r>
        <w:rPr>
          <w:rFonts w:hint="eastAsia" w:ascii="宋体" w:eastAsia="宋体" w:cs="Times New Roman"/>
          <w:color w:val="000000"/>
          <w:sz w:val="24"/>
        </w:rPr>
        <w:t>[2019]</w:t>
      </w:r>
      <w:r>
        <w:rPr>
          <w:rFonts w:hint="eastAsia" w:ascii="宋体" w:eastAsia="宋体" w:cs="Times New Roman"/>
          <w:color w:val="000000"/>
          <w:sz w:val="24"/>
          <w:lang w:val="zh-CN"/>
        </w:rPr>
        <w:t>第708号2019年</w:t>
      </w:r>
      <w:r>
        <w:rPr>
          <w:rFonts w:hint="eastAsia" w:ascii="宋体" w:eastAsia="宋体" w:cs="Times New Roman"/>
          <w:color w:val="000000"/>
          <w:sz w:val="24"/>
        </w:rPr>
        <w:t>4月1日施行</w:t>
      </w:r>
      <w:r>
        <w:rPr>
          <w:rFonts w:hint="eastAsia" w:eastAsia="宋体" w:cs="Times New Roman"/>
          <w:color w:val="000000"/>
          <w:sz w:val="24"/>
          <w:lang w:eastAsia="zh-CN"/>
        </w:rPr>
        <w:t>）</w:t>
      </w:r>
      <w:r>
        <w:rPr>
          <w:rFonts w:hint="eastAsia" w:ascii="宋体" w:eastAsia="宋体"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eastAsia="宋体" w:cs="Times New Roman"/>
          <w:color w:val="000000"/>
          <w:sz w:val="24"/>
          <w:lang w:val="en-US" w:eastAsia="zh-CN"/>
        </w:rPr>
        <w:t>32</w:t>
      </w:r>
      <w:r>
        <w:rPr>
          <w:rFonts w:hint="eastAsia" w:ascii="宋体" w:eastAsia="宋体" w:cs="Times New Roman"/>
          <w:color w:val="000000"/>
          <w:sz w:val="24"/>
          <w:lang w:val="en-US" w:eastAsia="zh-CN"/>
        </w:rPr>
        <w:t>)《保障农民工工资支付条例》（国务院令724号，2020年5月1日实施）；</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eastAsia="宋体" w:cs="Times New Roman"/>
          <w:color w:val="000000"/>
          <w:sz w:val="24"/>
          <w:lang w:val="en-US" w:eastAsia="zh-CN"/>
        </w:rPr>
        <w:t>(33)</w:t>
      </w:r>
      <w:r>
        <w:rPr>
          <w:rFonts w:hint="eastAsia" w:ascii="宋体" w:eastAsia="宋体" w:cs="Times New Roman"/>
          <w:color w:val="000000"/>
          <w:sz w:val="24"/>
          <w:lang w:val="en-US" w:eastAsia="zh-CN"/>
        </w:rPr>
        <w:t>中共中央办公厅国务院办公厅《印发&lt;关于加强新形势下重大决策社会稳定风险评估机制建设的意见&gt;的通知》（中发办[2021]11号）</w:t>
      </w:r>
      <w:r>
        <w:rPr>
          <w:rFonts w:hint="eastAsia" w:eastAsia="宋体"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eastAsia="宋体" w:cs="Times New Roman"/>
          <w:color w:val="000000"/>
          <w:sz w:val="24"/>
          <w:lang w:val="en-US" w:eastAsia="zh-CN"/>
        </w:rPr>
      </w:pPr>
      <w:r>
        <w:rPr>
          <w:rFonts w:hint="eastAsia" w:eastAsia="宋体" w:cs="Times New Roman"/>
          <w:color w:val="000000"/>
          <w:sz w:val="24"/>
          <w:lang w:val="en-US" w:eastAsia="zh-CN"/>
        </w:rPr>
        <w:t>(34)《工程建设领域农民工工资保证金规定》（人社部发</w:t>
      </w:r>
      <w:r>
        <w:rPr>
          <w:rFonts w:hint="eastAsia" w:ascii="宋体" w:eastAsia="宋体" w:cs="Times New Roman"/>
          <w:color w:val="000000"/>
          <w:sz w:val="24"/>
        </w:rPr>
        <w:t>[20</w:t>
      </w:r>
      <w:r>
        <w:rPr>
          <w:rFonts w:hint="eastAsia" w:eastAsia="宋体" w:cs="Times New Roman"/>
          <w:color w:val="000000"/>
          <w:sz w:val="24"/>
          <w:lang w:val="en-US" w:eastAsia="zh-CN"/>
        </w:rPr>
        <w:t>21</w:t>
      </w:r>
      <w:r>
        <w:rPr>
          <w:rFonts w:hint="eastAsia" w:ascii="宋体" w:eastAsia="宋体" w:cs="Times New Roman"/>
          <w:color w:val="000000"/>
          <w:sz w:val="24"/>
        </w:rPr>
        <w:t>]</w:t>
      </w:r>
      <w:r>
        <w:rPr>
          <w:rFonts w:hint="eastAsia" w:eastAsia="宋体" w:cs="Times New Roman"/>
          <w:color w:val="000000"/>
          <w:sz w:val="24"/>
          <w:lang w:val="en-US" w:eastAsia="zh-CN"/>
        </w:rPr>
        <w:t>65号）；</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color w:val="000000"/>
          <w:lang w:val="en-US"/>
        </w:rPr>
      </w:pPr>
      <w:r>
        <w:rPr>
          <w:rFonts w:hint="eastAsia" w:cs="Times New Roman"/>
          <w:color w:val="000000"/>
          <w:sz w:val="24"/>
          <w:lang w:val="en-US" w:eastAsia="zh-CN"/>
        </w:rPr>
        <w:t>(35)</w:t>
      </w:r>
      <w:r>
        <w:rPr>
          <w:rFonts w:hint="eastAsia" w:eastAsia="宋体"/>
          <w:color w:val="000000"/>
          <w:lang w:val="en-US" w:eastAsia="zh-CN"/>
        </w:rPr>
        <w:t>《信访工作条例》（中共中央、国务院，2022年2月25日发布）。</w:t>
      </w:r>
    </w:p>
    <w:p>
      <w:pPr>
        <w:snapToGrid w:val="0"/>
        <w:ind w:firstLine="0" w:firstLineChars="0"/>
        <w:jc w:val="both"/>
        <w:outlineLvl w:val="2"/>
        <w:rPr>
          <w:rFonts w:hint="eastAsia" w:cs="宋体"/>
          <w:b/>
          <w:color w:val="000000"/>
          <w:szCs w:val="24"/>
          <w:shd w:val="clear" w:color="auto" w:fill="auto"/>
        </w:rPr>
      </w:pPr>
      <w:r>
        <w:rPr>
          <w:rFonts w:hint="eastAsia" w:cs="宋体"/>
          <w:b/>
          <w:color w:val="000000"/>
          <w:szCs w:val="24"/>
          <w:shd w:val="clear" w:color="auto" w:fill="auto"/>
        </w:rPr>
        <w:t>1.5.2地方相关规定及规划</w:t>
      </w:r>
      <w:bookmarkEnd w:id="27"/>
      <w:bookmarkEnd w:id="28"/>
    </w:p>
    <w:p>
      <w:pPr>
        <w:snapToGrid w:val="0"/>
        <w:spacing w:line="360" w:lineRule="auto"/>
        <w:ind w:firstLine="480" w:firstLineChars="200"/>
        <w:rPr>
          <w:rFonts w:hint="eastAsia" w:ascii="宋体" w:eastAsia="宋体" w:cs="Times New Roman"/>
          <w:color w:val="000000"/>
          <w:sz w:val="24"/>
          <w:lang w:val="en-US" w:eastAsia="zh-CN"/>
        </w:rPr>
      </w:pPr>
      <w:bookmarkStart w:id="29" w:name="_Toc24887"/>
      <w:r>
        <w:rPr>
          <w:rFonts w:hint="eastAsia" w:ascii="宋体" w:eastAsia="宋体" w:cs="Times New Roman"/>
          <w:color w:val="000000"/>
          <w:sz w:val="24"/>
          <w:lang w:val="en-US" w:eastAsia="zh-CN"/>
        </w:rPr>
        <w:t>(1)《关于印发〈自治区重大事项社会稳定风险评估工作意见〉(试行)的通知》（新疆维吾尔自治区党委办公厅、自治区人民政府办公厅·新党办发[2010]19号）；</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(2)《自治区发展改革委关于印发&lt;新疆维吾尔自治区发展改革委重大固定资产投资项目社会稳定风险评估暂行办法&gt;的通知》；</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(3)《新疆维吾尔自治区人民政府突发公共事件总体应急预案》；</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(4)《关于印发&lt;新疆维吾尔自治区建设领域农民工工资支付管理办法&gt;的通知》（新疆维吾尔自治区人民政府办公厅·新政办发[2007]111号）；</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(5)《关于印发&lt;新疆维吾尔自治区农民工工资保证金管理暂行办法&gt;的通知》（新疆维吾尔自治区人民政府办公厅·新政办发[2007]114号）；</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cs="Times New Roman"/>
          <w:color w:val="000000"/>
          <w:sz w:val="24"/>
          <w:lang w:val="en-US" w:eastAsia="zh-CN"/>
        </w:rPr>
        <w:t>7</w:t>
      </w:r>
      <w:r>
        <w:rPr>
          <w:rFonts w:hint="eastAsia" w:ascii="宋体" w:eastAsia="宋体" w:cs="Times New Roman"/>
          <w:color w:val="000000"/>
          <w:sz w:val="24"/>
          <w:lang w:val="en-US" w:eastAsia="zh-CN"/>
        </w:rPr>
        <w:t>)《新疆维吾尔自治区国民经济和社会发展第十四个五年规划和2035年远景目标纲要》；</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cs="Times New Roman"/>
          <w:color w:val="000000"/>
          <w:sz w:val="24"/>
          <w:lang w:val="en-US" w:eastAsia="zh-CN"/>
        </w:rPr>
        <w:t>8</w:t>
      </w:r>
      <w:r>
        <w:rPr>
          <w:rFonts w:hint="eastAsia" w:ascii="宋体" w:eastAsia="宋体" w:cs="Times New Roman"/>
          <w:color w:val="000000"/>
          <w:sz w:val="24"/>
          <w:lang w:val="en-US" w:eastAsia="zh-CN"/>
        </w:rPr>
        <w:t>)《新疆维吾尔自治区全面治理拖欠农民工工资问题实施意见的通知》；</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cs="Times New Roman"/>
          <w:color w:val="000000"/>
          <w:sz w:val="24"/>
          <w:lang w:val="en-US" w:eastAsia="zh-CN"/>
        </w:rPr>
        <w:t>9</w:t>
      </w:r>
      <w:r>
        <w:rPr>
          <w:rFonts w:hint="eastAsia" w:ascii="宋体" w:eastAsia="宋体" w:cs="Times New Roman"/>
          <w:color w:val="000000"/>
          <w:sz w:val="24"/>
          <w:lang w:val="en-US" w:eastAsia="zh-CN"/>
        </w:rPr>
        <w:t>)《关于做好当前安全生产工作为疫情防控提供坚实安全生产保障的紧急通知》（自治区安办[2020]1号）；</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w:t>
      </w:r>
      <w:r>
        <w:rPr>
          <w:rFonts w:hint="eastAsia" w:cs="Times New Roman"/>
          <w:color w:val="000000"/>
          <w:sz w:val="24"/>
          <w:lang w:val="en-US" w:eastAsia="zh-CN"/>
        </w:rPr>
        <w:t>10</w:t>
      </w:r>
      <w:r>
        <w:rPr>
          <w:rFonts w:hint="eastAsia" w:ascii="宋体" w:eastAsia="宋体" w:cs="Times New Roman"/>
          <w:color w:val="000000"/>
          <w:sz w:val="24"/>
          <w:lang w:val="en-US" w:eastAsia="zh-CN"/>
        </w:rPr>
        <w:t>)《自治区人力资源和社会保障厅等七部门关于印发&lt;新疆维吾尔自治区工程建设领域农民工工资保证金管理实施细则&gt;的通知》（新人社规[2022]3号）；</w:t>
      </w:r>
    </w:p>
    <w:p>
      <w:pPr>
        <w:snapToGrid w:val="0"/>
        <w:spacing w:line="360" w:lineRule="auto"/>
        <w:ind w:firstLine="480" w:firstLineChars="200"/>
        <w:rPr>
          <w:rFonts w:hint="eastAsia" w:ascii="宋体" w:eastAsia="宋体" w:cs="Times New Roman"/>
          <w:color w:val="000000"/>
          <w:sz w:val="24"/>
          <w:lang w:val="en-US" w:eastAsia="zh-CN"/>
        </w:rPr>
      </w:pPr>
      <w:r>
        <w:rPr>
          <w:rFonts w:hint="eastAsia" w:ascii="宋体" w:eastAsia="宋体" w:cs="Times New Roman"/>
          <w:color w:val="000000"/>
          <w:sz w:val="24"/>
          <w:lang w:val="en-US" w:eastAsia="zh-CN"/>
        </w:rPr>
        <w:t>(1</w:t>
      </w:r>
      <w:r>
        <w:rPr>
          <w:rFonts w:hint="eastAsia" w:cs="Times New Roman"/>
          <w:color w:val="000000"/>
          <w:sz w:val="24"/>
          <w:lang w:val="en-US" w:eastAsia="zh-CN"/>
        </w:rPr>
        <w:t>1</w:t>
      </w:r>
      <w:r>
        <w:rPr>
          <w:rFonts w:hint="eastAsia" w:ascii="宋体" w:eastAsia="宋体" w:cs="Times New Roman"/>
          <w:color w:val="000000"/>
          <w:sz w:val="24"/>
          <w:lang w:val="en-US" w:eastAsia="zh-CN"/>
        </w:rPr>
        <w:t>)《&lt;关于全面治理拖欠农民工工资问题的实施意见&gt;的通知》(新兵办发[2016]48号)；</w:t>
      </w:r>
    </w:p>
    <w:p>
      <w:pPr>
        <w:snapToGrid w:val="0"/>
        <w:spacing w:line="360" w:lineRule="auto"/>
        <w:ind w:firstLine="480" w:firstLineChars="200"/>
        <w:rPr>
          <w:rFonts w:hint="eastAsia" w:ascii="宋体"/>
          <w:color w:val="000000"/>
          <w:sz w:val="24"/>
          <w:lang w:val="en-US" w:eastAsia="zh-CN"/>
        </w:rPr>
      </w:pPr>
      <w:r>
        <w:rPr>
          <w:rFonts w:hint="eastAsia" w:ascii="宋体"/>
          <w:color w:val="000000"/>
          <w:sz w:val="24"/>
          <w:lang w:val="en-US" w:eastAsia="zh-CN"/>
        </w:rPr>
        <w:t>(1</w:t>
      </w:r>
      <w:r>
        <w:rPr>
          <w:rFonts w:hint="eastAsia"/>
          <w:color w:val="000000"/>
          <w:sz w:val="24"/>
          <w:lang w:val="en-US" w:eastAsia="zh-CN"/>
        </w:rPr>
        <w:t>2</w:t>
      </w:r>
      <w:r>
        <w:rPr>
          <w:rFonts w:hint="eastAsia" w:ascii="宋体"/>
          <w:color w:val="000000"/>
          <w:sz w:val="24"/>
          <w:lang w:val="en-US" w:eastAsia="zh-CN"/>
        </w:rPr>
        <w:t>)《</w:t>
      </w:r>
      <w:r>
        <w:rPr>
          <w:rFonts w:hint="eastAsia"/>
          <w:color w:val="000000"/>
          <w:sz w:val="24"/>
          <w:lang w:val="en-US" w:eastAsia="zh-CN"/>
        </w:rPr>
        <w:t>巴州</w:t>
      </w:r>
      <w:r>
        <w:rPr>
          <w:rFonts w:hint="eastAsia" w:ascii="宋体"/>
          <w:color w:val="000000"/>
          <w:sz w:val="24"/>
          <w:lang w:val="en-US" w:eastAsia="zh-CN"/>
        </w:rPr>
        <w:t>地区国民经济和社会发展第十四个五年规划和2035年远景目标纲要》（2021年4月7日通过）；</w:t>
      </w:r>
    </w:p>
    <w:p>
      <w:pPr>
        <w:snapToGrid w:val="0"/>
        <w:spacing w:line="360" w:lineRule="auto"/>
        <w:ind w:firstLine="480" w:firstLineChars="200"/>
        <w:rPr>
          <w:rFonts w:hint="eastAsia" w:ascii="宋体"/>
          <w:color w:val="000000"/>
          <w:sz w:val="24"/>
          <w:lang w:val="en-US" w:eastAsia="zh-CN"/>
        </w:rPr>
      </w:pPr>
      <w:r>
        <w:rPr>
          <w:rFonts w:hint="eastAsia" w:ascii="宋体"/>
          <w:color w:val="000000"/>
          <w:sz w:val="24"/>
          <w:lang w:val="en-US" w:eastAsia="zh-CN"/>
        </w:rPr>
        <w:t>(1</w:t>
      </w:r>
      <w:r>
        <w:rPr>
          <w:rFonts w:hint="eastAsia"/>
          <w:color w:val="000000"/>
          <w:sz w:val="24"/>
          <w:lang w:val="en-US" w:eastAsia="zh-CN"/>
        </w:rPr>
        <w:t>3</w:t>
      </w:r>
      <w:r>
        <w:rPr>
          <w:rFonts w:hint="eastAsia" w:ascii="宋体"/>
          <w:color w:val="000000"/>
          <w:sz w:val="24"/>
          <w:lang w:val="en-US" w:eastAsia="zh-CN"/>
        </w:rPr>
        <w:t>)《</w:t>
      </w:r>
      <w:r>
        <w:rPr>
          <w:rFonts w:hint="eastAsia"/>
          <w:color w:val="000000"/>
          <w:sz w:val="24"/>
          <w:lang w:val="en-US" w:eastAsia="zh-CN"/>
        </w:rPr>
        <w:t>巴州</w:t>
      </w:r>
      <w:r>
        <w:rPr>
          <w:rFonts w:hint="eastAsia" w:ascii="宋体"/>
          <w:color w:val="000000"/>
          <w:sz w:val="24"/>
          <w:lang w:val="en-US" w:eastAsia="zh-CN"/>
        </w:rPr>
        <w:t>地区突发事件总体应急预案》（2020年7月1日起实施）；</w:t>
      </w:r>
    </w:p>
    <w:p>
      <w:pPr>
        <w:snapToGrid w:val="0"/>
        <w:spacing w:line="360" w:lineRule="auto"/>
        <w:ind w:firstLine="480" w:firstLineChars="200"/>
        <w:rPr>
          <w:rFonts w:hint="eastAsia" w:ascii="宋体"/>
          <w:color w:val="000000"/>
          <w:sz w:val="24"/>
          <w:lang w:val="en-US" w:eastAsia="zh-CN"/>
        </w:rPr>
      </w:pPr>
      <w:r>
        <w:rPr>
          <w:rFonts w:hint="eastAsia" w:ascii="宋体"/>
          <w:color w:val="000000"/>
          <w:sz w:val="24"/>
          <w:lang w:val="en-US" w:eastAsia="zh-CN"/>
        </w:rPr>
        <w:t>(</w:t>
      </w:r>
      <w:r>
        <w:rPr>
          <w:rFonts w:hint="eastAsia"/>
          <w:color w:val="000000"/>
          <w:sz w:val="24"/>
          <w:lang w:val="en-US" w:eastAsia="zh-CN"/>
        </w:rPr>
        <w:t>14</w:t>
      </w:r>
      <w:r>
        <w:rPr>
          <w:rFonts w:hint="eastAsia" w:ascii="宋体"/>
          <w:color w:val="000000"/>
          <w:sz w:val="24"/>
          <w:lang w:val="en-US" w:eastAsia="zh-CN"/>
        </w:rPr>
        <w:t>)《反恐怖防范设置规范》（DB65/T4079-2017）；</w:t>
      </w:r>
    </w:p>
    <w:p>
      <w:pPr>
        <w:snapToGrid w:val="0"/>
        <w:spacing w:line="360" w:lineRule="auto"/>
        <w:ind w:firstLine="480" w:firstLineChars="200"/>
        <w:rPr>
          <w:rFonts w:hint="eastAsia" w:ascii="宋体"/>
          <w:color w:val="000000"/>
          <w:sz w:val="24"/>
          <w:lang w:val="en-US" w:eastAsia="zh-CN"/>
        </w:rPr>
      </w:pPr>
      <w:r>
        <w:rPr>
          <w:rFonts w:hint="eastAsia" w:ascii="宋体"/>
          <w:color w:val="000000"/>
          <w:sz w:val="24"/>
          <w:lang w:val="en-US" w:eastAsia="zh-CN"/>
        </w:rPr>
        <w:t>(</w:t>
      </w:r>
      <w:r>
        <w:rPr>
          <w:rFonts w:hint="eastAsia"/>
          <w:color w:val="000000"/>
          <w:sz w:val="24"/>
          <w:lang w:val="en-US" w:eastAsia="zh-CN"/>
        </w:rPr>
        <w:t>15</w:t>
      </w:r>
      <w:r>
        <w:rPr>
          <w:rFonts w:hint="eastAsia" w:ascii="宋体"/>
          <w:color w:val="000000"/>
          <w:sz w:val="24"/>
          <w:lang w:val="en-US" w:eastAsia="zh-CN"/>
        </w:rPr>
        <w:t>)《国家电网公司关于印发架空输电线路“三跨”重大反事故措施(试行)的通知》；</w:t>
      </w:r>
    </w:p>
    <w:p>
      <w:pPr>
        <w:snapToGrid w:val="0"/>
        <w:spacing w:line="360" w:lineRule="auto"/>
        <w:ind w:firstLine="480" w:firstLineChars="200"/>
        <w:rPr>
          <w:rFonts w:hint="eastAsia" w:ascii="宋体"/>
          <w:color w:val="000000"/>
          <w:sz w:val="24"/>
          <w:lang w:eastAsia="zh-CN"/>
        </w:rPr>
      </w:pPr>
      <w:r>
        <w:rPr>
          <w:rFonts w:hint="eastAsia" w:ascii="宋体"/>
          <w:color w:val="000000"/>
          <w:sz w:val="24"/>
          <w:lang w:val="en-US" w:eastAsia="zh-CN"/>
        </w:rPr>
        <w:t>(</w:t>
      </w:r>
      <w:r>
        <w:rPr>
          <w:rFonts w:hint="eastAsia"/>
          <w:color w:val="000000"/>
          <w:sz w:val="24"/>
          <w:lang w:val="en-US" w:eastAsia="zh-CN"/>
        </w:rPr>
        <w:t>16</w:t>
      </w:r>
      <w:r>
        <w:rPr>
          <w:rFonts w:hint="eastAsia" w:ascii="宋体"/>
          <w:color w:val="000000"/>
          <w:sz w:val="24"/>
          <w:lang w:val="en-US" w:eastAsia="zh-CN"/>
        </w:rPr>
        <w:t>)《国家电网有限公司关于印发十八项电网重大反事故措施(修订版)的通知》(国家电网设备[2018]979号)。</w:t>
      </w:r>
    </w:p>
    <w:p>
      <w:pPr>
        <w:pStyle w:val="3"/>
        <w:jc w:val="both"/>
        <w:rPr>
          <w:rFonts w:hint="eastAsia" w:eastAsia="宋体"/>
          <w:color w:val="000000"/>
          <w:shd w:val="clear" w:color="auto" w:fill="auto"/>
          <w:lang w:eastAsia="zh-CN"/>
        </w:rPr>
      </w:pPr>
      <w:bookmarkStart w:id="30" w:name="_Toc5248"/>
      <w:r>
        <w:rPr>
          <w:rFonts w:hint="eastAsia"/>
          <w:color w:val="000000"/>
          <w:shd w:val="clear" w:color="auto" w:fill="auto"/>
        </w:rPr>
        <w:t>1.6评估主体</w:t>
      </w:r>
      <w:bookmarkEnd w:id="29"/>
      <w:bookmarkEnd w:id="30"/>
    </w:p>
    <w:p>
      <w:pPr>
        <w:ind w:left="-120" w:leftChars="-50" w:right="-120" w:rightChars="-50" w:firstLine="552" w:firstLineChars="230"/>
        <w:jc w:val="both"/>
        <w:rPr>
          <w:rFonts w:hint="eastAsia"/>
          <w:color w:val="000000"/>
          <w:shd w:val="clear" w:color="auto" w:fill="auto"/>
          <w:lang w:val="zh-CN"/>
        </w:rPr>
      </w:pPr>
      <w:r>
        <w:rPr>
          <w:rFonts w:hint="eastAsia"/>
          <w:color w:val="000000"/>
          <w:shd w:val="clear" w:color="auto" w:fill="auto"/>
          <w:lang w:val="zh-CN"/>
        </w:rPr>
        <w:t>本项目评估主体指定方为</w:t>
      </w:r>
      <w:r>
        <w:rPr>
          <w:rFonts w:hint="eastAsia"/>
          <w:color w:val="000000"/>
          <w:shd w:val="clear" w:color="auto" w:fill="auto"/>
          <w:lang w:val="en-US" w:eastAsia="zh-CN"/>
        </w:rPr>
        <w:t>输电线路所在地</w:t>
      </w:r>
      <w:r>
        <w:rPr>
          <w:rFonts w:hint="eastAsia"/>
          <w:color w:val="000000"/>
          <w:shd w:val="clear" w:color="auto" w:fill="auto"/>
        </w:rPr>
        <w:t>发展和改革委员会</w:t>
      </w:r>
      <w:r>
        <w:rPr>
          <w:rFonts w:hint="eastAsia"/>
          <w:color w:val="000000"/>
          <w:shd w:val="clear" w:color="auto" w:fill="auto"/>
          <w:lang w:val="en-US" w:eastAsia="zh-CN"/>
        </w:rPr>
        <w:t>或有关政府指定部门</w:t>
      </w:r>
      <w:r>
        <w:rPr>
          <w:rFonts w:hint="eastAsia"/>
          <w:color w:val="000000"/>
          <w:shd w:val="clear" w:color="auto" w:fill="auto"/>
          <w:lang w:val="zh-CN"/>
        </w:rPr>
        <w:t>，评估主体为</w:t>
      </w:r>
      <w:r>
        <w:rPr>
          <w:rFonts w:hint="eastAsia"/>
          <w:color w:val="000000"/>
          <w:shd w:val="clear" w:color="auto" w:fill="auto"/>
          <w:lang w:val="en-US" w:eastAsia="zh-CN"/>
        </w:rPr>
        <w:t>巴州科汇电力设计有限责任公司</w:t>
      </w:r>
      <w:r>
        <w:rPr>
          <w:rFonts w:hint="eastAsia"/>
          <w:color w:val="000000"/>
          <w:shd w:val="clear" w:color="auto" w:fill="auto"/>
          <w:lang w:val="zh-CN"/>
        </w:rPr>
        <w:t>。</w:t>
      </w:r>
    </w:p>
    <w:p>
      <w:pPr>
        <w:ind w:left="-120" w:leftChars="-50" w:right="-120" w:rightChars="-50" w:firstLine="552" w:firstLineChars="230"/>
        <w:jc w:val="both"/>
        <w:rPr>
          <w:rFonts w:hint="eastAsia"/>
          <w:color w:val="000000"/>
          <w:shd w:val="clear" w:color="auto" w:fill="auto"/>
          <w:lang w:val="zh-CN"/>
        </w:rPr>
      </w:pPr>
      <w:r>
        <w:rPr>
          <w:rFonts w:hint="eastAsia"/>
          <w:color w:val="000000"/>
          <w:shd w:val="clear" w:color="auto" w:fill="auto"/>
          <w:lang w:val="zh-CN"/>
        </w:rPr>
        <w:t>主要职责如下：</w:t>
      </w:r>
    </w:p>
    <w:p>
      <w:pPr>
        <w:snapToGrid w:val="0"/>
        <w:jc w:val="both"/>
        <w:rPr>
          <w:rFonts w:hint="eastAsia" w:eastAsia="宋体"/>
          <w:b/>
          <w:color w:val="000000"/>
          <w:shd w:val="clear" w:color="auto" w:fill="auto"/>
          <w:lang w:eastAsia="zh-CN"/>
        </w:rPr>
      </w:pPr>
      <w:r>
        <w:rPr>
          <w:rFonts w:hint="eastAsia"/>
          <w:color w:val="000000"/>
          <w:shd w:val="clear" w:color="auto" w:fill="auto"/>
        </w:rPr>
        <w:t>(1)</w:t>
      </w:r>
      <w:r>
        <w:rPr>
          <w:rFonts w:hint="eastAsia"/>
          <w:color w:val="000000"/>
          <w:shd w:val="clear" w:color="auto" w:fill="auto"/>
          <w:lang w:val="en-US" w:eastAsia="zh-CN"/>
        </w:rPr>
        <w:t>巴州科汇电力设计有限责任公司</w:t>
      </w:r>
      <w:r>
        <w:rPr>
          <w:rFonts w:hint="eastAsia"/>
          <w:color w:val="000000"/>
          <w:shd w:val="clear" w:color="auto" w:fill="auto"/>
        </w:rPr>
        <w:t>：作为评估主体，牵头开展评估工作，对拟建项目的社会稳定风险分析报告开展评估论证，听取有关专家及基层组织的建议，汇兑评估意见，分析判断并确定项目风险等级，严格按照编制大纲的要求，编制本项目社会稳定风险评估报告。</w:t>
      </w:r>
    </w:p>
    <w:p>
      <w:pPr>
        <w:pStyle w:val="3"/>
        <w:jc w:val="both"/>
        <w:rPr>
          <w:rFonts w:hint="eastAsia" w:eastAsia="宋体"/>
          <w:color w:val="000000"/>
          <w:shd w:val="clear" w:color="auto" w:fill="auto"/>
          <w:lang w:eastAsia="zh-CN"/>
        </w:rPr>
      </w:pPr>
      <w:bookmarkStart w:id="31" w:name="_Toc350040055"/>
      <w:bookmarkStart w:id="32" w:name="_Toc27549"/>
      <w:bookmarkStart w:id="33" w:name="_Toc24435"/>
      <w:r>
        <w:rPr>
          <w:rFonts w:hint="eastAsia"/>
          <w:color w:val="000000"/>
          <w:shd w:val="clear" w:color="auto" w:fill="auto"/>
        </w:rPr>
        <w:t>1.7评估过程和方法</w:t>
      </w:r>
      <w:bookmarkEnd w:id="31"/>
      <w:bookmarkEnd w:id="32"/>
      <w:bookmarkEnd w:id="33"/>
    </w:p>
    <w:p>
      <w:pPr>
        <w:jc w:val="both"/>
        <w:rPr>
          <w:rFonts w:hint="eastAsia"/>
          <w:color w:val="000000"/>
          <w:shd w:val="clear" w:color="auto" w:fill="auto"/>
          <w:lang w:val="zh-CN"/>
        </w:rPr>
      </w:pPr>
      <w:r>
        <w:rPr>
          <w:rFonts w:hint="eastAsia"/>
          <w:color w:val="000000"/>
          <w:shd w:val="clear" w:color="auto" w:fill="auto"/>
          <w:lang w:val="zh-CN"/>
        </w:rPr>
        <w:t>本项目评估过程和方法，主要包括明确评估参与单位，职责分工，制定评估工作进度，资料的收集与分析，通过补充风险调查、评估充分听取意见，进行全面评估论证，确定风险等级，形成评估报告。</w:t>
      </w:r>
      <w:r>
        <w:rPr>
          <w:rFonts w:hint="eastAsia"/>
          <w:color w:val="000000"/>
          <w:shd w:val="clear" w:color="auto" w:fill="auto"/>
        </w:rPr>
        <w:t>风险调查评估主要包括</w:t>
      </w:r>
      <w:r>
        <w:rPr>
          <w:rFonts w:hint="eastAsia"/>
          <w:color w:val="000000"/>
          <w:shd w:val="clear" w:color="auto" w:fill="auto"/>
          <w:lang w:val="zh-CN"/>
        </w:rPr>
        <w:t>走访基层组织、抽样问卷调查、实地踏勘、群众访谈、公告公示、舆情导向评估。本次评估采用的主要方法为评估打分法。</w:t>
      </w:r>
    </w:p>
    <w:p>
      <w:pPr>
        <w:rPr>
          <w:rFonts w:hint="eastAsia"/>
          <w:color w:val="000000"/>
        </w:rPr>
      </w:pPr>
    </w:p>
    <w:p>
      <w:pPr>
        <w:snapToGrid w:val="0"/>
        <w:ind w:firstLine="0" w:firstLineChars="0"/>
        <w:outlineLvl w:val="0"/>
        <w:rPr>
          <w:rFonts w:hint="eastAsia" w:eastAsia="宋体"/>
          <w:b/>
          <w:color w:val="000000"/>
          <w:shd w:val="clear" w:color="auto" w:fill="auto"/>
          <w:lang w:eastAsia="zh-CN"/>
        </w:rPr>
      </w:pPr>
      <w:r>
        <w:rPr>
          <w:rStyle w:val="24"/>
          <w:rFonts w:hint="eastAsia"/>
          <w:color w:val="000000"/>
          <w:shd w:val="clear" w:color="auto" w:fill="auto"/>
        </w:rPr>
        <w:br w:type="page"/>
      </w:r>
      <w:bookmarkStart w:id="34" w:name="_Toc27088"/>
      <w:bookmarkStart w:id="35" w:name="_Toc2447"/>
      <w:r>
        <w:rPr>
          <w:rStyle w:val="24"/>
          <w:rFonts w:hint="eastAsia"/>
          <w:color w:val="000000"/>
          <w:shd w:val="clear" w:color="auto" w:fill="auto"/>
        </w:rPr>
        <w:t>2评估内容</w:t>
      </w:r>
      <w:bookmarkEnd w:id="34"/>
      <w:bookmarkEnd w:id="35"/>
    </w:p>
    <w:p>
      <w:pPr>
        <w:pStyle w:val="3"/>
        <w:rPr>
          <w:rFonts w:hint="eastAsia"/>
          <w:color w:val="000000"/>
          <w:shd w:val="clear" w:color="auto" w:fill="auto"/>
        </w:rPr>
      </w:pPr>
      <w:bookmarkStart w:id="36" w:name="_Toc30205"/>
      <w:bookmarkStart w:id="37" w:name="_Toc29516"/>
      <w:r>
        <w:rPr>
          <w:rFonts w:hint="eastAsia"/>
          <w:color w:val="000000"/>
          <w:shd w:val="clear" w:color="auto" w:fill="auto"/>
        </w:rPr>
        <w:t>2.1风险调查评估及各方意见采纳情况</w:t>
      </w:r>
      <w:bookmarkEnd w:id="36"/>
      <w:bookmarkEnd w:id="37"/>
    </w:p>
    <w:p>
      <w:pPr>
        <w:rPr>
          <w:rFonts w:hint="eastAsia"/>
          <w:color w:val="000000"/>
          <w:shd w:val="clear" w:color="auto" w:fill="auto"/>
        </w:rPr>
      </w:pPr>
      <w:r>
        <w:rPr>
          <w:rFonts w:hint="eastAsia"/>
          <w:color w:val="000000"/>
          <w:shd w:val="clear" w:color="auto" w:fill="auto"/>
        </w:rPr>
        <w:t>建设单位与分析报告编制单位采取张贴公示、对工程周边居民进行问卷调查、基层组织的走访调查、类比案例、舆情导向调查等方式对社会稳定风险进行了排查。</w:t>
      </w:r>
    </w:p>
    <w:p>
      <w:pPr>
        <w:rPr>
          <w:rFonts w:hint="eastAsia"/>
          <w:b/>
          <w:color w:val="000000"/>
          <w:shd w:val="clear" w:color="auto" w:fill="auto"/>
        </w:rPr>
      </w:pPr>
      <w:r>
        <w:rPr>
          <w:rFonts w:hint="eastAsia" w:ascii="宋体" w:eastAsia="宋体" w:cs="宋体"/>
          <w:color w:val="000000"/>
          <w:lang w:val="en-US" w:eastAsia="zh-CN"/>
        </w:rPr>
        <w:t>项目单位与分析单位走访了</w:t>
      </w:r>
      <w:r>
        <w:rPr>
          <w:rFonts w:hint="eastAsia" w:cs="宋体"/>
          <w:color w:val="000000"/>
          <w:lang w:val="en-US" w:eastAsia="zh-CN"/>
        </w:rPr>
        <w:t>库尔勒市</w:t>
      </w:r>
      <w:r>
        <w:rPr>
          <w:rFonts w:hint="eastAsia" w:ascii="宋体" w:eastAsia="宋体" w:cs="宋体"/>
          <w:color w:val="000000"/>
          <w:lang w:val="en-US" w:eastAsia="zh-CN"/>
        </w:rPr>
        <w:t>的相关单位及个人，对利益相关方</w:t>
      </w:r>
      <w:r>
        <w:rPr>
          <w:rFonts w:hint="eastAsia" w:cs="宋体"/>
          <w:color w:val="000000"/>
          <w:lang w:val="en-US" w:eastAsia="zh-CN"/>
        </w:rPr>
        <w:t>。</w:t>
      </w:r>
      <w:r>
        <w:rPr>
          <w:rFonts w:hint="eastAsia"/>
          <w:color w:val="000000"/>
          <w:shd w:val="clear" w:color="auto" w:fill="auto"/>
        </w:rPr>
        <w:t>评估主体对风险调查中的舆情导向调查进行了复核，通过对互联网论坛、微博、贴吧等进行项目搜索，没有收到对拟建项目反对、不支持等负面舆情。媒体舆情导向均为正面报导。</w:t>
      </w:r>
    </w:p>
    <w:p>
      <w:pPr>
        <w:spacing w:before="156" w:beforeLines="50" w:line="240" w:lineRule="auto"/>
        <w:ind w:firstLine="590" w:firstLineChars="245"/>
        <w:rPr>
          <w:rFonts w:hint="eastAsia"/>
          <w:b/>
          <w:color w:val="000000"/>
          <w:shd w:val="clear" w:color="auto" w:fill="auto"/>
        </w:rPr>
      </w:pPr>
      <w:r>
        <w:rPr>
          <w:rFonts w:hint="eastAsia"/>
          <w:b/>
          <w:color w:val="000000"/>
          <w:shd w:val="clear" w:color="auto" w:fill="auto"/>
        </w:rPr>
        <w:t>表2.1-</w:t>
      </w:r>
      <w:r>
        <w:rPr>
          <w:rFonts w:hint="eastAsia"/>
          <w:b/>
          <w:color w:val="000000"/>
          <w:shd w:val="clear" w:color="auto" w:fill="auto"/>
          <w:lang w:val="en-US" w:eastAsia="zh-CN"/>
        </w:rPr>
        <w:t xml:space="preserve">1         </w:t>
      </w:r>
      <w:r>
        <w:rPr>
          <w:rFonts w:hint="eastAsia"/>
          <w:b/>
          <w:color w:val="000000"/>
          <w:shd w:val="clear" w:color="auto" w:fill="auto"/>
        </w:rPr>
        <w:t>公众诉求及拟建项目采取对应措施评估</w:t>
      </w:r>
    </w:p>
    <w:tbl>
      <w:tblPr>
        <w:tblStyle w:val="2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263"/>
        <w:gridCol w:w="4373"/>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6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b/>
                <w:bCs/>
                <w:color w:val="000000"/>
                <w:sz w:val="21"/>
                <w:szCs w:val="21"/>
              </w:rPr>
            </w:pPr>
            <w:r>
              <w:rPr>
                <w:rFonts w:hint="eastAsia" w:ascii="宋体"/>
                <w:b/>
                <w:bCs/>
                <w:color w:val="000000"/>
                <w:sz w:val="21"/>
                <w:szCs w:val="21"/>
              </w:rPr>
              <w:t>序号</w:t>
            </w:r>
          </w:p>
        </w:tc>
        <w:tc>
          <w:tcPr>
            <w:tcW w:w="226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b/>
                <w:bCs/>
                <w:color w:val="000000"/>
                <w:sz w:val="21"/>
                <w:szCs w:val="21"/>
              </w:rPr>
            </w:pPr>
            <w:r>
              <w:rPr>
                <w:rFonts w:hint="eastAsia" w:ascii="宋体"/>
                <w:b/>
                <w:bCs/>
                <w:color w:val="000000"/>
                <w:sz w:val="21"/>
                <w:szCs w:val="21"/>
              </w:rPr>
              <w:t>诉求</w:t>
            </w:r>
          </w:p>
        </w:tc>
        <w:tc>
          <w:tcPr>
            <w:tcW w:w="4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b/>
                <w:bCs/>
                <w:color w:val="000000"/>
                <w:sz w:val="21"/>
                <w:szCs w:val="21"/>
              </w:rPr>
            </w:pPr>
            <w:r>
              <w:rPr>
                <w:rFonts w:hint="eastAsia" w:ascii="宋体"/>
                <w:b/>
                <w:bCs/>
                <w:color w:val="000000"/>
                <w:sz w:val="21"/>
                <w:szCs w:val="21"/>
              </w:rPr>
              <w:t>拟建项目可采取的对应措施</w:t>
            </w:r>
          </w:p>
        </w:tc>
        <w:tc>
          <w:tcPr>
            <w:tcW w:w="12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b/>
                <w:bCs/>
                <w:color w:val="000000"/>
                <w:sz w:val="21"/>
                <w:szCs w:val="21"/>
              </w:rPr>
            </w:pPr>
            <w:r>
              <w:rPr>
                <w:rFonts w:hint="eastAsia" w:ascii="宋体"/>
                <w:b/>
                <w:bCs/>
                <w:color w:val="000000"/>
                <w:sz w:val="21"/>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color w:val="000000"/>
                <w:sz w:val="21"/>
                <w:szCs w:val="21"/>
              </w:rPr>
            </w:pPr>
            <w:r>
              <w:rPr>
                <w:rFonts w:hint="eastAsia" w:ascii="宋体"/>
                <w:color w:val="000000"/>
                <w:sz w:val="21"/>
                <w:szCs w:val="21"/>
              </w:rPr>
              <w:t>1</w:t>
            </w:r>
          </w:p>
        </w:tc>
        <w:tc>
          <w:tcPr>
            <w:tcW w:w="226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color w:val="000000"/>
                <w:sz w:val="21"/>
                <w:szCs w:val="21"/>
              </w:rPr>
            </w:pPr>
            <w:r>
              <w:rPr>
                <w:rFonts w:hint="eastAsia"/>
                <w:color w:val="000000"/>
                <w:sz w:val="21"/>
                <w:szCs w:val="21"/>
                <w:lang w:val="en-US" w:eastAsia="zh-CN"/>
              </w:rPr>
              <w:t>保证农民工工资及时发放</w:t>
            </w:r>
          </w:p>
        </w:tc>
        <w:tc>
          <w:tcPr>
            <w:tcW w:w="4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color w:val="000000"/>
                <w:sz w:val="21"/>
                <w:szCs w:val="21"/>
              </w:rPr>
            </w:pPr>
            <w:r>
              <w:rPr>
                <w:rFonts w:hint="eastAsia" w:ascii="宋体"/>
                <w:color w:val="000000"/>
                <w:sz w:val="21"/>
                <w:szCs w:val="21"/>
                <w:lang w:eastAsia="zh-CN"/>
              </w:rPr>
              <w:t>建设单位应</w:t>
            </w:r>
            <w:r>
              <w:rPr>
                <w:rFonts w:hint="eastAsia" w:ascii="宋体"/>
                <w:color w:val="000000"/>
                <w:sz w:val="21"/>
                <w:szCs w:val="21"/>
              </w:rPr>
              <w:t>加快工程量的确认和进度款的审核，按合同要求支付工程预付款及进度款，确保施工单位按时发放农民工工资。</w:t>
            </w:r>
          </w:p>
        </w:tc>
        <w:tc>
          <w:tcPr>
            <w:tcW w:w="12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color w:val="000000"/>
                <w:sz w:val="21"/>
                <w:szCs w:val="21"/>
              </w:rPr>
            </w:pPr>
            <w:r>
              <w:rPr>
                <w:rFonts w:hint="eastAsia" w:ascii="宋体"/>
                <w:color w:val="000000"/>
                <w:sz w:val="21"/>
                <w:szCs w:val="21"/>
              </w:rPr>
              <w:t>诉求合理、措施得当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color w:val="000000"/>
                <w:sz w:val="21"/>
                <w:szCs w:val="21"/>
              </w:rPr>
            </w:pPr>
            <w:r>
              <w:rPr>
                <w:rFonts w:hint="eastAsia" w:ascii="宋体"/>
                <w:color w:val="000000"/>
                <w:sz w:val="21"/>
                <w:szCs w:val="21"/>
              </w:rPr>
              <w:t>2</w:t>
            </w:r>
          </w:p>
        </w:tc>
        <w:tc>
          <w:tcPr>
            <w:tcW w:w="226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color w:val="000000"/>
                <w:sz w:val="21"/>
                <w:szCs w:val="21"/>
              </w:rPr>
            </w:pPr>
            <w:r>
              <w:rPr>
                <w:rFonts w:hint="eastAsia" w:ascii="宋体"/>
                <w:color w:val="000000"/>
                <w:sz w:val="21"/>
                <w:szCs w:val="21"/>
              </w:rPr>
              <w:t>严格按照国家政策执行，对征用土地、草场、</w:t>
            </w:r>
            <w:r>
              <w:rPr>
                <w:rFonts w:hint="eastAsia"/>
                <w:color w:val="000000"/>
                <w:sz w:val="21"/>
                <w:szCs w:val="21"/>
                <w:lang w:val="en-US" w:eastAsia="zh-CN"/>
              </w:rPr>
              <w:t>房屋拆迁等</w:t>
            </w:r>
            <w:r>
              <w:rPr>
                <w:rFonts w:hint="eastAsia" w:ascii="宋体"/>
                <w:color w:val="000000"/>
                <w:sz w:val="21"/>
                <w:szCs w:val="21"/>
              </w:rPr>
              <w:t>等情况应给予足额</w:t>
            </w:r>
            <w:r>
              <w:rPr>
                <w:rFonts w:hint="eastAsia"/>
                <w:color w:val="000000"/>
                <w:sz w:val="21"/>
                <w:szCs w:val="21"/>
                <w:lang w:val="en-US" w:eastAsia="zh-CN"/>
              </w:rPr>
              <w:t>补偿</w:t>
            </w:r>
          </w:p>
        </w:tc>
        <w:tc>
          <w:tcPr>
            <w:tcW w:w="4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color w:val="000000"/>
                <w:sz w:val="21"/>
                <w:szCs w:val="21"/>
              </w:rPr>
            </w:pPr>
            <w:r>
              <w:rPr>
                <w:rFonts w:hint="eastAsia" w:ascii="宋体"/>
                <w:color w:val="000000"/>
                <w:sz w:val="21"/>
                <w:szCs w:val="21"/>
              </w:rPr>
              <w:t>应对被征用人提前做好征购费用构成成册解释及宣传，对工程永久占地</w:t>
            </w:r>
            <w:r>
              <w:rPr>
                <w:rFonts w:hint="eastAsia"/>
                <w:color w:val="000000"/>
                <w:sz w:val="21"/>
                <w:szCs w:val="21"/>
                <w:lang w:eastAsia="zh-CN"/>
              </w:rPr>
              <w:t>、</w:t>
            </w:r>
            <w:r>
              <w:rPr>
                <w:rFonts w:hint="eastAsia" w:ascii="宋体"/>
                <w:color w:val="000000"/>
                <w:sz w:val="21"/>
                <w:szCs w:val="21"/>
              </w:rPr>
              <w:t>临时占地</w:t>
            </w:r>
            <w:r>
              <w:rPr>
                <w:rFonts w:hint="eastAsia"/>
                <w:color w:val="000000"/>
                <w:sz w:val="21"/>
                <w:szCs w:val="21"/>
                <w:lang w:val="en-US" w:eastAsia="zh-CN"/>
              </w:rPr>
              <w:t>、</w:t>
            </w:r>
            <w:r>
              <w:rPr>
                <w:rFonts w:hint="eastAsia" w:ascii="宋体"/>
                <w:color w:val="000000"/>
                <w:sz w:val="21"/>
                <w:szCs w:val="21"/>
              </w:rPr>
              <w:t>草场</w:t>
            </w:r>
            <w:r>
              <w:rPr>
                <w:rFonts w:hint="eastAsia"/>
                <w:color w:val="000000"/>
                <w:sz w:val="21"/>
                <w:szCs w:val="21"/>
                <w:lang w:val="en-US" w:eastAsia="zh-CN"/>
              </w:rPr>
              <w:t>和拆迁安置等</w:t>
            </w:r>
            <w:r>
              <w:rPr>
                <w:rFonts w:hint="eastAsia" w:ascii="宋体"/>
                <w:color w:val="000000"/>
                <w:sz w:val="21"/>
                <w:szCs w:val="21"/>
              </w:rPr>
              <w:t>补偿</w:t>
            </w:r>
            <w:r>
              <w:rPr>
                <w:rFonts w:hint="eastAsia"/>
                <w:color w:val="000000"/>
                <w:sz w:val="21"/>
                <w:szCs w:val="21"/>
                <w:lang w:val="en-US" w:eastAsia="zh-CN"/>
              </w:rPr>
              <w:t>数额，</w:t>
            </w:r>
            <w:r>
              <w:rPr>
                <w:rFonts w:hint="eastAsia" w:ascii="宋体"/>
                <w:color w:val="000000"/>
                <w:sz w:val="21"/>
                <w:szCs w:val="21"/>
              </w:rPr>
              <w:t>尽量</w:t>
            </w:r>
            <w:r>
              <w:rPr>
                <w:rFonts w:hint="eastAsia"/>
                <w:color w:val="000000"/>
                <w:sz w:val="21"/>
                <w:szCs w:val="21"/>
                <w:lang w:val="en-US" w:eastAsia="zh-CN"/>
              </w:rPr>
              <w:t>自治区规定的</w:t>
            </w:r>
            <w:r>
              <w:rPr>
                <w:rFonts w:hint="eastAsia" w:ascii="宋体"/>
                <w:color w:val="000000"/>
                <w:sz w:val="21"/>
                <w:szCs w:val="21"/>
              </w:rPr>
              <w:t>高不就低的原则作为征购费用的估价方法。</w:t>
            </w:r>
          </w:p>
        </w:tc>
        <w:tc>
          <w:tcPr>
            <w:tcW w:w="12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color w:val="000000"/>
                <w:sz w:val="21"/>
                <w:szCs w:val="21"/>
              </w:rPr>
            </w:pPr>
            <w:r>
              <w:rPr>
                <w:rFonts w:hint="eastAsia" w:ascii="宋体"/>
                <w:color w:val="000000"/>
                <w:sz w:val="21"/>
                <w:szCs w:val="21"/>
              </w:rPr>
              <w:t>诉求合理、措施得当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1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9"/>
              <w:rPr>
                <w:rFonts w:hint="eastAsia" w:ascii="宋体" w:eastAsia="宋体"/>
                <w:color w:val="000000"/>
                <w:sz w:val="21"/>
                <w:szCs w:val="21"/>
                <w:lang w:val="en-US" w:eastAsia="zh-CN"/>
              </w:rPr>
            </w:pPr>
            <w:r>
              <w:rPr>
                <w:rFonts w:hint="eastAsia"/>
                <w:color w:val="000000"/>
                <w:sz w:val="21"/>
                <w:szCs w:val="21"/>
                <w:lang w:val="en-US" w:eastAsia="zh-CN"/>
              </w:rPr>
              <w:t>3</w:t>
            </w:r>
          </w:p>
        </w:tc>
        <w:tc>
          <w:tcPr>
            <w:tcW w:w="226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eastAsia="宋体"/>
                <w:color w:val="000000"/>
                <w:sz w:val="21"/>
                <w:szCs w:val="21"/>
                <w:lang w:val="en-US" w:eastAsia="zh-CN"/>
              </w:rPr>
            </w:pPr>
            <w:r>
              <w:rPr>
                <w:rFonts w:hint="eastAsia"/>
                <w:color w:val="000000"/>
                <w:sz w:val="21"/>
                <w:szCs w:val="21"/>
                <w:lang w:val="en-US" w:eastAsia="zh-CN"/>
              </w:rPr>
              <w:t>加强施工期间的安全管理</w:t>
            </w:r>
          </w:p>
        </w:tc>
        <w:tc>
          <w:tcPr>
            <w:tcW w:w="437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outlineLvl w:val="9"/>
              <w:rPr>
                <w:rFonts w:hint="eastAsia" w:ascii="宋体" w:eastAsia="宋体"/>
                <w:color w:val="000000"/>
                <w:sz w:val="21"/>
                <w:szCs w:val="21"/>
                <w:lang w:val="en-US" w:eastAsia="zh-CN"/>
              </w:rPr>
            </w:pPr>
            <w:r>
              <w:rPr>
                <w:rFonts w:hint="eastAsia"/>
                <w:color w:val="000000"/>
                <w:sz w:val="21"/>
                <w:szCs w:val="21"/>
                <w:lang w:val="en-US" w:eastAsia="zh-CN"/>
              </w:rPr>
              <w:t>建设单位和施工单位做好安全生产责任制的全面落实，树立安全第一，生命至上的工作原则，杜绝野蛮施工和抢工期的行为。</w:t>
            </w:r>
          </w:p>
        </w:tc>
        <w:tc>
          <w:tcPr>
            <w:tcW w:w="12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outlineLvl w:val="9"/>
              <w:rPr>
                <w:rFonts w:hint="eastAsia" w:ascii="宋体"/>
                <w:color w:val="000000"/>
                <w:sz w:val="21"/>
                <w:szCs w:val="21"/>
              </w:rPr>
            </w:pPr>
            <w:r>
              <w:rPr>
                <w:rFonts w:hint="eastAsia" w:ascii="宋体"/>
                <w:color w:val="000000"/>
                <w:sz w:val="21"/>
                <w:szCs w:val="21"/>
              </w:rPr>
              <w:t>诉求合理、措施得当</w:t>
            </w:r>
          </w:p>
        </w:tc>
      </w:tr>
    </w:tbl>
    <w:p>
      <w:pPr>
        <w:rPr>
          <w:rFonts w:hint="eastAsia"/>
          <w:color w:val="000000"/>
        </w:rPr>
      </w:pPr>
    </w:p>
    <w:p>
      <w:pPr>
        <w:snapToGrid w:val="0"/>
        <w:spacing w:before="156" w:beforeLines="50"/>
        <w:ind w:firstLine="0" w:firstLineChars="0"/>
        <w:outlineLvl w:val="1"/>
        <w:rPr>
          <w:rFonts w:hint="eastAsia" w:eastAsia="宋体"/>
          <w:b/>
          <w:color w:val="000000"/>
          <w:shd w:val="clear" w:color="auto" w:fill="auto"/>
          <w:lang w:eastAsia="zh-CN"/>
        </w:rPr>
      </w:pPr>
      <w:bookmarkStart w:id="38" w:name="_Toc9429"/>
      <w:bookmarkStart w:id="39" w:name="_Toc24210"/>
      <w:r>
        <w:rPr>
          <w:rStyle w:val="25"/>
          <w:rFonts w:hint="eastAsia"/>
          <w:color w:val="000000"/>
          <w:shd w:val="clear" w:color="auto" w:fill="auto"/>
        </w:rPr>
        <w:t>2.2风险识别和估计的评估</w:t>
      </w:r>
      <w:bookmarkEnd w:id="38"/>
      <w:bookmarkEnd w:id="39"/>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本项目社会稳定风险分析报告中，通过对项目</w:t>
      </w:r>
      <w:r>
        <w:rPr>
          <w:rFonts w:hint="eastAsia" w:cs="宋体"/>
          <w:color w:val="000000"/>
          <w:szCs w:val="24"/>
          <w:shd w:val="clear" w:color="auto" w:fill="auto"/>
          <w:lang w:val="en-US" w:eastAsia="zh-CN"/>
        </w:rPr>
        <w:t>可研</w:t>
      </w:r>
      <w:r>
        <w:rPr>
          <w:rFonts w:hint="eastAsia" w:cs="宋体"/>
          <w:color w:val="000000"/>
          <w:szCs w:val="24"/>
          <w:shd w:val="clear" w:color="auto" w:fill="auto"/>
          <w:lang w:val="zh-CN"/>
        </w:rPr>
        <w:t>报告、环境影响评价报告表等已取得的成果进行分析,结合</w:t>
      </w:r>
      <w:r>
        <w:rPr>
          <w:rFonts w:hint="eastAsia"/>
          <w:color w:val="000000"/>
          <w:shd w:val="clear" w:color="auto" w:fill="auto"/>
        </w:rPr>
        <w:t>自治区发展改革委关于《新疆维吾尔自治区发展改革委重大固定资产投资项目社会稳定风险评估暂行办法》的通知([2013]3211</w:t>
      </w:r>
      <w:r>
        <w:rPr>
          <w:color w:val="000000"/>
          <w:shd w:val="clear" w:color="auto" w:fill="auto"/>
        </w:rPr>
        <w:t>号</w:t>
      </w:r>
      <w:r>
        <w:rPr>
          <w:rFonts w:hint="eastAsia"/>
          <w:color w:val="000000"/>
          <w:shd w:val="clear" w:color="auto" w:fill="auto"/>
        </w:rPr>
        <w:t>)</w:t>
      </w:r>
      <w:r>
        <w:rPr>
          <w:rFonts w:hint="eastAsia" w:cs="宋体"/>
          <w:color w:val="000000"/>
          <w:szCs w:val="24"/>
          <w:shd w:val="clear" w:color="auto" w:fill="auto"/>
          <w:lang w:val="zh-CN"/>
        </w:rPr>
        <w:t>中明确要求开展的风险识别重点内容，建立了项目风险三维识别模型，运用关联矩阵进行初步筛选，并通过风险因素对照表、同类项目类比法进行了分析复核，确定主要的社会稳定风险单因素。包括：</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b/>
          <w:color w:val="000000"/>
        </w:rPr>
      </w:pPr>
      <w:r>
        <w:rPr>
          <w:rFonts w:hint="eastAsia" w:ascii="宋体" w:eastAsia="宋体" w:cs="宋体"/>
          <w:b/>
          <w:color w:val="000000"/>
        </w:rPr>
        <w:t>(1)土地及地面附着物征用及跨越补偿不到位风险；</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b/>
          <w:color w:val="000000"/>
        </w:rPr>
      </w:pPr>
      <w:r>
        <w:rPr>
          <w:rFonts w:hint="eastAsia" w:ascii="宋体" w:eastAsia="宋体" w:cs="宋体"/>
          <w:b/>
          <w:color w:val="000000"/>
        </w:rPr>
        <w:t>(2)碾压农作物及生态破坏引发公众抱怨；</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b/>
          <w:color w:val="000000"/>
        </w:rPr>
      </w:pPr>
      <w:r>
        <w:rPr>
          <w:rFonts w:hint="eastAsia" w:ascii="宋体" w:eastAsia="宋体" w:cs="宋体"/>
          <w:b/>
          <w:color w:val="000000"/>
        </w:rPr>
        <w:t>(3)</w:t>
      </w:r>
      <w:r>
        <w:rPr>
          <w:rFonts w:hint="eastAsia" w:ascii="宋体" w:eastAsia="宋体" w:cs="宋体"/>
          <w:b/>
          <w:color w:val="000000"/>
          <w:lang w:eastAsia="zh-CN"/>
        </w:rPr>
        <w:t>暴力恐怖袭击及自然灾害等各类原因导致电网大面积停电造成突发公共事件</w:t>
      </w:r>
      <w:r>
        <w:rPr>
          <w:rFonts w:hint="eastAsia" w:ascii="宋体" w:eastAsia="宋体" w:cs="宋体"/>
          <w:b/>
          <w:color w:val="000000"/>
        </w:rPr>
        <w:t>；</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b/>
          <w:color w:val="000000"/>
        </w:rPr>
      </w:pPr>
      <w:r>
        <w:rPr>
          <w:rFonts w:hint="eastAsia" w:ascii="宋体" w:eastAsia="宋体" w:cs="宋体"/>
          <w:b/>
          <w:color w:val="000000"/>
        </w:rPr>
        <w:t>(4)施工人员薪资纠纷所引发的群体性事件；</w:t>
      </w:r>
    </w:p>
    <w:p>
      <w:pPr>
        <w:keepNext w:val="0"/>
        <w:keepLines w:val="0"/>
        <w:pageBreakBefore w:val="0"/>
        <w:widowControl w:val="0"/>
        <w:kinsoku/>
        <w:wordWrap/>
        <w:overflowPunct/>
        <w:topLinePunct w:val="0"/>
        <w:autoSpaceDE/>
        <w:autoSpaceDN/>
        <w:bidi w:val="0"/>
        <w:adjustRightInd/>
        <w:snapToGrid w:val="0"/>
        <w:ind w:firstLine="477" w:firstLineChars="198"/>
        <w:textAlignment w:val="auto"/>
        <w:rPr>
          <w:rFonts w:hint="eastAsia" w:ascii="宋体" w:eastAsia="宋体" w:cs="宋体"/>
          <w:b/>
          <w:color w:val="000000"/>
        </w:rPr>
      </w:pPr>
      <w:r>
        <w:rPr>
          <w:rFonts w:hint="eastAsia" w:ascii="宋体" w:eastAsia="宋体" w:cs="宋体"/>
          <w:b/>
          <w:color w:val="000000"/>
        </w:rPr>
        <w:t>(5)安全生产事故善后处置不当引发纠纷；</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79" w:firstLineChars="199"/>
        <w:textAlignment w:val="auto"/>
        <w:rPr>
          <w:rFonts w:hint="eastAsia" w:ascii="宋体" w:eastAsia="宋体" w:cs="宋体"/>
          <w:b/>
          <w:color w:val="000000"/>
          <w:lang w:eastAsia="zh-CN"/>
        </w:rPr>
      </w:pPr>
      <w:r>
        <w:rPr>
          <w:rFonts w:hint="eastAsia" w:ascii="宋体" w:eastAsia="宋体" w:cs="宋体"/>
          <w:b/>
          <w:color w:val="000000"/>
          <w:lang w:eastAsia="zh-CN"/>
        </w:rPr>
        <w:t>(6)群众对电磁辐射误解而引发的风险；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79" w:firstLineChars="199"/>
        <w:textAlignment w:val="auto"/>
        <w:rPr>
          <w:rFonts w:hint="eastAsia" w:cs="宋体"/>
          <w:color w:val="000000"/>
          <w:szCs w:val="24"/>
          <w:shd w:val="clear" w:color="auto" w:fill="auto"/>
          <w:lang w:val="zh-CN" w:eastAsia="zh-CN"/>
        </w:rPr>
      </w:pPr>
      <w:r>
        <w:rPr>
          <w:rFonts w:hint="eastAsia" w:ascii="宋体" w:eastAsia="宋体" w:cs="宋体"/>
          <w:b/>
          <w:color w:val="000000"/>
          <w:lang w:eastAsia="zh-CN"/>
        </w:rPr>
        <w:t>(</w:t>
      </w:r>
      <w:r>
        <w:rPr>
          <w:rFonts w:hint="eastAsia" w:cs="宋体"/>
          <w:b/>
          <w:color w:val="000000"/>
          <w:lang w:val="en-US" w:eastAsia="zh-CN"/>
        </w:rPr>
        <w:t>7</w:t>
      </w:r>
      <w:r>
        <w:rPr>
          <w:rFonts w:hint="eastAsia" w:ascii="宋体" w:eastAsia="宋体" w:cs="宋体"/>
          <w:b/>
          <w:color w:val="000000"/>
          <w:lang w:eastAsia="zh-CN"/>
        </w:rPr>
        <w:t>)突发公共卫生事件引发的社会风险。</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在风险识别及防范措施方面，评估审查部门及专家重点提出了以下意见：</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(1)土地(农用地和林地等)及地面附着物征占用补偿事宜，应重点考虑：</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在项目施工前,建设单位必须严格按照国家、自治区及项目所在地</w:t>
      </w:r>
      <w:r>
        <w:rPr>
          <w:rFonts w:hint="eastAsia" w:cs="宋体"/>
          <w:color w:val="000000"/>
          <w:szCs w:val="24"/>
          <w:shd w:val="clear" w:color="auto" w:fill="auto"/>
          <w:lang w:val="en-US" w:eastAsia="zh-CN"/>
        </w:rPr>
        <w:t>土地</w:t>
      </w:r>
      <w:r>
        <w:rPr>
          <w:rFonts w:hint="eastAsia" w:cs="宋体"/>
          <w:color w:val="000000"/>
          <w:szCs w:val="24"/>
          <w:shd w:val="clear" w:color="auto" w:fill="auto"/>
          <w:lang w:val="zh-CN"/>
        </w:rPr>
        <w:t>主管部门(</w:t>
      </w:r>
      <w:r>
        <w:rPr>
          <w:rFonts w:hint="eastAsia" w:cs="宋体"/>
          <w:color w:val="000000"/>
          <w:szCs w:val="24"/>
          <w:shd w:val="clear" w:color="auto" w:fill="auto"/>
        </w:rPr>
        <w:t>自然资源局</w:t>
      </w:r>
      <w:r>
        <w:rPr>
          <w:rFonts w:hint="eastAsia" w:cs="宋体"/>
          <w:color w:val="000000"/>
          <w:szCs w:val="24"/>
          <w:shd w:val="clear" w:color="auto" w:fill="auto"/>
          <w:lang w:val="zh-CN"/>
        </w:rPr>
        <w:t>等相关单位)的要求核实项目占地等情况，同时应办理相关前期手续，确保项目顺利实施。征占用地过程中要耐心细致做好被征人的思想工作，按照土地征收的程序，征占用补偿方案应广泛征求民意、信息公开、程序正当、宣传解释到位，双方应公平公正地签订协议，及时足额支付补偿，绝不可采取简单粗暴的方法征收土地，要树立社会稳定意识，杜绝发生集体上访事件。</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(2)施工期拖欠农民工工资引发的风险，应重点考虑：选用有资质、信誉良好的建设单位参与本项目的施工建设。在农民工工资纠纷防范方面，应尽到责任，督促施工单位缴纳农民工工资保证金，签订好劳务合同，禁止层层转包，将风险提前化解。</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(3)安全生产事故引发的风险，应重点考虑：项目单位在运行中，应严格按照本项目分析、评估报告及当地电力公司要求以及本项目的安全评价报告及其批复要求，制定好电力施工安全、停电应急预案，保证当地电网安全,防止发生电力系统性崩溃事故。</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安全生产事故伤亡人员善后处置不当引发群体性事件，建设单位应监督施工各方提前缴纳工伤保险、意外伤害保险、安全责任险等相关保险。</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w:t>
      </w:r>
      <w:r>
        <w:rPr>
          <w:rFonts w:hint="eastAsia" w:cs="宋体"/>
          <w:color w:val="000000"/>
          <w:szCs w:val="24"/>
          <w:shd w:val="clear" w:color="auto" w:fill="auto"/>
        </w:rPr>
        <w:t>4</w:t>
      </w:r>
      <w:r>
        <w:rPr>
          <w:rFonts w:hint="eastAsia" w:cs="宋体"/>
          <w:color w:val="000000"/>
          <w:szCs w:val="24"/>
          <w:shd w:val="clear" w:color="auto" w:fill="auto"/>
          <w:lang w:val="zh-CN"/>
        </w:rPr>
        <w:t>)环境破坏引发的风险，应重点考虑：要求建设单位、施工单位务必履行生态环境保护的责任，做到不破坏当地生态环境，减少扬尘。在环境保护方面，施工过程中不能乱堆土、乱开道路，恢复原有地貌。</w:t>
      </w:r>
      <w:r>
        <w:rPr>
          <w:rFonts w:hint="eastAsia" w:cs="宋体"/>
          <w:color w:val="000000"/>
          <w:szCs w:val="24"/>
          <w:shd w:val="clear" w:color="auto" w:fill="auto"/>
        </w:rPr>
        <w:t>要做好固体废物的管理，特别是生活垃圾和施工废弃物，不得随意抛洒，应交付市政环卫部门合规处置。</w:t>
      </w:r>
      <w:r>
        <w:rPr>
          <w:rFonts w:hint="eastAsia" w:cs="宋体"/>
          <w:color w:val="000000"/>
          <w:szCs w:val="24"/>
          <w:shd w:val="clear" w:color="auto" w:fill="auto"/>
          <w:lang w:val="zh-CN"/>
        </w:rPr>
        <w:t>同时，应严格落实项目环评报告及其批复要求。</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评估认为，本项目风险识别的方法及逻辑关系较为准确，尤其是走访了当地主管部门，广泛征求了意见，且运用了同类项目的社会稳定风险案例，从而使风险识别较为全面，能够较好地结合实际。</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对风析报告中风险因素发生概率、影响程度和风险程度的分析较为可信，影响程度能够利用数据来量化说明，风险产生的原因和影响范围、表现形式分析合理。风险程度的确定符合编制大纲的要求。</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lang w:val="zh-CN"/>
        </w:rPr>
      </w:pPr>
      <w:r>
        <w:rPr>
          <w:rFonts w:hint="eastAsia" w:cs="宋体"/>
          <w:color w:val="000000"/>
          <w:szCs w:val="24"/>
          <w:shd w:val="clear" w:color="auto" w:fill="auto"/>
          <w:lang w:val="zh-CN"/>
        </w:rPr>
        <w:t>对拟建项目可能存在的重要风险因素的性质特征、未来变化趋势及可能造成的影响后果进行分析评估，形成评估后主要风险因素的风险程度汇总表，见表2.2-1。</w:t>
      </w:r>
    </w:p>
    <w:p>
      <w:pPr>
        <w:snapToGrid w:val="0"/>
        <w:spacing w:line="240" w:lineRule="atLeast"/>
        <w:ind w:firstLine="723" w:firstLineChars="300"/>
        <w:rPr>
          <w:rFonts w:hint="eastAsia"/>
          <w:b/>
          <w:color w:val="000000"/>
          <w:shd w:val="clear" w:color="auto" w:fill="auto"/>
        </w:rPr>
      </w:pPr>
      <w:r>
        <w:rPr>
          <w:rFonts w:hint="eastAsia"/>
          <w:b/>
          <w:color w:val="000000"/>
          <w:shd w:val="clear" w:color="auto" w:fill="auto"/>
        </w:rPr>
        <w:t>表2.2-1</w:t>
      </w:r>
      <w:r>
        <w:rPr>
          <w:rFonts w:hint="eastAsia"/>
          <w:b/>
          <w:color w:val="000000"/>
          <w:shd w:val="clear" w:color="auto" w:fill="auto"/>
          <w:lang w:val="en-US" w:eastAsia="zh-CN"/>
        </w:rPr>
        <w:t xml:space="preserve">      </w:t>
      </w:r>
      <w:r>
        <w:rPr>
          <w:rFonts w:hint="eastAsia"/>
          <w:b/>
          <w:color w:val="000000"/>
          <w:shd w:val="clear" w:color="auto" w:fill="auto"/>
        </w:rPr>
        <w:t>经评估的主要单因素风险及其风险程度汇总表</w:t>
      </w:r>
    </w:p>
    <w:tbl>
      <w:tblPr>
        <w:tblStyle w:val="21"/>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914"/>
        <w:gridCol w:w="1306"/>
        <w:gridCol w:w="1306"/>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color w:val="000000"/>
                <w:sz w:val="21"/>
                <w:szCs w:val="21"/>
              </w:rPr>
            </w:pPr>
            <w:r>
              <w:rPr>
                <w:rFonts w:hint="eastAsia" w:ascii="宋体" w:eastAsia="宋体" w:cs="宋体"/>
                <w:b/>
                <w:bCs/>
                <w:color w:val="000000"/>
                <w:sz w:val="21"/>
                <w:szCs w:val="21"/>
              </w:rPr>
              <w:t>序号</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color w:val="000000"/>
                <w:sz w:val="21"/>
                <w:szCs w:val="21"/>
              </w:rPr>
            </w:pPr>
            <w:r>
              <w:rPr>
                <w:rFonts w:hint="eastAsia" w:ascii="宋体" w:eastAsia="宋体" w:cs="宋体"/>
                <w:b/>
                <w:bCs/>
                <w:color w:val="000000"/>
                <w:sz w:val="21"/>
                <w:szCs w:val="21"/>
              </w:rPr>
              <w:t>风险因素(w)</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color w:val="000000"/>
                <w:sz w:val="21"/>
                <w:szCs w:val="21"/>
              </w:rPr>
            </w:pPr>
            <w:r>
              <w:rPr>
                <w:rFonts w:hint="eastAsia" w:ascii="宋体" w:eastAsia="宋体" w:cs="宋体"/>
                <w:b/>
                <w:bCs/>
                <w:color w:val="000000"/>
                <w:sz w:val="21"/>
                <w:szCs w:val="21"/>
              </w:rPr>
              <w:t>风险概率</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color w:val="000000"/>
                <w:sz w:val="21"/>
                <w:szCs w:val="21"/>
              </w:rPr>
            </w:pPr>
            <w:r>
              <w:rPr>
                <w:rFonts w:hint="eastAsia" w:ascii="宋体" w:eastAsia="宋体" w:cs="宋体"/>
                <w:b/>
                <w:bCs/>
                <w:color w:val="000000"/>
                <w:sz w:val="21"/>
                <w:szCs w:val="21"/>
              </w:rPr>
              <w:t>影响程度</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color w:val="000000"/>
                <w:sz w:val="21"/>
                <w:szCs w:val="21"/>
              </w:rPr>
            </w:pPr>
            <w:r>
              <w:rPr>
                <w:rFonts w:hint="eastAsia" w:ascii="宋体" w:eastAsia="宋体" w:cs="宋体"/>
                <w:b/>
                <w:bCs/>
                <w:color w:val="000000"/>
                <w:sz w:val="21"/>
                <w:szCs w:val="21"/>
              </w:rPr>
              <w:t>风险程度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土地及地面附着物征用及临时跨越补偿不到位引发群体性事件</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50%</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中等影响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一般</w:t>
            </w:r>
            <w:r>
              <w:rPr>
                <w:rFonts w:hint="eastAsia" w:ascii="宋体" w:eastAsia="宋体" w:cs="宋体"/>
                <w:color w:val="000000"/>
                <w:sz w:val="21"/>
                <w:szCs w:val="21"/>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碾压农作物及生态破坏引发公众抱怨</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30%</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较小</w:t>
            </w:r>
            <w:r>
              <w:rPr>
                <w:rFonts w:hint="eastAsia" w:ascii="宋体" w:eastAsia="宋体" w:cs="宋体"/>
                <w:color w:val="000000"/>
                <w:sz w:val="21"/>
                <w:szCs w:val="21"/>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施工人员薪资纠纷所引发的群体性事件</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50%</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中等影响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一般</w:t>
            </w:r>
            <w:r>
              <w:rPr>
                <w:rFonts w:hint="eastAsia" w:ascii="宋体" w:eastAsia="宋体" w:cs="宋体"/>
                <w:color w:val="000000"/>
                <w:sz w:val="21"/>
                <w:szCs w:val="21"/>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4</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安全生产事故善后处置不当引发纠纷</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w:t>
            </w:r>
            <w:r>
              <w:rPr>
                <w:rFonts w:hint="eastAsia" w:ascii="宋体" w:eastAsia="宋体" w:cs="宋体"/>
                <w:color w:val="000000"/>
                <w:sz w:val="21"/>
                <w:szCs w:val="21"/>
                <w:lang w:val="en-US" w:eastAsia="zh-CN"/>
              </w:rPr>
              <w:t>10</w:t>
            </w:r>
            <w:r>
              <w:rPr>
                <w:rFonts w:hint="eastAsia" w:ascii="宋体" w:eastAsia="宋体" w:cs="宋体"/>
                <w:color w:val="00000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lang w:eastAsia="zh-CN"/>
              </w:rPr>
            </w:pPr>
            <w:r>
              <w:rPr>
                <w:rFonts w:hint="eastAsia" w:ascii="宋体" w:eastAsia="宋体" w:cs="宋体"/>
                <w:color w:val="000000"/>
                <w:sz w:val="21"/>
                <w:szCs w:val="21"/>
                <w:lang w:eastAsia="zh-CN"/>
              </w:rPr>
              <w:t>暴力恐怖袭击及自然灾害等各类原因导致电网大面积停电造成突发公共事件</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w:t>
            </w:r>
            <w:r>
              <w:rPr>
                <w:rFonts w:hint="eastAsia" w:ascii="宋体" w:eastAsia="宋体" w:cs="宋体"/>
                <w:color w:val="000000"/>
                <w:sz w:val="21"/>
                <w:szCs w:val="21"/>
                <w:lang w:val="en-US" w:eastAsia="zh-CN"/>
              </w:rPr>
              <w:t>5</w:t>
            </w:r>
            <w:r>
              <w:rPr>
                <w:rFonts w:hint="eastAsia" w:ascii="宋体" w:eastAsia="宋体" w:cs="宋体"/>
                <w:color w:val="00000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较大影响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较小</w:t>
            </w:r>
            <w:r>
              <w:rPr>
                <w:rFonts w:hint="eastAsia" w:ascii="宋体" w:eastAsia="宋体" w:cs="宋体"/>
                <w:color w:val="000000"/>
                <w:sz w:val="21"/>
                <w:szCs w:val="21"/>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6</w:t>
            </w:r>
          </w:p>
        </w:tc>
        <w:tc>
          <w:tcPr>
            <w:tcW w:w="391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群众对电磁辐射误解而引发的风险</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50%</w:t>
            </w:r>
          </w:p>
        </w:tc>
        <w:tc>
          <w:tcPr>
            <w:tcW w:w="13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eastAsia="宋体" w:cs="宋体"/>
                <w:color w:val="000000"/>
                <w:sz w:val="21"/>
                <w:szCs w:val="21"/>
                <w:lang w:val="en-US" w:eastAsia="zh-CN"/>
              </w:rPr>
              <w:t>7</w:t>
            </w:r>
          </w:p>
        </w:tc>
        <w:tc>
          <w:tcPr>
            <w:tcW w:w="3914" w:type="dxa"/>
            <w:tcBorders>
              <w:top w:val="single" w:color="auto" w:sz="4" w:space="0"/>
              <w:left w:val="single" w:color="auto" w:sz="4" w:space="0"/>
              <w:bottom w:val="single" w:color="auto" w:sz="4" w:space="0"/>
              <w:right w:val="single" w:color="auto" w:sz="4" w:space="0"/>
            </w:tcBorders>
            <w:noWrap/>
            <w:vAlign w:val="center"/>
          </w:tcPr>
          <w:p>
            <w:pPr>
              <w:pStyle w:val="29"/>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val="en-US" w:eastAsia="zh-CN" w:bidi="ar-SA"/>
              </w:rPr>
              <w:t>突发公共卫生事件引发的社会风险</w:t>
            </w:r>
          </w:p>
        </w:tc>
        <w:tc>
          <w:tcPr>
            <w:tcW w:w="13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10</w:t>
            </w:r>
            <w:r>
              <w:rPr>
                <w:rFonts w:hint="eastAsia" w:ascii="宋体" w:eastAsia="宋体" w:cs="宋体"/>
                <w:color w:val="000000"/>
                <w:sz w:val="21"/>
                <w:szCs w:val="21"/>
              </w:rPr>
              <w:t>%</w:t>
            </w:r>
          </w:p>
        </w:tc>
        <w:tc>
          <w:tcPr>
            <w:tcW w:w="130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bidi="ar-SA"/>
              </w:rPr>
              <w:t>较大影响</w:t>
            </w:r>
          </w:p>
        </w:tc>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较小</w:t>
            </w:r>
            <w:r>
              <w:rPr>
                <w:rFonts w:hint="eastAsia" w:ascii="宋体" w:eastAsia="宋体" w:cs="宋体"/>
                <w:color w:val="000000"/>
                <w:sz w:val="21"/>
                <w:szCs w:val="21"/>
              </w:rPr>
              <w:t>风险</w:t>
            </w:r>
          </w:p>
        </w:tc>
      </w:tr>
    </w:tbl>
    <w:p>
      <w:pPr>
        <w:snapToGrid w:val="0"/>
        <w:rPr>
          <w:rFonts w:hint="eastAsia" w:cs="宋体"/>
          <w:color w:val="000000"/>
          <w:szCs w:val="24"/>
          <w:shd w:val="clear" w:color="auto" w:fill="auto"/>
          <w:lang w:val="zh-CN"/>
        </w:rPr>
      </w:pPr>
    </w:p>
    <w:p>
      <w:pPr>
        <w:pStyle w:val="3"/>
        <w:spacing w:before="156" w:beforeLines="50"/>
        <w:rPr>
          <w:rFonts w:hint="eastAsia"/>
          <w:color w:val="000000"/>
          <w:shd w:val="clear" w:color="auto" w:fill="auto"/>
        </w:rPr>
      </w:pPr>
      <w:bookmarkStart w:id="40" w:name="_Toc16703"/>
      <w:bookmarkStart w:id="41" w:name="_Toc10009"/>
      <w:r>
        <w:rPr>
          <w:rFonts w:hint="eastAsia"/>
          <w:color w:val="000000"/>
          <w:shd w:val="clear" w:color="auto" w:fill="auto"/>
        </w:rPr>
        <w:t>2.3风险防范和化解措施的评估</w:t>
      </w:r>
      <w:bookmarkEnd w:id="40"/>
      <w:bookmarkEnd w:id="41"/>
    </w:p>
    <w:p>
      <w:pPr>
        <w:widowControl/>
        <w:snapToGrid w:val="0"/>
        <w:rPr>
          <w:rFonts w:hint="eastAsia"/>
          <w:color w:val="000000"/>
          <w:shd w:val="clear" w:color="auto" w:fill="auto"/>
        </w:rPr>
      </w:pPr>
      <w:r>
        <w:rPr>
          <w:rFonts w:hint="eastAsia"/>
          <w:color w:val="000000"/>
          <w:shd w:val="clear" w:color="auto" w:fill="auto"/>
        </w:rPr>
        <w:t>本项目社会稳定风险分析报告中，通过使用预先危险性分析法来找出主要诱发因素，然后有针对性地提出了风险防范和化解措施，并明确了责任主体及完成节点要求，形成了风险防范、化解措施汇总表。同时提出了本项目应对突发事件总预案、各专项处置预案的主要内容。所提出的风险对策措施与现行的工伤保险、职业病预防、农民工工资保障等政策、法规是相符的，具有合法性和有效性。通过对每条措施明确责任主体、完成时间节点，具有可行性。此外，不仅制定了风险预防措施，体现源头治理，还明确了发生风险事件后的化解措施、应急预案，最大程度地减弱风险事件的影响程度和后果，所以从预防、化解两个角度来判定，风险应对措施具有可控性。</w:t>
      </w:r>
    </w:p>
    <w:p>
      <w:pPr>
        <w:widowControl/>
        <w:snapToGrid w:val="0"/>
        <w:ind w:firstLine="0" w:firstLineChars="0"/>
        <w:outlineLvl w:val="2"/>
        <w:rPr>
          <w:rFonts w:hint="eastAsia" w:eastAsia="宋体"/>
          <w:color w:val="000000"/>
          <w:shd w:val="clear" w:color="auto" w:fill="auto"/>
          <w:lang w:eastAsia="zh-CN"/>
        </w:rPr>
      </w:pPr>
      <w:r>
        <w:rPr>
          <w:rFonts w:hint="eastAsia"/>
          <w:b/>
          <w:color w:val="000000"/>
          <w:shd w:val="clear" w:color="auto" w:fill="auto"/>
        </w:rPr>
        <w:t>2.3.1风险防范措施的补充完善</w:t>
      </w:r>
    </w:p>
    <w:p>
      <w:pPr>
        <w:snapToGrid w:val="0"/>
        <w:rPr>
          <w:rFonts w:hint="eastAsia"/>
          <w:color w:val="000000"/>
          <w:shd w:val="clear" w:color="auto" w:fill="auto"/>
        </w:rPr>
      </w:pPr>
      <w:r>
        <w:rPr>
          <w:rFonts w:hint="eastAsia"/>
          <w:color w:val="000000"/>
          <w:shd w:val="clear" w:color="auto" w:fill="auto"/>
        </w:rPr>
        <w:t>结合风险识别和风险估计评估结论，补充、优化和完善风险防范、化解措施，进一步明确责任主体，制定经评估的风险防范、化解措施汇总，见表2.3-1。</w:t>
      </w:r>
    </w:p>
    <w:p>
      <w:pPr>
        <w:snapToGrid w:val="0"/>
        <w:spacing w:line="240" w:lineRule="atLeast"/>
        <w:ind w:firstLine="590" w:firstLineChars="245"/>
        <w:rPr>
          <w:rFonts w:hint="eastAsia"/>
          <w:b/>
          <w:color w:val="000000"/>
          <w:shd w:val="clear" w:color="auto" w:fill="auto"/>
        </w:rPr>
      </w:pPr>
      <w:r>
        <w:rPr>
          <w:rFonts w:hint="eastAsia"/>
          <w:b/>
          <w:color w:val="000000"/>
          <w:shd w:val="clear" w:color="auto" w:fill="auto"/>
        </w:rPr>
        <w:t>表2.3-1</w:t>
      </w:r>
      <w:r>
        <w:rPr>
          <w:rFonts w:hint="eastAsia"/>
          <w:b/>
          <w:color w:val="000000"/>
          <w:shd w:val="clear" w:color="auto" w:fill="auto"/>
          <w:lang w:val="en-US" w:eastAsia="zh-CN"/>
        </w:rPr>
        <w:t xml:space="preserve">         </w:t>
      </w:r>
      <w:r>
        <w:rPr>
          <w:rFonts w:hint="eastAsia"/>
          <w:b/>
          <w:color w:val="000000"/>
          <w:shd w:val="clear" w:color="auto" w:fill="auto"/>
        </w:rPr>
        <w:t>经评估的风险防范、化解措施汇总表</w:t>
      </w:r>
    </w:p>
    <w:tbl>
      <w:tblPr>
        <w:tblStyle w:val="21"/>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932"/>
        <w:gridCol w:w="993"/>
        <w:gridCol w:w="3592"/>
        <w:gridCol w:w="87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序号</w:t>
            </w:r>
          </w:p>
        </w:tc>
        <w:tc>
          <w:tcPr>
            <w:tcW w:w="9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风险发</w:t>
            </w:r>
          </w:p>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生阶段</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风险</w:t>
            </w:r>
          </w:p>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因素</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主要防范、化解措施</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完成</w:t>
            </w:r>
          </w:p>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节点</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bCs/>
                <w:snapToGrid w:val="0"/>
                <w:color w:val="000000"/>
                <w:kern w:val="0"/>
                <w:sz w:val="21"/>
                <w:szCs w:val="21"/>
              </w:rPr>
            </w:pPr>
            <w:r>
              <w:rPr>
                <w:rFonts w:hint="eastAsia" w:ascii="宋体" w:eastAsia="宋体" w:cs="宋体"/>
                <w:b/>
                <w:bCs/>
                <w:snapToGrid w:val="0"/>
                <w:color w:val="000000"/>
                <w:kern w:val="0"/>
                <w:sz w:val="21"/>
                <w:szCs w:val="21"/>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9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前期</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阶段</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前置要件不齐全，未按程序审批</w:t>
            </w:r>
          </w:p>
        </w:tc>
        <w:tc>
          <w:tcPr>
            <w:tcW w:w="3592" w:type="dxa"/>
            <w:tcBorders>
              <w:top w:val="single" w:color="auto" w:sz="4" w:space="0"/>
              <w:left w:val="single" w:color="auto" w:sz="4" w:space="0"/>
              <w:bottom w:val="single" w:color="auto" w:sz="4" w:space="0"/>
              <w:right w:val="single" w:color="auto" w:sz="4" w:space="0"/>
            </w:tcBorders>
            <w:noWrap/>
            <w:vAlign w:val="center"/>
          </w:tcPr>
          <w:p>
            <w:pPr>
              <w:rPr>
                <w:rFonts w:hint="eastAsia" w:ascii="宋体" w:eastAsia="宋体" w:cs="宋体"/>
                <w:color w:val="000000"/>
                <w:szCs w:val="21"/>
              </w:rPr>
            </w:pPr>
            <w:r>
              <w:rPr>
                <w:rFonts w:hint="eastAsia" w:ascii="宋体" w:eastAsia="宋体" w:cs="宋体"/>
                <w:color w:val="000000"/>
                <w:sz w:val="21"/>
                <w:szCs w:val="21"/>
              </w:rPr>
              <w:t>按程序落实审批工作。</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前期</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阶段</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9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施工准备阶段</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占用土地补偿不合理或未达到被拆迁者心理预期</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ascii="宋体" w:eastAsia="宋体" w:cs="宋体"/>
                <w:color w:val="000000"/>
                <w:sz w:val="21"/>
                <w:szCs w:val="21"/>
                <w:lang w:val="en-US" w:eastAsia="zh-CN"/>
              </w:rPr>
            </w:pPr>
            <w:r>
              <w:rPr>
                <w:rFonts w:hint="eastAsia" w:ascii="宋体" w:eastAsia="宋体" w:cs="宋体"/>
                <w:color w:val="000000"/>
                <w:sz w:val="21"/>
                <w:szCs w:val="21"/>
              </w:rPr>
              <w:t>加强对居民补偿金额各项构成的解释，估价方法以市场法估值为主，避免早期定额补偿标准较低。与相关管理单位建立良好的沟通渠道，对所占土地、损毁给予补偿。对工程永久和临时占用的土地，务必与当地土地部门提前沟通，按照自治区或当地补偿标准给予足额补偿，对所有相关征占地补偿款应区分类别，工作做细，准确缴纳给对应主管部门，防止造成部门之间的矛盾。在项目施工前必须依据当地城乡规划局出具的规划蓝线，做好土地补偿工作后方可开工建设。</w:t>
            </w:r>
            <w:r>
              <w:rPr>
                <w:rFonts w:hint="eastAsia" w:cs="宋体"/>
                <w:color w:val="000000"/>
                <w:sz w:val="21"/>
                <w:szCs w:val="21"/>
                <w:lang w:val="en-US" w:eastAsia="zh-CN"/>
              </w:rPr>
              <w:t>本工程在原预留场地内建设，无新增用地。</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工程施工前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9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阶段</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临时占地未按环保措施执行</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施工合同明文要求施工单位对环保措施的要求，提高生态环保措施在支付工程进度款的比重。</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工程施工过程中</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4</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施工期</w:t>
            </w:r>
          </w:p>
        </w:tc>
        <w:tc>
          <w:tcPr>
            <w:tcW w:w="993"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拖欠工程款或拖欠人工工资</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建立劳动争议调解委员会，掌控矛盾激化信息并提前排解</w:t>
            </w:r>
          </w:p>
        </w:tc>
        <w:tc>
          <w:tcPr>
            <w:tcW w:w="872"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对施工单位定标后</w:t>
            </w:r>
          </w:p>
        </w:tc>
        <w:tc>
          <w:tcPr>
            <w:tcW w:w="1492"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adjustRightInd w:val="0"/>
              <w:spacing w:line="240" w:lineRule="auto"/>
              <w:ind w:firstLine="0" w:firstLineChars="0"/>
              <w:jc w:val="center"/>
              <w:rPr>
                <w:rFonts w:hint="eastAsia" w:ascii="宋体" w:eastAsia="宋体" w:cs="宋体"/>
                <w:bCs/>
                <w:color w:val="00000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5</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snapToGrid w:val="0"/>
                <w:color w:val="000000"/>
                <w:kern w:val="0"/>
                <w:sz w:val="21"/>
                <w:szCs w:val="21"/>
              </w:rPr>
            </w:pPr>
            <w:r>
              <w:rPr>
                <w:rFonts w:hint="eastAsia" w:ascii="宋体" w:eastAsia="宋体" w:cs="宋体"/>
                <w:color w:val="000000"/>
                <w:sz w:val="21"/>
                <w:szCs w:val="21"/>
              </w:rPr>
              <w:t>督促施工单位，严格按照国家和</w:t>
            </w:r>
            <w:r>
              <w:rPr>
                <w:rFonts w:hint="eastAsia" w:ascii="宋体" w:eastAsia="宋体" w:cs="宋体"/>
                <w:color w:val="000000"/>
                <w:sz w:val="21"/>
                <w:szCs w:val="21"/>
                <w:lang w:val="en-US" w:eastAsia="zh-CN"/>
              </w:rPr>
              <w:t>自治区</w:t>
            </w:r>
            <w:r>
              <w:rPr>
                <w:rFonts w:hint="eastAsia" w:ascii="宋体" w:eastAsia="宋体" w:cs="宋体"/>
                <w:color w:val="000000"/>
                <w:sz w:val="21"/>
                <w:szCs w:val="21"/>
              </w:rPr>
              <w:t>有关建设项目农民工工资保证金管理暂行办法的要求缴纳农民工工资保证金。</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Cs/>
                <w:color w:val="000000"/>
                <w:sz w:val="21"/>
                <w:szCs w:val="21"/>
              </w:rPr>
            </w:pPr>
            <w:r>
              <w:rPr>
                <w:rFonts w:hint="eastAsia" w:ascii="宋体" w:eastAsia="宋体" w:cs="宋体"/>
                <w:color w:val="000000"/>
                <w:sz w:val="21"/>
                <w:szCs w:val="21"/>
              </w:rPr>
              <w:t>办理建设工程项目施工许可证之前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bCs/>
                <w:color w:val="000000"/>
                <w:sz w:val="21"/>
                <w:szCs w:val="21"/>
              </w:rPr>
            </w:pPr>
            <w:r>
              <w:rPr>
                <w:rFonts w:hint="eastAsia" w:ascii="宋体" w:eastAsia="宋体" w:cs="宋体"/>
                <w:snapToGrid w:val="0"/>
                <w:color w:val="000000"/>
                <w:kern w:val="0"/>
                <w:sz w:val="21"/>
                <w:szCs w:val="21"/>
              </w:rPr>
              <w:t>财务部门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6</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严格执行《中华人民共和国建筑法》，对主体工程禁止转包，严格违规分包、转包，严禁层层转包工程，严禁以低于成本价发包承揽工程。责任单位与建设单位签订安全协议。</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施工单位签定合同前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bCs/>
                <w:color w:val="000000"/>
                <w:sz w:val="21"/>
                <w:szCs w:val="21"/>
              </w:rPr>
            </w:pPr>
            <w:r>
              <w:rPr>
                <w:rFonts w:hint="eastAsia" w:ascii="宋体" w:eastAsia="宋体" w:cs="宋体"/>
                <w:snapToGrid w:val="0"/>
                <w:color w:val="000000"/>
                <w:kern w:val="0"/>
                <w:sz w:val="21"/>
                <w:szCs w:val="21"/>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7</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确保项目资金到位，按合同要求支付工程进度款</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竣工决算之前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bCs/>
                <w:color w:val="000000"/>
                <w:sz w:val="21"/>
                <w:szCs w:val="21"/>
              </w:rPr>
            </w:pPr>
            <w:r>
              <w:rPr>
                <w:rFonts w:hint="eastAsia" w:ascii="宋体" w:eastAsia="宋体" w:cs="宋体"/>
                <w:snapToGrid w:val="0"/>
                <w:color w:val="000000"/>
                <w:kern w:val="0"/>
                <w:sz w:val="21"/>
                <w:szCs w:val="21"/>
              </w:rPr>
              <w:t>财务部门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8</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监督检查施工单位规范施工、规范合同管理，劳务合同严禁转包；在实施过程中，谁发包谁负责。监督检查施工单位执行好农民工劳动合同及分包方施工合同，合同要件要全，质量验收标准要明确。</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竣工验收前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9</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监督检查施工单位严格执行《中华人民共和国劳动合同法》，与每一名农民工签定书面劳动合同。消除口头协议所带来的矛盾隐患。为农民工购买工伤保险。</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农民工进场前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10</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做好工程质量的三级报验，过程控制。及时解决工程量计量及已完工程质量异议，避免因纠纷处置不到位而延迟农民工工资发放。</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竣工验收前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11</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通过工程例会纪要，监理通知书或以工程联系单的形式要求施工单位在工资发放前应进行公示，对以工日计算工资的应公示出工表</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竣工验收前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12</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监督承包方将公示工资发放至个人；工资造表，现金发放到个人(或打卡)，禁止将农民工工资发到包工头。</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竣工验收前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13</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制定应急预案并定期演练</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对施工单位定标后</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14</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运行期</w:t>
            </w:r>
          </w:p>
        </w:tc>
        <w:tc>
          <w:tcPr>
            <w:tcW w:w="993"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暴力恐怖袭击及自然灾害等各类原因导致电网大面积停电造成突发公共事件</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高度重视电网反恐工作，落实</w:t>
            </w:r>
            <w:r>
              <w:rPr>
                <w:rFonts w:hint="eastAsia" w:ascii="宋体" w:eastAsia="宋体" w:cs="宋体"/>
                <w:color w:val="000000"/>
                <w:sz w:val="21"/>
                <w:szCs w:val="21"/>
                <w:lang w:eastAsia="zh-CN"/>
              </w:rPr>
              <w:t>人防、物防、技防</w:t>
            </w:r>
            <w:r>
              <w:rPr>
                <w:rFonts w:hint="eastAsia" w:ascii="宋体" w:eastAsia="宋体" w:cs="宋体"/>
                <w:color w:val="000000"/>
                <w:sz w:val="21"/>
                <w:szCs w:val="21"/>
              </w:rPr>
              <w:t>措施，加强巡检巡逻，加强对高压配电室的监控和要害部位出入管理。</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运行单位</w:t>
            </w:r>
            <w:r>
              <w:rPr>
                <w:rFonts w:hint="eastAsia" w:ascii="宋体" w:eastAsia="宋体" w:cs="宋体"/>
                <w:color w:val="000000"/>
                <w:sz w:val="21"/>
                <w:szCs w:val="21"/>
                <w:lang w:eastAsia="zh-CN"/>
              </w:rPr>
              <w:t>、</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保卫部门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snapToGrid w:val="0"/>
                <w:color w:val="000000"/>
                <w:kern w:val="0"/>
                <w:sz w:val="21"/>
                <w:szCs w:val="21"/>
                <w:lang w:val="en-US" w:eastAsia="zh-CN"/>
              </w:rPr>
            </w:pPr>
            <w:r>
              <w:rPr>
                <w:rFonts w:hint="eastAsia" w:eastAsia="宋体" w:cs="宋体"/>
                <w:snapToGrid w:val="0"/>
                <w:color w:val="000000"/>
                <w:kern w:val="0"/>
                <w:sz w:val="21"/>
                <w:szCs w:val="21"/>
                <w:lang w:val="en-US" w:eastAsia="zh-CN"/>
              </w:rPr>
              <w:t>15</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严格施工质量满足设计要求，设置线路及变电站自动保护装置。</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可研收口前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设计单位、项目管理部门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snapToGrid w:val="0"/>
                <w:color w:val="000000"/>
                <w:kern w:val="0"/>
                <w:sz w:val="21"/>
                <w:szCs w:val="21"/>
                <w:lang w:val="en-US" w:eastAsia="zh-CN"/>
              </w:rPr>
            </w:pPr>
            <w:r>
              <w:rPr>
                <w:rFonts w:hint="eastAsia" w:eastAsia="宋体" w:cs="宋体"/>
                <w:snapToGrid w:val="0"/>
                <w:color w:val="000000"/>
                <w:kern w:val="0"/>
                <w:sz w:val="21"/>
                <w:szCs w:val="21"/>
                <w:lang w:val="en-US" w:eastAsia="zh-CN"/>
              </w:rPr>
              <w:t>16</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实施预防式维修，加强点巡检，做好日常维护保养，发现隐患，及时处置。</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运行单位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snapToGrid w:val="0"/>
                <w:color w:val="000000"/>
                <w:kern w:val="0"/>
                <w:sz w:val="21"/>
                <w:szCs w:val="21"/>
              </w:rPr>
              <w:t>设备部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1</w:t>
            </w:r>
            <w:r>
              <w:rPr>
                <w:rFonts w:hint="eastAsia" w:eastAsia="宋体" w:cs="宋体"/>
                <w:snapToGrid w:val="0"/>
                <w:color w:val="000000"/>
                <w:kern w:val="0"/>
                <w:sz w:val="21"/>
                <w:szCs w:val="21"/>
                <w:lang w:val="en-US" w:eastAsia="zh-CN"/>
              </w:rPr>
              <w:t>7</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制定停电专项应急预案。做好应急资源的配置，加强应急演练，提高应对突发事故的操作技能。做好事故件的识别和储备。提前掌握备品备件的货源供应商。</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试运行前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运行单位</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snapToGrid w:val="0"/>
                <w:color w:val="000000"/>
                <w:kern w:val="0"/>
                <w:sz w:val="21"/>
                <w:szCs w:val="21"/>
              </w:rPr>
              <w:t>安监部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1</w:t>
            </w:r>
            <w:r>
              <w:rPr>
                <w:rFonts w:hint="eastAsia" w:eastAsia="宋体" w:cs="宋体"/>
                <w:snapToGrid w:val="0"/>
                <w:color w:val="000000"/>
                <w:kern w:val="0"/>
                <w:sz w:val="21"/>
                <w:szCs w:val="21"/>
                <w:lang w:val="en-US" w:eastAsia="zh-CN"/>
              </w:rPr>
              <w:t>8</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做好对用电侧用户安全教育，做好输变电设施安全保护宣传，加强输变电巡检。</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运行单位</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snapToGrid w:val="0"/>
                <w:color w:val="000000"/>
                <w:kern w:val="0"/>
                <w:sz w:val="21"/>
                <w:szCs w:val="21"/>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snapToGrid w:val="0"/>
                <w:color w:val="000000"/>
                <w:kern w:val="0"/>
                <w:sz w:val="21"/>
                <w:szCs w:val="21"/>
                <w:lang w:val="en-US" w:eastAsia="zh-CN"/>
              </w:rPr>
            </w:pPr>
            <w:r>
              <w:rPr>
                <w:rFonts w:hint="eastAsia" w:eastAsia="宋体" w:cs="宋体"/>
                <w:snapToGrid w:val="0"/>
                <w:color w:val="000000"/>
                <w:kern w:val="0"/>
                <w:sz w:val="21"/>
                <w:szCs w:val="21"/>
                <w:lang w:val="en-US" w:eastAsia="zh-CN"/>
              </w:rPr>
              <w:t>19</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统一安排电力系统运行方式，统筹好系统备用容量。</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运行工区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0</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对电网、电厂、用户建立统一调度，对不服从调度指挥的用户、电厂严格考核。</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试运行前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电网调度</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1</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对高压配电室，加装防误操作系统，做到本质安全化。</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竣工</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验收前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2</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严格工艺纪律，加强工艺操作技能的培训，变电站工艺系统按本质安全化设计，从根源上避开员工误操作。</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运行单位</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3</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统一信息发布内容，及时、准确地发布信息，正确引导舆情，发现背离客观事实的报导后，及时采取纠偏和应对措施</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运行单位</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党群部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4</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运行期</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退役期</w:t>
            </w:r>
          </w:p>
        </w:tc>
        <w:tc>
          <w:tcPr>
            <w:tcW w:w="993"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安全生产事故善后处置不当引发风险</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施工人员经过专业学习培训持证上岗，做好安全交底，认真执行施工方案，个人安全防护到位，管理人员按规程指挥。</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施工作业前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5</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按“三同时”的要求，落实安全预评价报告中有关防高处坠落、防机械伤害、防触电等安全防范措施，落实安全生产责任制，执行好安全隐患排查计划，健全安全标准化管理，杜绝三违，从源头预防和过程控制中杜绝安全生产事故发生。</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全过程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6</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严格按国家规定保证安全投入，安全费用必须专款专用</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试生产前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lang w:eastAsia="zh-CN"/>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7</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按照《工伤保险条例》的要求为单位全部农民工或者雇工缴纳工伤保险费。保证财务现金流充沛，为安全生产事故善后处置预留应急备用金。</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签定劳动合同的当月</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施工单位、建设单位人力资源部门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2</w:t>
            </w:r>
            <w:r>
              <w:rPr>
                <w:rFonts w:hint="eastAsia" w:eastAsia="宋体" w:cs="宋体"/>
                <w:snapToGrid w:val="0"/>
                <w:color w:val="000000"/>
                <w:kern w:val="0"/>
                <w:sz w:val="21"/>
                <w:szCs w:val="21"/>
                <w:lang w:val="en-US" w:eastAsia="zh-CN"/>
              </w:rPr>
              <w:t>8</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建立健全安全生产应急救援预案并定期演练，发生事故后，应急指挥部迅速发挥职能，及时全力开展搜救、救治，最大限度减少人员伤亡。</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立即</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建设单位、施工单位各部门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snapToGrid w:val="0"/>
                <w:color w:val="000000"/>
                <w:kern w:val="0"/>
                <w:sz w:val="21"/>
                <w:szCs w:val="21"/>
                <w:lang w:val="en-US" w:eastAsia="zh-CN"/>
              </w:rPr>
            </w:pPr>
            <w:r>
              <w:rPr>
                <w:rFonts w:hint="eastAsia" w:eastAsia="宋体" w:cs="宋体"/>
                <w:snapToGrid w:val="0"/>
                <w:color w:val="000000"/>
                <w:kern w:val="0"/>
                <w:sz w:val="21"/>
                <w:szCs w:val="21"/>
                <w:lang w:val="en-US" w:eastAsia="zh-CN"/>
              </w:rPr>
              <w:t>29</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成立善后工作组，对伤亡或失踪家属耐心进行精神抚慰，细致做好安抚工作，送去温暖及关怀。做好对亲属的食宿接待、迎送等份内工作，并帮助解决生活困难。</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事故发生后立即实施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建设单位、施工单位党群、人事部门、</w:t>
            </w:r>
            <w:r>
              <w:rPr>
                <w:rFonts w:hint="eastAsia" w:ascii="宋体" w:eastAsia="宋体" w:cs="宋体"/>
                <w:snapToGrid w:val="0"/>
                <w:color w:val="000000"/>
                <w:kern w:val="0"/>
                <w:sz w:val="21"/>
                <w:szCs w:val="21"/>
                <w:lang w:eastAsia="zh-CN"/>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0</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工作做细，尽最大可能减轻家属人伤痛，在细节上、程序上做到位。</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事故发生后立即实施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建设单位、施工单位党群、人事部门、</w:t>
            </w:r>
            <w:r>
              <w:rPr>
                <w:rFonts w:hint="eastAsia" w:ascii="宋体" w:eastAsia="宋体" w:cs="宋体"/>
                <w:snapToGrid w:val="0"/>
                <w:color w:val="000000"/>
                <w:kern w:val="0"/>
                <w:sz w:val="21"/>
                <w:szCs w:val="21"/>
                <w:lang w:eastAsia="zh-CN"/>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1</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与当事人供养直系亲属签订赔偿协议，严格按国家标准及时足额赔偿到位，对生活困难的遇险农民工家庭实施救济，对部分人员家属就医、孩子上学方面提供帮助。</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事故发生后立即实施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建设单位、施工单位党群、人事部门、</w:t>
            </w:r>
            <w:r>
              <w:rPr>
                <w:rFonts w:hint="eastAsia" w:ascii="宋体" w:eastAsia="宋体" w:cs="宋体"/>
                <w:snapToGrid w:val="0"/>
                <w:color w:val="000000"/>
                <w:kern w:val="0"/>
                <w:sz w:val="21"/>
                <w:szCs w:val="21"/>
                <w:lang w:eastAsia="zh-CN"/>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2</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严格按“四不放过”的要求查清事故原因，追究责任，并将真实信息及时反馈给当事人亲属。</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事故发生后立即实施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lang w:eastAsia="zh-CN"/>
              </w:rPr>
              <w:t>应急管理部门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3</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发生事故后，统一信息发布内容，及时、准确地发布信息，充分做好舆情应对。</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事故发生后立即实施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党群部门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4</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建设期</w:t>
            </w:r>
          </w:p>
        </w:tc>
        <w:tc>
          <w:tcPr>
            <w:tcW w:w="993"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color w:val="000000"/>
                <w:sz w:val="21"/>
                <w:szCs w:val="21"/>
              </w:rPr>
              <w:t>碾压农作物及生态破坏引发公众抱怨</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在施工合同中约定，施工单位塔座施工场地区、施工便道、临设、材料堆场等施工区域限定在指定占地范围，禁止超占乱占土地。</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签定施工合同时</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5</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要求施工单位减少对表层扰动，规范行驶路线。施工完毕后，对土地进行平整。</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签定施工、监理合同时</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建设单位、项目管理部门</w:t>
            </w:r>
          </w:p>
          <w:p>
            <w:pPr>
              <w:spacing w:line="240" w:lineRule="auto"/>
              <w:ind w:firstLine="210" w:firstLineChars="10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6</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对永久占地损坏植被，尤其是永久性破坏植被生长的应按国家有关规定支付补偿费用。</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建设单位、项目管理部门</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7</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对临时占地损坏的植被，应提前做好统计工作，并预留保证金，按规定在相关管理单位放置押金，按国家规定支付补偿费用，补偿费用应列入工程预算中。施工完毕后，务必保证恢复原貌，不得影响原使用功能。</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3</w:t>
            </w:r>
            <w:r>
              <w:rPr>
                <w:rFonts w:hint="eastAsia" w:eastAsia="宋体" w:cs="宋体"/>
                <w:snapToGrid w:val="0"/>
                <w:color w:val="000000"/>
                <w:kern w:val="0"/>
                <w:sz w:val="21"/>
                <w:szCs w:val="21"/>
                <w:lang w:val="en-US" w:eastAsia="zh-CN"/>
              </w:rPr>
              <w:t>8</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在施工合同中约定，施工单位施工机具、人员必须按指定路线进场，严禁破坏生态环境。</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签定施工合同时</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snapToGrid w:val="0"/>
                <w:color w:val="000000"/>
                <w:kern w:val="0"/>
                <w:sz w:val="21"/>
                <w:szCs w:val="21"/>
                <w:lang w:val="en-US" w:eastAsia="zh-CN"/>
              </w:rPr>
            </w:pPr>
            <w:r>
              <w:rPr>
                <w:rFonts w:hint="eastAsia" w:eastAsia="宋体" w:cs="宋体"/>
                <w:snapToGrid w:val="0"/>
                <w:color w:val="000000"/>
                <w:kern w:val="0"/>
                <w:sz w:val="21"/>
                <w:szCs w:val="21"/>
                <w:lang w:val="en-US" w:eastAsia="zh-CN"/>
              </w:rPr>
              <w:t>39</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监督管理施工单位做到工完料净场地清，对弃土弃渣、建筑施工及生活垃圾集中堆放处理，保护环境。</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4</w:t>
            </w:r>
            <w:r>
              <w:rPr>
                <w:rFonts w:hint="eastAsia" w:eastAsia="宋体" w:cs="宋体"/>
                <w:snapToGrid w:val="0"/>
                <w:color w:val="000000"/>
                <w:kern w:val="0"/>
                <w:sz w:val="21"/>
                <w:szCs w:val="21"/>
                <w:lang w:val="en-US" w:eastAsia="zh-CN"/>
              </w:rPr>
              <w:t>0</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严禁随意破坏植被、扑杀野生动物，线路占用</w:t>
            </w:r>
            <w:r>
              <w:rPr>
                <w:rFonts w:hint="eastAsia" w:ascii="宋体" w:eastAsia="宋体" w:cs="宋体"/>
                <w:color w:val="000000"/>
                <w:sz w:val="21"/>
                <w:szCs w:val="21"/>
                <w:lang w:eastAsia="zh-CN"/>
              </w:rPr>
              <w:t>农田</w:t>
            </w:r>
            <w:r>
              <w:rPr>
                <w:rFonts w:hint="eastAsia" w:ascii="宋体" w:eastAsia="宋体" w:cs="宋体"/>
                <w:color w:val="000000"/>
                <w:sz w:val="21"/>
                <w:szCs w:val="21"/>
              </w:rPr>
              <w:t>时必需提前与相关单位联系对接，办理相关征占手续</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施工过程</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运行期</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r>
              <w:rPr>
                <w:rFonts w:hint="eastAsia" w:ascii="宋体" w:eastAsia="宋体" w:cs="宋体"/>
                <w:snapToGrid w:val="0"/>
                <w:color w:val="000000"/>
                <w:kern w:val="0"/>
                <w:sz w:val="21"/>
                <w:szCs w:val="21"/>
              </w:rPr>
              <w:t>项目管理部门</w:t>
            </w:r>
            <w:r>
              <w:rPr>
                <w:rFonts w:hint="eastAsia" w:ascii="宋体" w:eastAsia="宋体" w:cs="宋体"/>
                <w:snapToGrid w:val="0"/>
                <w:color w:val="000000"/>
                <w:kern w:val="0"/>
                <w:sz w:val="21"/>
                <w:szCs w:val="21"/>
                <w:lang w:eastAsia="zh-CN"/>
              </w:rPr>
              <w:t>、</w:t>
            </w: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4</w:t>
            </w:r>
            <w:r>
              <w:rPr>
                <w:rFonts w:hint="eastAsia" w:eastAsia="宋体" w:cs="宋体"/>
                <w:snapToGrid w:val="0"/>
                <w:color w:val="000000"/>
                <w:kern w:val="0"/>
                <w:sz w:val="21"/>
                <w:szCs w:val="21"/>
                <w:lang w:val="en-US" w:eastAsia="zh-CN"/>
              </w:rPr>
              <w:t>1</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在监理合同中，明确环保监理要求。</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签定监理合同时</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4</w:t>
            </w:r>
            <w:r>
              <w:rPr>
                <w:rFonts w:hint="eastAsia" w:eastAsia="宋体" w:cs="宋体"/>
                <w:snapToGrid w:val="0"/>
                <w:color w:val="000000"/>
                <w:kern w:val="0"/>
                <w:sz w:val="21"/>
                <w:szCs w:val="21"/>
                <w:lang w:val="en-US" w:eastAsia="zh-CN"/>
              </w:rPr>
              <w:t>2</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避免乱开乱挖，减缓对生态环境影响。</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设计前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4</w:t>
            </w:r>
            <w:r>
              <w:rPr>
                <w:rFonts w:hint="eastAsia" w:eastAsia="宋体" w:cs="宋体"/>
                <w:snapToGrid w:val="0"/>
                <w:color w:val="000000"/>
                <w:kern w:val="0"/>
                <w:sz w:val="21"/>
                <w:szCs w:val="21"/>
                <w:lang w:val="en-US" w:eastAsia="zh-CN"/>
              </w:rPr>
              <w:t>3</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砂石料坑，要求施工单位统一规划，不要乱采乱挖。防止水土流失。</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设计前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lang w:eastAsia="zh-CN"/>
              </w:rPr>
            </w:pPr>
            <w:r>
              <w:rPr>
                <w:rFonts w:hint="eastAsia" w:ascii="宋体" w:eastAsia="宋体" w:cs="宋体"/>
                <w:snapToGrid w:val="0"/>
                <w:color w:val="000000"/>
                <w:kern w:val="0"/>
                <w:sz w:val="21"/>
                <w:szCs w:val="21"/>
              </w:rPr>
              <w:t>4</w:t>
            </w:r>
            <w:r>
              <w:rPr>
                <w:rFonts w:hint="eastAsia" w:eastAsia="宋体" w:cs="宋体"/>
                <w:snapToGrid w:val="0"/>
                <w:color w:val="000000"/>
                <w:kern w:val="0"/>
                <w:sz w:val="21"/>
                <w:szCs w:val="21"/>
                <w:lang w:val="en-US" w:eastAsia="zh-CN"/>
              </w:rPr>
              <w:t>4</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设计时，应充分考虑节约用地、集约用地，进站道路、检修道路、给排水管道等，应统筹规划，尽可能共用，以减少用土，降低对生态环境影响的强度。</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设计前</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9"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ascii="宋体" w:eastAsia="宋体" w:cs="宋体"/>
                <w:color w:val="000000"/>
                <w:sz w:val="21"/>
                <w:szCs w:val="21"/>
              </w:rPr>
              <w:t>4</w:t>
            </w:r>
            <w:r>
              <w:rPr>
                <w:rFonts w:hint="eastAsia" w:eastAsia="宋体" w:cs="宋体"/>
                <w:color w:val="000000"/>
                <w:sz w:val="21"/>
                <w:szCs w:val="21"/>
                <w:lang w:val="en-US" w:eastAsia="zh-CN"/>
              </w:rPr>
              <w:t>5</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Cs w:val="21"/>
              </w:rPr>
            </w:pPr>
            <w:r>
              <w:rPr>
                <w:rFonts w:hint="eastAsia" w:ascii="宋体" w:eastAsia="宋体" w:cs="宋体"/>
                <w:color w:val="000000"/>
                <w:sz w:val="21"/>
                <w:szCs w:val="21"/>
              </w:rPr>
              <w:t>在施工及监理合同中，明确监理、施工单位保护生态、文明施工的责任，明确谁侵犯利益，由谁来补偿。项目单位及监理应加强施工监督检查。</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ascii="宋体" w:eastAsia="宋体" w:cs="宋体"/>
                <w:color w:val="000000"/>
                <w:sz w:val="21"/>
                <w:szCs w:val="21"/>
              </w:rPr>
              <w:t>4</w:t>
            </w:r>
            <w:r>
              <w:rPr>
                <w:rFonts w:hint="eastAsia" w:eastAsia="宋体" w:cs="宋体"/>
                <w:color w:val="000000"/>
                <w:sz w:val="21"/>
                <w:szCs w:val="21"/>
                <w:lang w:val="en-US" w:eastAsia="zh-CN"/>
              </w:rPr>
              <w:t>6</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按水土保持方案的要求、环评批复的要求，对临时占用的土地，恢复原有土地功能和植被形态，不能恢复的，应给予补偿。</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施工结束后</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ascii="宋体" w:eastAsia="宋体" w:cs="宋体"/>
                <w:color w:val="000000"/>
                <w:sz w:val="21"/>
                <w:szCs w:val="21"/>
              </w:rPr>
              <w:t>4</w:t>
            </w:r>
            <w:r>
              <w:rPr>
                <w:rFonts w:hint="eastAsia" w:eastAsia="宋体" w:cs="宋体"/>
                <w:color w:val="000000"/>
                <w:sz w:val="21"/>
                <w:szCs w:val="21"/>
                <w:lang w:val="en-US" w:eastAsia="zh-CN"/>
              </w:rPr>
              <w:t>7</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教育施工单位，严禁砍伐植被做为生活用柴，架火做饭或取暖。</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施工</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过程</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建设单位</w:t>
            </w:r>
            <w:r>
              <w:rPr>
                <w:rFonts w:hint="eastAsia" w:ascii="宋体" w:eastAsia="宋体" w:cs="宋体"/>
                <w:snapToGrid w:val="0"/>
                <w:color w:val="000000"/>
                <w:kern w:val="0"/>
                <w:sz w:val="21"/>
                <w:szCs w:val="21"/>
                <w:lang w:eastAsia="zh-CN"/>
              </w:rPr>
              <w:t>、</w:t>
            </w:r>
          </w:p>
          <w:p>
            <w:pPr>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项目管理部门</w:t>
            </w:r>
            <w:r>
              <w:rPr>
                <w:rFonts w:hint="eastAsia" w:ascii="宋体" w:eastAsia="宋体" w:cs="宋体"/>
                <w:snapToGrid w:val="0"/>
                <w:color w:val="000000"/>
                <w:kern w:val="0"/>
                <w:sz w:val="21"/>
                <w:szCs w:val="21"/>
                <w:lang w:eastAsia="zh-CN"/>
              </w:rPr>
              <w:t>、</w:t>
            </w:r>
            <w:r>
              <w:rPr>
                <w:rFonts w:hint="eastAsia" w:ascii="宋体" w:eastAsia="宋体" w:cs="宋体"/>
                <w:snapToGrid w:val="0"/>
                <w:color w:val="000000"/>
                <w:kern w:val="0"/>
                <w:sz w:val="21"/>
                <w:szCs w:val="21"/>
              </w:rPr>
              <w:t>施工单位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color w:val="000000"/>
                <w:sz w:val="21"/>
                <w:szCs w:val="21"/>
                <w:lang w:val="en-US" w:eastAsia="zh-CN"/>
              </w:rPr>
            </w:pPr>
            <w:r>
              <w:rPr>
                <w:rFonts w:hint="eastAsia" w:eastAsia="宋体" w:cs="宋体"/>
                <w:color w:val="000000"/>
                <w:sz w:val="21"/>
                <w:szCs w:val="21"/>
                <w:lang w:val="en-US" w:eastAsia="zh-CN"/>
              </w:rPr>
              <w:t>48</w:t>
            </w:r>
          </w:p>
        </w:tc>
        <w:tc>
          <w:tcPr>
            <w:tcW w:w="9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ascii="宋体" w:eastAsia="宋体" w:cs="宋体"/>
                <w:color w:val="000000"/>
                <w:sz w:val="21"/>
                <w:szCs w:val="21"/>
                <w:lang w:eastAsia="zh-CN"/>
              </w:rPr>
              <w:t>运营期</w:t>
            </w:r>
          </w:p>
        </w:tc>
        <w:tc>
          <w:tcPr>
            <w:tcW w:w="99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eastAsia="zh-CN"/>
              </w:rPr>
            </w:pPr>
            <w:r>
              <w:rPr>
                <w:rFonts w:hint="eastAsia" w:ascii="宋体" w:eastAsia="宋体" w:cs="宋体"/>
                <w:color w:val="000000"/>
                <w:sz w:val="21"/>
                <w:szCs w:val="21"/>
                <w:lang w:eastAsia="zh-CN"/>
              </w:rPr>
              <w:t>群众对电磁辐射误解而引发的风险</w:t>
            </w:r>
          </w:p>
        </w:tc>
        <w:tc>
          <w:tcPr>
            <w:tcW w:w="3592" w:type="dxa"/>
            <w:tcBorders>
              <w:top w:val="single" w:color="auto" w:sz="4" w:space="0"/>
              <w:left w:val="single" w:color="auto" w:sz="4" w:space="0"/>
              <w:bottom w:val="single" w:color="auto" w:sz="4" w:space="0"/>
              <w:right w:val="single" w:color="auto" w:sz="4" w:space="0"/>
            </w:tcBorders>
            <w:noWrap/>
            <w:vAlign w:val="center"/>
          </w:tcPr>
          <w:p>
            <w:pPr>
              <w:pStyle w:val="29"/>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val="en-US" w:eastAsia="zh-CN"/>
              </w:rPr>
              <w:t>1.</w:t>
            </w:r>
            <w:r>
              <w:rPr>
                <w:rFonts w:hint="eastAsia" w:ascii="宋体" w:eastAsia="宋体" w:cs="宋体"/>
                <w:color w:val="000000"/>
                <w:sz w:val="21"/>
                <w:szCs w:val="21"/>
              </w:rPr>
              <w:t>加大宣传力度，科学解释疏导。</w:t>
            </w:r>
          </w:p>
          <w:p>
            <w:pPr>
              <w:pStyle w:val="29"/>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lang w:val="en-US" w:eastAsia="zh-CN"/>
              </w:rPr>
              <w:t>2.</w:t>
            </w:r>
            <w:r>
              <w:rPr>
                <w:rFonts w:hint="eastAsia" w:ascii="宋体" w:eastAsia="宋体" w:cs="宋体"/>
                <w:color w:val="000000"/>
                <w:sz w:val="21"/>
                <w:szCs w:val="21"/>
              </w:rPr>
              <w:t>按照环评报告的要求，严格执行电磁辐射保护措施。</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常态化</w:t>
            </w:r>
          </w:p>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工作</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eastAsia="zh-CN"/>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ascii="宋体" w:eastAsia="宋体" w:cs="宋体"/>
                <w:color w:val="000000"/>
                <w:sz w:val="21"/>
                <w:szCs w:val="21"/>
                <w:lang w:val="en-US" w:eastAsia="zh-CN"/>
              </w:rPr>
            </w:pPr>
            <w:r>
              <w:rPr>
                <w:rFonts w:hint="eastAsia" w:eastAsia="宋体" w:cs="宋体"/>
                <w:color w:val="000000"/>
                <w:sz w:val="21"/>
                <w:szCs w:val="21"/>
                <w:lang w:val="en-US" w:eastAsia="zh-CN"/>
              </w:rPr>
              <w:t>49</w:t>
            </w:r>
          </w:p>
        </w:tc>
        <w:tc>
          <w:tcPr>
            <w:tcW w:w="932"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lang w:eastAsia="zh-CN"/>
              </w:rPr>
              <w:t>施工期、运行期</w:t>
            </w:r>
          </w:p>
        </w:tc>
        <w:tc>
          <w:tcPr>
            <w:tcW w:w="993" w:type="dxa"/>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rPr>
              <w:t>突发公共卫生事件</w:t>
            </w: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val="en-US" w:eastAsia="zh-CN"/>
              </w:rPr>
            </w:pPr>
            <w:r>
              <w:rPr>
                <w:rFonts w:hint="eastAsia" w:ascii="宋体" w:eastAsia="宋体" w:cs="宋体"/>
                <w:color w:val="000000"/>
                <w:sz w:val="21"/>
                <w:szCs w:val="21"/>
              </w:rPr>
              <w:t>根据疾病预防控制机构的意见，采取必要的传染病预防、控制措施，设专人负责工地上的卫生防疫工作。</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施工过程中</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施工单位</w:t>
            </w:r>
          </w:p>
          <w:p>
            <w:pPr>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val="en-US" w:eastAsia="zh-CN"/>
              </w:rPr>
            </w:pPr>
            <w:r>
              <w:rPr>
                <w:rFonts w:hint="eastAsia" w:ascii="宋体" w:eastAsia="宋体" w:cs="宋体"/>
                <w:color w:val="000000"/>
                <w:sz w:val="21"/>
                <w:szCs w:val="21"/>
                <w:lang w:val="en-US" w:eastAsia="zh-CN"/>
              </w:rPr>
              <w:t>5</w:t>
            </w:r>
            <w:r>
              <w:rPr>
                <w:rFonts w:hint="eastAsia" w:eastAsia="宋体" w:cs="宋体"/>
                <w:color w:val="000000"/>
                <w:sz w:val="21"/>
                <w:szCs w:val="21"/>
                <w:lang w:val="en-US" w:eastAsia="zh-CN"/>
              </w:rPr>
              <w:t>0</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val="en-US" w:eastAsia="zh-CN"/>
              </w:rPr>
            </w:pPr>
            <w:r>
              <w:rPr>
                <w:rFonts w:hint="eastAsia" w:ascii="宋体" w:eastAsia="宋体" w:cs="宋体"/>
                <w:color w:val="000000"/>
                <w:sz w:val="21"/>
                <w:szCs w:val="21"/>
              </w:rPr>
              <w:t>竣工后，疾病预防控制机构应当对可能发生的传染病进行监测。建设单位必须在疾病预防控制机构的指导下或者按照其提出的卫生要求，进行严格消毒处理。</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事件发生后立即实施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rPr>
              <w:t>建设单位安环部、生产部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lang w:val="en-US" w:eastAsia="zh-CN"/>
              </w:rPr>
            </w:pPr>
            <w:r>
              <w:rPr>
                <w:rFonts w:hint="eastAsia" w:ascii="宋体" w:eastAsia="宋体" w:cs="宋体"/>
                <w:color w:val="000000"/>
                <w:sz w:val="21"/>
                <w:szCs w:val="21"/>
                <w:lang w:val="en-US" w:eastAsia="zh-CN"/>
              </w:rPr>
              <w:t>5</w:t>
            </w:r>
            <w:r>
              <w:rPr>
                <w:rFonts w:hint="eastAsia" w:eastAsia="宋体" w:cs="宋体"/>
                <w:color w:val="000000"/>
                <w:sz w:val="21"/>
                <w:szCs w:val="21"/>
                <w:lang w:val="en-US" w:eastAsia="zh-CN"/>
              </w:rPr>
              <w:t>1</w:t>
            </w:r>
          </w:p>
        </w:tc>
        <w:tc>
          <w:tcPr>
            <w:tcW w:w="932" w:type="dxa"/>
            <w:vMerge w:val="continue"/>
            <w:tcBorders>
              <w:top w:val="single" w:color="auto" w:sz="4" w:space="0"/>
              <w:left w:val="single" w:color="auto" w:sz="4" w:space="0"/>
              <w:bottom w:val="single" w:color="auto" w:sz="4" w:space="0"/>
              <w:right w:val="single" w:color="auto" w:sz="4" w:space="0"/>
            </w:tcBorders>
            <w:noWrap/>
            <w:vAlign w:val="center"/>
          </w:tcPr>
          <w:p/>
        </w:tc>
        <w:tc>
          <w:tcPr>
            <w:tcW w:w="993" w:type="dxa"/>
            <w:vMerge w:val="continue"/>
            <w:tcBorders>
              <w:top w:val="single" w:color="auto" w:sz="4" w:space="0"/>
              <w:left w:val="single" w:color="auto" w:sz="4" w:space="0"/>
              <w:bottom w:val="single" w:color="auto" w:sz="4" w:space="0"/>
              <w:right w:val="single" w:color="auto" w:sz="4" w:space="0"/>
            </w:tcBorders>
            <w:noWrap/>
            <w:vAlign w:val="center"/>
          </w:tcPr>
          <w:p/>
        </w:tc>
        <w:tc>
          <w:tcPr>
            <w:tcW w:w="35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val="en-US" w:eastAsia="zh-CN"/>
              </w:rPr>
            </w:pPr>
            <w:r>
              <w:rPr>
                <w:rFonts w:hint="eastAsia" w:ascii="宋体" w:eastAsia="宋体" w:cs="宋体"/>
                <w:color w:val="000000"/>
                <w:sz w:val="21"/>
                <w:szCs w:val="21"/>
              </w:rPr>
              <w:t>发现传染病病人或者疑似传染病病人时，及时向附近的疾病预防控制机构或者医疗机构报告。</w:t>
            </w:r>
          </w:p>
        </w:tc>
        <w:tc>
          <w:tcPr>
            <w:tcW w:w="87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事件发生后立即实施</w:t>
            </w:r>
          </w:p>
        </w:tc>
        <w:tc>
          <w:tcPr>
            <w:tcW w:w="14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lang w:eastAsia="zh-CN"/>
              </w:rPr>
            </w:pPr>
            <w:r>
              <w:rPr>
                <w:rFonts w:hint="eastAsia" w:ascii="宋体" w:eastAsia="宋体" w:cs="宋体"/>
                <w:color w:val="000000"/>
                <w:sz w:val="21"/>
                <w:szCs w:val="21"/>
              </w:rPr>
              <w:t>建设单位安环部、生产部</w:t>
            </w:r>
          </w:p>
        </w:tc>
      </w:tr>
    </w:tbl>
    <w:p>
      <w:pPr>
        <w:rPr>
          <w:rFonts w:hint="eastAsia"/>
          <w:color w:val="000000"/>
        </w:rPr>
      </w:pPr>
    </w:p>
    <w:p>
      <w:pPr>
        <w:snapToGrid w:val="0"/>
        <w:spacing w:before="156" w:beforeLines="50"/>
        <w:ind w:firstLine="0" w:firstLineChars="0"/>
        <w:outlineLvl w:val="2"/>
        <w:rPr>
          <w:rFonts w:hint="eastAsia"/>
          <w:b/>
          <w:color w:val="000000"/>
          <w:shd w:val="clear" w:color="auto" w:fill="auto"/>
        </w:rPr>
      </w:pPr>
      <w:r>
        <w:rPr>
          <w:rFonts w:hint="eastAsia"/>
          <w:b/>
          <w:color w:val="000000"/>
          <w:shd w:val="clear" w:color="auto" w:fill="auto"/>
        </w:rPr>
        <w:t>2.3.2风险动态管理要求</w:t>
      </w:r>
    </w:p>
    <w:p>
      <w:pPr>
        <w:snapToGrid w:val="0"/>
        <w:rPr>
          <w:rFonts w:hint="eastAsia"/>
          <w:color w:val="000000"/>
          <w:shd w:val="clear" w:color="auto" w:fill="auto"/>
        </w:rPr>
      </w:pPr>
      <w:r>
        <w:rPr>
          <w:rFonts w:hint="eastAsia"/>
          <w:color w:val="000000"/>
          <w:shd w:val="clear" w:color="auto" w:fill="auto"/>
        </w:rPr>
        <w:t>经评估，认为社会稳定风险管理是一项系统工程，必须采取动态控制和监测。项目单位以及相关方依据PDCA闭环管理原则，按照识别出的主要风险和制定的风险防范措施，逐项核对措施落实情况，同时根据建设期、运行期、退役期实现情况，识别新的风险，制定新的措施，将风险管理工作常态化、制度化。风险应对审查表的格式，见</w:t>
      </w:r>
      <w:r>
        <w:rPr>
          <w:rFonts w:hint="eastAsia"/>
          <w:snapToGrid w:val="0"/>
          <w:color w:val="000000"/>
          <w:shd w:val="clear" w:color="auto" w:fill="auto"/>
        </w:rPr>
        <w:t>表</w:t>
      </w:r>
      <w:r>
        <w:rPr>
          <w:rFonts w:hint="eastAsia"/>
          <w:color w:val="000000"/>
          <w:shd w:val="clear" w:color="auto" w:fill="auto"/>
        </w:rPr>
        <w:t>2.3</w:t>
      </w:r>
      <w:r>
        <w:rPr>
          <w:rFonts w:hint="eastAsia"/>
          <w:snapToGrid w:val="0"/>
          <w:color w:val="000000"/>
          <w:shd w:val="clear" w:color="auto" w:fill="auto"/>
        </w:rPr>
        <w:t>-2</w:t>
      </w:r>
      <w:r>
        <w:rPr>
          <w:rFonts w:hint="eastAsia"/>
          <w:color w:val="000000"/>
          <w:shd w:val="clear" w:color="auto" w:fill="auto"/>
        </w:rPr>
        <w:t>。</w:t>
      </w:r>
    </w:p>
    <w:p>
      <w:pPr>
        <w:snapToGrid w:val="0"/>
        <w:spacing w:line="240" w:lineRule="auto"/>
        <w:ind w:left="0" w:firstLine="482" w:firstLineChars="200"/>
        <w:jc w:val="both"/>
        <w:rPr>
          <w:rFonts w:hint="eastAsia"/>
          <w:b/>
          <w:snapToGrid w:val="0"/>
          <w:color w:val="000000"/>
          <w:shd w:val="clear" w:color="auto" w:fill="auto"/>
        </w:rPr>
      </w:pPr>
    </w:p>
    <w:p>
      <w:pPr>
        <w:snapToGrid w:val="0"/>
        <w:spacing w:line="240" w:lineRule="auto"/>
        <w:ind w:left="0" w:firstLine="482" w:firstLineChars="200"/>
        <w:jc w:val="both"/>
        <w:rPr>
          <w:rFonts w:hint="eastAsia"/>
          <w:b/>
          <w:snapToGrid w:val="0"/>
          <w:color w:val="000000"/>
          <w:shd w:val="clear" w:color="auto" w:fill="auto"/>
        </w:rPr>
      </w:pPr>
    </w:p>
    <w:p>
      <w:pPr>
        <w:snapToGrid w:val="0"/>
        <w:spacing w:line="240" w:lineRule="auto"/>
        <w:ind w:left="0" w:firstLine="482" w:firstLineChars="200"/>
        <w:jc w:val="both"/>
        <w:rPr>
          <w:rFonts w:hint="eastAsia"/>
          <w:b/>
          <w:snapToGrid w:val="0"/>
          <w:color w:val="000000"/>
          <w:shd w:val="clear" w:color="auto" w:fill="auto"/>
        </w:rPr>
      </w:pPr>
    </w:p>
    <w:p>
      <w:pPr>
        <w:snapToGrid w:val="0"/>
        <w:spacing w:line="240" w:lineRule="auto"/>
        <w:ind w:left="0" w:firstLine="482" w:firstLineChars="200"/>
        <w:jc w:val="both"/>
        <w:rPr>
          <w:rFonts w:hint="eastAsia"/>
          <w:b/>
          <w:snapToGrid w:val="0"/>
          <w:color w:val="000000"/>
          <w:shd w:val="clear" w:color="auto" w:fill="auto"/>
        </w:rPr>
      </w:pPr>
    </w:p>
    <w:p>
      <w:pPr>
        <w:snapToGrid w:val="0"/>
        <w:spacing w:line="240" w:lineRule="auto"/>
        <w:ind w:left="0" w:firstLine="482" w:firstLineChars="200"/>
        <w:jc w:val="both"/>
        <w:rPr>
          <w:rFonts w:hint="eastAsia"/>
          <w:color w:val="000000"/>
          <w:shd w:val="clear" w:color="auto" w:fill="auto"/>
        </w:rPr>
      </w:pPr>
      <w:r>
        <w:rPr>
          <w:rFonts w:hint="eastAsia"/>
          <w:b/>
          <w:snapToGrid w:val="0"/>
          <w:color w:val="000000"/>
          <w:shd w:val="clear" w:color="auto" w:fill="auto"/>
        </w:rPr>
        <w:t>表</w:t>
      </w:r>
      <w:r>
        <w:rPr>
          <w:rFonts w:hint="eastAsia"/>
          <w:b/>
          <w:color w:val="000000"/>
          <w:shd w:val="clear" w:color="auto" w:fill="auto"/>
        </w:rPr>
        <w:t>2.3</w:t>
      </w:r>
      <w:r>
        <w:rPr>
          <w:rFonts w:hint="eastAsia"/>
          <w:b/>
          <w:snapToGrid w:val="0"/>
          <w:color w:val="000000"/>
          <w:shd w:val="clear" w:color="auto" w:fill="auto"/>
        </w:rPr>
        <w:t>-2</w:t>
      </w:r>
      <w:r>
        <w:rPr>
          <w:rFonts w:hint="eastAsia"/>
          <w:b/>
          <w:snapToGrid w:val="0"/>
          <w:color w:val="000000"/>
          <w:shd w:val="clear" w:color="auto" w:fill="auto"/>
          <w:lang w:val="en-US" w:eastAsia="zh-CN"/>
        </w:rPr>
        <w:t xml:space="preserve">                   </w:t>
      </w:r>
      <w:r>
        <w:rPr>
          <w:rFonts w:hint="eastAsia"/>
          <w:b/>
          <w:snapToGrid w:val="0"/>
          <w:color w:val="000000"/>
          <w:shd w:val="clear" w:color="auto" w:fill="auto"/>
        </w:rPr>
        <w:t>风险应对审查表</w:t>
      </w:r>
    </w:p>
    <w:tbl>
      <w:tblPr>
        <w:tblStyle w:val="2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534"/>
        <w:gridCol w:w="1534"/>
        <w:gridCol w:w="1534"/>
        <w:gridCol w:w="1534"/>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5"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序号</w:t>
            </w: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社会稳定风险</w:t>
            </w: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已制定的措施</w:t>
            </w: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责任人</w:t>
            </w: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落实情况</w:t>
            </w:r>
          </w:p>
        </w:tc>
        <w:tc>
          <w:tcPr>
            <w:tcW w:w="1535"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bottom"/>
          </w:tcPr>
          <w:p>
            <w:pPr>
              <w:ind w:firstLine="0" w:firstLineChars="0"/>
              <w:jc w:val="center"/>
              <w:rPr>
                <w:rFonts w:hint="eastAsia"/>
                <w:b/>
                <w:bCs w:val="0"/>
                <w:color w:val="000000"/>
                <w:sz w:val="21"/>
                <w:szCs w:val="18"/>
                <w:shd w:val="clear" w:color="auto" w:fill="auto"/>
              </w:rPr>
            </w:pPr>
            <w:r>
              <w:rPr>
                <w:rFonts w:hint="eastAsia"/>
                <w:b/>
                <w:bCs w:val="0"/>
                <w:color w:val="000000"/>
                <w:sz w:val="21"/>
                <w:szCs w:val="18"/>
                <w:shd w:val="clear" w:color="auto" w:fill="auto"/>
              </w:rPr>
              <w:t>检查人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5"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c>
          <w:tcPr>
            <w:tcW w:w="1534"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c>
          <w:tcPr>
            <w:tcW w:w="1535" w:type="dxa"/>
            <w:tcBorders>
              <w:top w:val="single" w:color="auto" w:sz="4" w:space="0"/>
              <w:left w:val="single" w:color="auto" w:sz="4" w:space="0"/>
              <w:bottom w:val="single" w:color="auto" w:sz="4" w:space="0"/>
              <w:right w:val="single" w:color="auto" w:sz="4" w:space="0"/>
              <w:tl2br w:val="nil"/>
              <w:tr2bl w:val="nil"/>
            </w:tcBorders>
            <w:noWrap/>
            <w:tcMar>
              <w:top w:w="113" w:type="dxa"/>
            </w:tcMar>
            <w:vAlign w:val="center"/>
          </w:tcPr>
          <w:p>
            <w:pPr>
              <w:ind w:firstLine="0" w:firstLineChars="0"/>
              <w:jc w:val="center"/>
              <w:rPr>
                <w:rFonts w:hint="eastAsia"/>
                <w:b w:val="0"/>
                <w:bCs/>
                <w:color w:val="000000"/>
                <w:szCs w:val="21"/>
                <w:shd w:val="clear" w:color="auto" w:fill="auto"/>
              </w:rPr>
            </w:pPr>
          </w:p>
        </w:tc>
      </w:tr>
    </w:tbl>
    <w:p>
      <w:pPr>
        <w:rPr>
          <w:rFonts w:hint="eastAsia"/>
          <w:color w:val="000000"/>
        </w:rPr>
      </w:pPr>
    </w:p>
    <w:p>
      <w:pPr>
        <w:tabs>
          <w:tab w:val="left" w:pos="0"/>
        </w:tabs>
        <w:snapToGrid w:val="0"/>
        <w:spacing w:before="156" w:beforeLines="50"/>
        <w:ind w:firstLine="0" w:firstLineChars="0"/>
        <w:outlineLvl w:val="2"/>
        <w:rPr>
          <w:rFonts w:hint="eastAsia" w:eastAsia="宋体"/>
          <w:b/>
          <w:color w:val="000000"/>
          <w:shd w:val="clear" w:color="auto" w:fill="auto"/>
          <w:lang w:eastAsia="zh-CN"/>
        </w:rPr>
      </w:pPr>
      <w:r>
        <w:rPr>
          <w:rFonts w:hint="eastAsia"/>
          <w:b/>
          <w:color w:val="000000"/>
          <w:shd w:val="clear" w:color="auto" w:fill="auto"/>
        </w:rPr>
        <w:t>2.3.3应急预案要求</w:t>
      </w:r>
    </w:p>
    <w:p>
      <w:pPr>
        <w:snapToGrid w:val="0"/>
        <w:rPr>
          <w:rFonts w:hint="eastAsia"/>
          <w:color w:val="000000"/>
          <w:shd w:val="clear" w:color="auto" w:fill="auto"/>
        </w:rPr>
      </w:pPr>
      <w:r>
        <w:rPr>
          <w:rFonts w:hint="eastAsia"/>
          <w:color w:val="000000"/>
          <w:shd w:val="clear" w:color="auto" w:fill="auto"/>
        </w:rPr>
        <w:t>评估认为，社会稳定风险管理应以事前预防为主，一旦风险事件发生，应通过应急机制进行有效的事后处置，将风险影响和损失降至最低。</w:t>
      </w:r>
    </w:p>
    <w:p>
      <w:pPr>
        <w:snapToGrid w:val="0"/>
        <w:rPr>
          <w:rFonts w:hint="eastAsia" w:eastAsia="宋体"/>
          <w:b/>
          <w:bCs/>
          <w:color w:val="000000"/>
          <w:shd w:val="clear" w:color="auto" w:fill="auto"/>
          <w:lang w:eastAsia="zh-CN"/>
        </w:rPr>
      </w:pPr>
      <w:r>
        <w:rPr>
          <w:rFonts w:hint="eastAsia"/>
          <w:color w:val="000000"/>
          <w:shd w:val="clear" w:color="auto" w:fill="auto"/>
        </w:rPr>
        <w:t>要求建设单位建立社会稳定风险防范组织机构,并明确相关责任人员、具体措施落实到人，制定总预案和有关专项预案。</w:t>
      </w:r>
    </w:p>
    <w:p>
      <w:pPr>
        <w:pStyle w:val="30"/>
        <w:numPr>
          <w:ilvl w:val="0"/>
          <w:numId w:val="0"/>
        </w:numPr>
        <w:rPr>
          <w:rFonts w:hint="eastAsia" w:ascii="宋体" w:eastAsia="宋体" w:cs="宋体"/>
          <w:color w:val="000000"/>
        </w:rPr>
      </w:pPr>
      <w:bookmarkStart w:id="42" w:name="_Toc375645764"/>
      <w:r>
        <w:rPr>
          <w:rFonts w:hint="eastAsia" w:eastAsia="宋体" w:cs="宋体"/>
          <w:color w:val="000000"/>
          <w:lang w:val="en-US" w:eastAsia="zh-CN"/>
        </w:rPr>
        <w:t>2.3.3</w:t>
      </w:r>
      <w:r>
        <w:rPr>
          <w:rFonts w:hint="eastAsia" w:ascii="宋体" w:eastAsia="宋体" w:cs="宋体"/>
          <w:color w:val="000000"/>
        </w:rPr>
        <w:t>.1建立社会稳定风险防范组织机构和责任人员</w:t>
      </w:r>
    </w:p>
    <w:p>
      <w:pPr>
        <w:rPr>
          <w:rFonts w:hint="eastAsia" w:ascii="宋体" w:eastAsia="宋体" w:cs="宋体"/>
          <w:color w:val="000000"/>
        </w:rPr>
      </w:pPr>
      <w:r>
        <w:rPr>
          <w:rFonts w:hint="eastAsia" w:ascii="宋体" w:eastAsia="宋体" w:cs="宋体"/>
          <w:color w:val="000000"/>
        </w:rPr>
        <w:t>1)成立社会稳定风险防范领导小组：</w:t>
      </w:r>
    </w:p>
    <w:p>
      <w:pPr>
        <w:adjustRightInd w:val="0"/>
        <w:ind w:firstLine="480" w:firstLineChars="100"/>
        <w:rPr>
          <w:rFonts w:hint="eastAsia" w:ascii="宋体" w:eastAsia="宋体" w:cs="宋体"/>
          <w:color w:val="000000"/>
        </w:rPr>
      </w:pPr>
      <w:r>
        <w:rPr>
          <w:rFonts w:hint="eastAsia" w:ascii="宋体" w:eastAsia="宋体" w:cs="宋体"/>
          <w:color w:val="000000"/>
          <w:spacing w:val="120"/>
          <w:kern w:val="0"/>
        </w:rPr>
        <w:t>组</w:t>
      </w:r>
      <w:r>
        <w:rPr>
          <w:rFonts w:hint="eastAsia" w:ascii="宋体" w:eastAsia="宋体" w:cs="宋体"/>
          <w:color w:val="000000"/>
          <w:kern w:val="0"/>
        </w:rPr>
        <w:t>长</w:t>
      </w:r>
      <w:r>
        <w:rPr>
          <w:rFonts w:hint="eastAsia" w:ascii="宋体" w:eastAsia="宋体" w:cs="宋体"/>
          <w:color w:val="000000"/>
        </w:rPr>
        <w:t>：行政领导、党委领导</w:t>
      </w:r>
    </w:p>
    <w:p>
      <w:pPr>
        <w:adjustRightInd w:val="0"/>
        <w:rPr>
          <w:rFonts w:hint="eastAsia" w:ascii="宋体" w:eastAsia="宋体" w:cs="宋体"/>
          <w:color w:val="000000"/>
        </w:rPr>
      </w:pPr>
      <w:r>
        <w:rPr>
          <w:rFonts w:hint="eastAsia" w:ascii="宋体" w:eastAsia="宋体" w:cs="宋体"/>
          <w:color w:val="000000"/>
        </w:rPr>
        <w:t>副组长：主管安全生产责任人、总工、工会主席</w:t>
      </w:r>
    </w:p>
    <w:p>
      <w:pPr>
        <w:rPr>
          <w:rFonts w:hint="eastAsia" w:ascii="宋体" w:eastAsia="宋体" w:cs="宋体"/>
          <w:color w:val="000000"/>
        </w:rPr>
      </w:pPr>
      <w:r>
        <w:rPr>
          <w:rFonts w:hint="eastAsia" w:ascii="宋体" w:eastAsia="宋体" w:cs="宋体"/>
          <w:color w:val="000000"/>
        </w:rPr>
        <w:t>成员：政工保卫部门负责人、</w:t>
      </w:r>
      <w:r>
        <w:rPr>
          <w:rFonts w:hint="eastAsia" w:ascii="宋体" w:eastAsia="宋体" w:cs="宋体"/>
          <w:color w:val="000000"/>
          <w:lang w:eastAsia="zh-CN"/>
        </w:rPr>
        <w:t>应急管理部门</w:t>
      </w:r>
      <w:r>
        <w:rPr>
          <w:rFonts w:hint="eastAsia" w:ascii="宋体" w:eastAsia="宋体" w:cs="宋体"/>
          <w:color w:val="000000"/>
        </w:rPr>
        <w:t>负责人、行政办公室负责人、生产技术管理部门负责人、设备管理部门负责人、党群维稳部门、计划部、财务部。</w:t>
      </w:r>
    </w:p>
    <w:p>
      <w:pPr>
        <w:rPr>
          <w:rFonts w:hint="eastAsia" w:ascii="宋体" w:eastAsia="宋体" w:cs="宋体"/>
          <w:color w:val="000000"/>
        </w:rPr>
      </w:pPr>
      <w:r>
        <w:rPr>
          <w:rFonts w:hint="eastAsia" w:ascii="宋体" w:eastAsia="宋体" w:cs="宋体"/>
          <w:color w:val="000000"/>
        </w:rPr>
        <w:t>职责：组织制定突发事件总预案、各专项预案，提供应急资源保障，组织应急预案的演练，指导建立社会稳定风险防范机制并持续改进、不断完善。组织突发群体性事件的应急处置、应急救援和矛盾化解工作，负责对外信息的正确发布。</w:t>
      </w:r>
    </w:p>
    <w:p>
      <w:pPr>
        <w:rPr>
          <w:rFonts w:hint="eastAsia" w:ascii="宋体" w:eastAsia="宋体" w:cs="宋体"/>
          <w:color w:val="000000"/>
        </w:rPr>
      </w:pPr>
      <w:r>
        <w:rPr>
          <w:rFonts w:hint="eastAsia" w:ascii="宋体" w:eastAsia="宋体" w:cs="宋体"/>
          <w:color w:val="000000"/>
        </w:rPr>
        <w:t>2)下设社会稳定风险防范办公室，办公室设置在政工保卫部门。</w:t>
      </w:r>
    </w:p>
    <w:p>
      <w:pPr>
        <w:rPr>
          <w:rFonts w:hint="eastAsia" w:ascii="宋体" w:eastAsia="宋体" w:cs="宋体"/>
          <w:color w:val="000000"/>
        </w:rPr>
      </w:pPr>
      <w:r>
        <w:rPr>
          <w:rFonts w:hint="eastAsia" w:ascii="宋体" w:eastAsia="宋体" w:cs="宋体"/>
          <w:color w:val="000000"/>
        </w:rPr>
        <w:t>办公室主任：政工保卫部门负责人</w:t>
      </w:r>
    </w:p>
    <w:p>
      <w:pPr>
        <w:rPr>
          <w:rFonts w:hint="eastAsia" w:ascii="宋体" w:eastAsia="宋体" w:cs="宋体"/>
          <w:color w:val="000000"/>
        </w:rPr>
      </w:pPr>
      <w:r>
        <w:rPr>
          <w:rFonts w:hint="eastAsia" w:ascii="宋体" w:eastAsia="宋体" w:cs="宋体"/>
          <w:color w:val="000000"/>
        </w:rPr>
        <w:t>成员：政工保卫部门全体、</w:t>
      </w:r>
      <w:r>
        <w:rPr>
          <w:rFonts w:hint="eastAsia" w:ascii="宋体" w:eastAsia="宋体" w:cs="宋体"/>
          <w:color w:val="000000"/>
          <w:lang w:eastAsia="zh-CN"/>
        </w:rPr>
        <w:t>应急管理部门</w:t>
      </w:r>
      <w:r>
        <w:rPr>
          <w:rFonts w:hint="eastAsia" w:ascii="宋体" w:eastAsia="宋体" w:cs="宋体"/>
          <w:color w:val="000000"/>
        </w:rPr>
        <w:t>全体、生产技术管理部门全体、具体负责应急通信人员、具体负责设备大中修管理人员、具体负责对外信息发布人员、具体负责车辆调配人员。</w:t>
      </w:r>
    </w:p>
    <w:p>
      <w:pPr>
        <w:rPr>
          <w:rFonts w:hint="eastAsia" w:ascii="宋体" w:eastAsia="宋体" w:cs="宋体"/>
          <w:color w:val="000000"/>
        </w:rPr>
      </w:pPr>
      <w:r>
        <w:rPr>
          <w:rFonts w:hint="eastAsia" w:ascii="宋体" w:eastAsia="宋体" w:cs="宋体"/>
          <w:color w:val="000000"/>
        </w:rPr>
        <w:t>主要职责：负责组织落实经批准的《社会稳定风险分析报告》中的风险防范措施；负责填报《风险应对审查表》，对风险进行监测与控制，对风险进行动态识别，负责制定社会稳定风险应急预案演习计划并组织具体演练；负责对应急资源的检查，督促落实；负责草拟对外公布的信息；负责收集分析相关社会娱乐信息。</w:t>
      </w:r>
    </w:p>
    <w:p>
      <w:pPr>
        <w:pStyle w:val="31"/>
        <w:spacing w:line="360" w:lineRule="auto"/>
        <w:ind w:firstLine="0" w:firstLineChars="0"/>
        <w:rPr>
          <w:rFonts w:hint="eastAsia" w:ascii="宋体" w:eastAsia="宋体" w:cs="宋体"/>
          <w:color w:val="000000"/>
        </w:rPr>
      </w:pPr>
      <w:r>
        <w:rPr>
          <w:rFonts w:hint="eastAsia" w:cs="宋体"/>
          <w:color w:val="000000"/>
          <w:lang w:val="en-US" w:eastAsia="zh-CN"/>
        </w:rPr>
        <w:t>2.3.3</w:t>
      </w:r>
      <w:r>
        <w:rPr>
          <w:rFonts w:hint="eastAsia" w:ascii="宋体" w:eastAsia="宋体" w:cs="宋体"/>
          <w:color w:val="000000"/>
        </w:rPr>
        <w:t>.2制定总预案</w:t>
      </w:r>
    </w:p>
    <w:p>
      <w:pPr>
        <w:rPr>
          <w:rFonts w:hint="eastAsia" w:ascii="宋体" w:eastAsia="宋体" w:cs="宋体"/>
          <w:b/>
          <w:color w:val="000000"/>
        </w:rPr>
      </w:pPr>
      <w:r>
        <w:rPr>
          <w:rFonts w:hint="eastAsia" w:ascii="宋体" w:eastAsia="宋体" w:cs="宋体"/>
          <w:color w:val="000000"/>
        </w:rPr>
        <w:t>制定《国网</w:t>
      </w:r>
      <w:r>
        <w:rPr>
          <w:rFonts w:hint="eastAsia" w:cs="宋体"/>
          <w:color w:val="000000"/>
          <w:lang w:eastAsia="zh-CN"/>
        </w:rPr>
        <w:t>巴州</w:t>
      </w:r>
      <w:r>
        <w:rPr>
          <w:rFonts w:hint="eastAsia" w:ascii="宋体" w:eastAsia="宋体" w:cs="宋体"/>
          <w:color w:val="000000"/>
        </w:rPr>
        <w:t>供电公司预防和处置信访突发事件和群体性事件总预案》总预案的主要内容及要求见表</w:t>
      </w:r>
      <w:r>
        <w:rPr>
          <w:rFonts w:hint="eastAsia" w:eastAsia="宋体" w:cs="宋体"/>
          <w:color w:val="000000"/>
          <w:lang w:val="en-US" w:eastAsia="zh-CN"/>
        </w:rPr>
        <w:t>2.3-3</w:t>
      </w:r>
      <w:r>
        <w:rPr>
          <w:rFonts w:hint="eastAsia" w:ascii="宋体" w:eastAsia="宋体" w:cs="宋体"/>
          <w:color w:val="000000"/>
        </w:rPr>
        <w:t>。</w:t>
      </w:r>
    </w:p>
    <w:p>
      <w:pPr>
        <w:spacing w:line="240" w:lineRule="auto"/>
        <w:jc w:val="both"/>
        <w:rPr>
          <w:rFonts w:hint="eastAsia" w:ascii="宋体" w:eastAsia="宋体" w:cs="宋体"/>
          <w:b/>
          <w:snapToGrid w:val="0"/>
          <w:color w:val="000000"/>
          <w:kern w:val="0"/>
        </w:rPr>
      </w:pPr>
      <w:r>
        <w:rPr>
          <w:rFonts w:hint="eastAsia" w:ascii="宋体" w:eastAsia="宋体" w:cs="宋体"/>
          <w:b/>
          <w:color w:val="000000"/>
        </w:rPr>
        <w:t>表</w:t>
      </w:r>
      <w:r>
        <w:rPr>
          <w:rFonts w:hint="eastAsia" w:eastAsia="宋体" w:cs="宋体"/>
          <w:b/>
          <w:color w:val="000000"/>
          <w:lang w:val="en-US" w:eastAsia="zh-CN"/>
        </w:rPr>
        <w:t>2.3-3</w:t>
      </w:r>
      <w:r>
        <w:rPr>
          <w:rFonts w:hint="eastAsia" w:cs="宋体"/>
          <w:b/>
          <w:color w:val="000000"/>
          <w:lang w:val="en-US" w:eastAsia="zh-CN"/>
        </w:rPr>
        <w:t xml:space="preserve">                   </w:t>
      </w:r>
      <w:r>
        <w:rPr>
          <w:rFonts w:hint="eastAsia" w:cs="宋体"/>
          <w:b/>
          <w:snapToGrid w:val="0"/>
          <w:color w:val="000000"/>
          <w:kern w:val="0"/>
          <w:lang w:val="en-US" w:eastAsia="zh-CN"/>
        </w:rPr>
        <w:t>总</w:t>
      </w:r>
      <w:r>
        <w:rPr>
          <w:rFonts w:hint="eastAsia" w:ascii="宋体" w:eastAsia="宋体" w:cs="宋体"/>
          <w:b/>
          <w:snapToGrid w:val="0"/>
          <w:color w:val="000000"/>
          <w:kern w:val="0"/>
        </w:rPr>
        <w:t>预案主要内容表</w:t>
      </w:r>
    </w:p>
    <w:tbl>
      <w:tblPr>
        <w:tblStyle w:val="21"/>
        <w:tblW w:w="8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0"/>
        <w:gridCol w:w="1289"/>
        <w:gridCol w:w="6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序号</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项目</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预案内容及要求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01"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适用范围</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kern w:val="0"/>
                <w:sz w:val="21"/>
                <w:szCs w:val="21"/>
                <w:lang w:val="en-US" w:eastAsia="zh-CN" w:bidi="ar-SA"/>
              </w:rPr>
              <w:t>适用于国网</w:t>
            </w:r>
            <w:r>
              <w:rPr>
                <w:rFonts w:hint="eastAsia" w:cs="宋体"/>
                <w:color w:val="000000"/>
                <w:kern w:val="0"/>
                <w:sz w:val="21"/>
                <w:szCs w:val="21"/>
                <w:lang w:val="en-US" w:eastAsia="zh-CN" w:bidi="ar-SA"/>
              </w:rPr>
              <w:t>巴州</w:t>
            </w:r>
            <w:r>
              <w:rPr>
                <w:rFonts w:hint="eastAsia" w:ascii="宋体" w:eastAsia="宋体" w:cs="宋体"/>
                <w:color w:val="000000"/>
                <w:kern w:val="0"/>
                <w:sz w:val="21"/>
                <w:szCs w:val="21"/>
                <w:lang w:val="en-US" w:eastAsia="zh-CN" w:bidi="ar-SA"/>
              </w:rPr>
              <w:t>供电公司因项目建设所引发的社会稳定风险应急预案。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01"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应急预案体系</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shd w:val="clear" w:color="auto" w:fill="auto"/>
              </w:rPr>
              <w:t>应包括：《国网</w:t>
            </w:r>
            <w:r>
              <w:rPr>
                <w:rFonts w:hint="eastAsia" w:cs="宋体"/>
                <w:color w:val="000000"/>
                <w:sz w:val="21"/>
                <w:szCs w:val="21"/>
                <w:shd w:val="clear" w:color="auto" w:fill="auto"/>
                <w:lang w:eastAsia="zh-CN"/>
              </w:rPr>
              <w:t>巴州</w:t>
            </w:r>
            <w:r>
              <w:rPr>
                <w:rFonts w:hint="eastAsia" w:ascii="宋体" w:eastAsia="宋体" w:cs="宋体"/>
                <w:color w:val="000000"/>
                <w:sz w:val="21"/>
                <w:szCs w:val="21"/>
                <w:shd w:val="clear" w:color="auto" w:fill="auto"/>
              </w:rPr>
              <w:t>供电公司预防和处置信访突发事件和群体性事件总预案》《筹建处农民工工资纠纷引发群体性事件应急预案》《筹建处土地及地面附着物征占用补偿数额异议引发群体性事件专项应急预案》《现场处置暴力恐怖袭击及停电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1"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应急工作原则</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以人为本，和谐稳定，科学发展，维护公众合法权益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1"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4</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社会稳定风险分析</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1.</w:t>
            </w:r>
            <w:r>
              <w:rPr>
                <w:rFonts w:hint="eastAsia" w:ascii="宋体" w:eastAsia="宋体" w:cs="宋体"/>
                <w:color w:val="000000"/>
                <w:sz w:val="21"/>
                <w:szCs w:val="21"/>
              </w:rPr>
              <w:t>生产经营单位概况：主要包括单位地址、从业人数、隶属关系、主要原材料、主要产品、产量等内容，以及周边重大危险源、重要设施、目标、场所和周边布局情况。必要时，可附平面图进行说明。</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2.</w:t>
            </w:r>
            <w:r>
              <w:rPr>
                <w:rFonts w:hint="eastAsia" w:ascii="宋体" w:eastAsia="宋体" w:cs="宋体"/>
                <w:color w:val="000000"/>
                <w:sz w:val="21"/>
                <w:szCs w:val="21"/>
              </w:rPr>
              <w:t>危险源与风险分析：主要阐述本单位存在的社会稳定风险分析结果：(1)土地及地面附着物征用及临时跨越补偿不到位引发群体性事件；(2)碾压农作物及生态破坏引发公众抱怨；(3)施工人员薪资纠纷所引发的群体性事件；(4)安全生产事故善后处置不当引发纠纷；(5)暴力恐怖袭击及自然灾害等各类原因导致电网大面积停电造成突发公共事件；(6)群众对电磁辐射误解而引发的风险；(7)</w:t>
            </w:r>
            <w:r>
              <w:rPr>
                <w:rFonts w:hint="eastAsia" w:eastAsia="宋体" w:cs="宋体"/>
                <w:color w:val="000000"/>
                <w:sz w:val="21"/>
                <w:szCs w:val="21"/>
                <w:lang w:val="en-US" w:eastAsia="zh-CN"/>
              </w:rPr>
              <w:t>突发公共卫生事件引发的社会风险。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应急组织机构、人员</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1.</w:t>
            </w:r>
            <w:r>
              <w:rPr>
                <w:rFonts w:hint="eastAsia" w:ascii="宋体" w:eastAsia="宋体" w:cs="宋体"/>
                <w:color w:val="000000"/>
                <w:sz w:val="21"/>
                <w:szCs w:val="21"/>
              </w:rPr>
              <w:t>应急组织体系：明确应急组织形式，构成单位或人员，并尽可能以结构图的形式表示出来。</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2.</w:t>
            </w:r>
            <w:r>
              <w:rPr>
                <w:rFonts w:hint="eastAsia" w:ascii="宋体" w:eastAsia="宋体" w:cs="宋体"/>
                <w:color w:val="000000"/>
                <w:sz w:val="21"/>
                <w:szCs w:val="21"/>
              </w:rPr>
              <w:t>指挥机构及职责：明确应急救援指挥机构总指挥、副总指挥、各成员单位及其相应职责。设置现场处置、现场监测、公关外联、物资保障、信息通信、后勤保障、警戒消防疏散、医疗救护等应急救援工作小组，并明确各小组的工作任务及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6</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预防与预警</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1.危险源监控：对</w:t>
            </w:r>
            <w:r>
              <w:rPr>
                <w:rFonts w:hint="eastAsia" w:ascii="宋体" w:eastAsia="宋体" w:cs="宋体"/>
                <w:color w:val="000000"/>
                <w:sz w:val="21"/>
                <w:szCs w:val="21"/>
                <w:lang w:val="en-US" w:eastAsia="zh-CN"/>
              </w:rPr>
              <w:t>变电站输电线路杆塔的</w:t>
            </w:r>
            <w:r>
              <w:rPr>
                <w:rFonts w:hint="eastAsia" w:ascii="宋体" w:eastAsia="宋体" w:cs="宋体"/>
                <w:color w:val="000000"/>
                <w:sz w:val="21"/>
                <w:szCs w:val="21"/>
              </w:rPr>
              <w:t>危险源监测监控的方式、方法，以及采取的预防措施。</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2.预警行动：明确事故预警的条件、方式、方法和信息的发布程序。</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3.信息报告与处置：按照有关规定，明确信访或群体性事件信息报告与处置办法。①信息报告与通知：明确24小时应急值守电话、事故信息接收和通报程序。②信息上报：明确事件发生后向上级维稳部门和地方人民政府报告事故信息的流程、内容和时限。③信息传递：明确事故发生后向有关部门或单位通报事故信息的方法和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7</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应急响应</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1.</w:t>
            </w:r>
            <w:r>
              <w:rPr>
                <w:rFonts w:hint="eastAsia" w:ascii="宋体" w:eastAsia="宋体" w:cs="宋体"/>
                <w:color w:val="000000"/>
                <w:sz w:val="21"/>
                <w:szCs w:val="21"/>
              </w:rPr>
              <w:t>响应分级：依据</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对突发公共事件分为一般、较大、重大、特别重大四级。</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2.</w:t>
            </w:r>
            <w:r>
              <w:rPr>
                <w:rFonts w:hint="eastAsia" w:ascii="宋体" w:eastAsia="宋体" w:cs="宋体"/>
                <w:color w:val="000000"/>
                <w:sz w:val="21"/>
                <w:szCs w:val="21"/>
              </w:rPr>
              <w:t>响应程序：根据事故的大小和发展态势，明确应急指挥、应急行动、资源调配、应急避险、扩大应急等响应程序。</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3</w:t>
            </w:r>
            <w:r>
              <w:rPr>
                <w:rFonts w:hint="eastAsia" w:cs="宋体"/>
                <w:color w:val="000000"/>
                <w:sz w:val="21"/>
                <w:szCs w:val="21"/>
                <w:lang w:val="en-US" w:eastAsia="zh-CN"/>
              </w:rPr>
              <w:t>.</w:t>
            </w:r>
            <w:r>
              <w:rPr>
                <w:rFonts w:hint="eastAsia" w:ascii="宋体" w:eastAsia="宋体" w:cs="宋体"/>
                <w:color w:val="000000"/>
                <w:sz w:val="21"/>
                <w:szCs w:val="21"/>
              </w:rPr>
              <w:t>应急结束：明确应急终止的条件。事件得以控制，环境符合有关标准，导致次生、衍生事故隐患消除后，经事件现场应急指挥机构批准后，现场应急结束。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8</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信息发布</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明确突发公共事件信息发布的部门，发布原则突发公共事件信息应由事件现场指挥部及时准确向新闻媒体通报事故信息。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9</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后期处置</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主要包括事故后果影响消除、生产秩序恢复、善后赔偿、抢险过程和应急救援能力分析及应急预案的修订等内容。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10</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应急保障措施</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1.通信与信息保障：明确与应急工作相关联的单位或人员通信联系方式和方法，并提供备用方案。建立信息通信系统及维护方案，确保应急期间信息通畅。</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2.应急队伍保障：明确各类应急响应的人力资源，包括专业应急队伍、兼职应急队伍的组织与保障方案。</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3.应急物资装备保障：明确应急救援需要使用的应急物资和装备的类型、数量、性能、存放位置、管理责任人及其联系方式等内容。</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4.经费保障：明确应急专项经费来源、使用范围、数量和监督管理措施，保障应急状态时生产经营单位应急经费的及时到位。</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5.其他保障：根据本单位应急工作需求而确定的其他相关保障措施(如：交通运输保障、治安保障、技术保障、医疗保障、后勤保障等)。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11</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培训与演练</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1.内部培训：明确对本单位人员开展的应急培训计划、方式和要求；</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2.外部培训，本预案涉及到社区和居民，要做好对毗邻企业的宣传教育和告知等工作；</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3.演练：明确应急演练的规模、方式、频次、范围、内容、组织、分析、总结等内容。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rPr>
        <w:tc>
          <w:tcPr>
            <w:tcW w:w="67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12</w:t>
            </w:r>
          </w:p>
        </w:tc>
        <w:tc>
          <w:tcPr>
            <w:tcW w:w="128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应急预案备案、衔接、维护和更新</w:t>
            </w:r>
          </w:p>
        </w:tc>
        <w:tc>
          <w:tcPr>
            <w:tcW w:w="639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1.本应急预案应向当地应急办进行报备。</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2.本预案应与</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衔接接口。</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本应急预案</w:t>
            </w:r>
            <w:r>
              <w:rPr>
                <w:rFonts w:hint="eastAsia" w:ascii="宋体" w:eastAsia="宋体" w:cs="宋体"/>
                <w:color w:val="000000"/>
                <w:sz w:val="21"/>
                <w:szCs w:val="21"/>
                <w:lang w:val="en-US" w:eastAsia="zh-CN"/>
              </w:rPr>
              <w:t>应</w:t>
            </w:r>
            <w:r>
              <w:rPr>
                <w:rFonts w:hint="eastAsia" w:ascii="宋体" w:eastAsia="宋体" w:cs="宋体"/>
                <w:color w:val="000000"/>
                <w:sz w:val="21"/>
                <w:szCs w:val="21"/>
              </w:rPr>
              <w:t>定期进行评审，实现可持续改进。</w:t>
            </w:r>
          </w:p>
        </w:tc>
      </w:tr>
    </w:tbl>
    <w:p>
      <w:pPr>
        <w:ind w:left="0" w:firstLine="0" w:firstLineChars="0"/>
        <w:rPr>
          <w:rFonts w:hint="eastAsia"/>
          <w:color w:val="000000"/>
          <w:lang w:val="en-US" w:eastAsia="zh-CN"/>
        </w:rPr>
      </w:pPr>
    </w:p>
    <w:p>
      <w:pPr>
        <w:pStyle w:val="30"/>
        <w:keepNext w:val="0"/>
        <w:keepLines w:val="0"/>
        <w:pageBreakBefore w:val="0"/>
        <w:widowControl w:val="0"/>
        <w:numPr>
          <w:ilvl w:val="0"/>
          <w:numId w:val="0"/>
        </w:numPr>
        <w:kinsoku/>
        <w:wordWrap/>
        <w:overflowPunct/>
        <w:topLinePunct w:val="0"/>
        <w:autoSpaceDE/>
        <w:autoSpaceDN/>
        <w:bidi w:val="0"/>
        <w:adjustRightInd w:val="0"/>
        <w:snapToGrid w:val="0"/>
        <w:spacing w:before="156" w:beforeLines="50" w:line="360" w:lineRule="auto"/>
        <w:ind w:left="0" w:right="0" w:firstLine="0"/>
        <w:jc w:val="both"/>
        <w:textAlignment w:val="auto"/>
        <w:outlineLvl w:val="3"/>
        <w:rPr>
          <w:rFonts w:hint="eastAsia" w:ascii="宋体" w:eastAsia="宋体" w:cs="宋体"/>
          <w:color w:val="000000"/>
          <w:lang w:eastAsia="zh-CN"/>
        </w:rPr>
      </w:pPr>
      <w:r>
        <w:rPr>
          <w:rFonts w:hint="eastAsia" w:eastAsia="宋体" w:cs="宋体"/>
          <w:color w:val="000000"/>
          <w:lang w:val="en-US" w:eastAsia="zh-CN"/>
        </w:rPr>
        <w:t>2.3.3</w:t>
      </w:r>
      <w:r>
        <w:rPr>
          <w:rFonts w:hint="eastAsia" w:ascii="宋体" w:eastAsia="宋体" w:cs="宋体"/>
          <w:color w:val="000000"/>
        </w:rPr>
        <w:t>.3制定专项预案</w:t>
      </w:r>
    </w:p>
    <w:p>
      <w:pPr>
        <w:rPr>
          <w:rFonts w:hint="eastAsia" w:ascii="宋体" w:eastAsia="宋体" w:cs="宋体"/>
          <w:color w:val="000000"/>
        </w:rPr>
      </w:pPr>
      <w:r>
        <w:rPr>
          <w:rFonts w:hint="eastAsia" w:ascii="宋体" w:eastAsia="宋体" w:cs="宋体"/>
          <w:color w:val="000000"/>
        </w:rPr>
        <w:t>根据风险程度，本项目仅对农民工工资纠纷、土地及地面附着物征用及跨越补偿不到位引发群体性事件、暴恐袭击及停电引发群体性事件。</w:t>
      </w:r>
    </w:p>
    <w:p>
      <w:pPr>
        <w:rPr>
          <w:rFonts w:hint="eastAsia" w:ascii="宋体" w:eastAsia="宋体" w:cs="宋体"/>
          <w:color w:val="000000"/>
        </w:rPr>
      </w:pPr>
      <w:r>
        <w:rPr>
          <w:rFonts w:hint="eastAsia" w:ascii="宋体" w:eastAsia="宋体" w:cs="宋体"/>
          <w:color w:val="000000"/>
        </w:rPr>
        <w:t>制定《筹建处农民工工资纠纷引发群体性事件应急预案》，预案关键防范措施应包括：</w:t>
      </w:r>
    </w:p>
    <w:p>
      <w:pPr>
        <w:rPr>
          <w:rFonts w:hint="eastAsia" w:ascii="宋体" w:eastAsia="宋体" w:cs="宋体"/>
          <w:color w:val="000000"/>
        </w:rPr>
      </w:pPr>
      <w:r>
        <w:rPr>
          <w:rFonts w:hint="eastAsia" w:ascii="宋体" w:eastAsia="宋体" w:cs="宋体"/>
          <w:color w:val="000000"/>
        </w:rPr>
        <w:t>1)督促各施工单位按规定比例向当地劳动保障行政部门指定的银行专户缴纳农民工工资保证金，并有书面证明。</w:t>
      </w:r>
    </w:p>
    <w:p>
      <w:pPr>
        <w:pStyle w:val="29"/>
        <w:rPr>
          <w:rFonts w:hint="eastAsia" w:ascii="宋体" w:eastAsia="宋体" w:cs="宋体"/>
          <w:color w:val="000000"/>
          <w:kern w:val="0"/>
        </w:rPr>
      </w:pPr>
      <w:r>
        <w:rPr>
          <w:rFonts w:hint="eastAsia" w:ascii="宋体" w:eastAsia="宋体" w:cs="宋体"/>
          <w:color w:val="000000"/>
          <w:kern w:val="0"/>
        </w:rPr>
        <w:t>2</w:t>
      </w:r>
      <w:r>
        <w:rPr>
          <w:rFonts w:hint="eastAsia" w:ascii="宋体" w:eastAsia="宋体" w:cs="宋体"/>
          <w:color w:val="000000"/>
        </w:rPr>
        <w:t>)</w:t>
      </w:r>
      <w:r>
        <w:rPr>
          <w:rFonts w:hint="eastAsia" w:ascii="宋体" w:eastAsia="宋体" w:cs="宋体"/>
          <w:color w:val="000000"/>
          <w:kern w:val="0"/>
        </w:rPr>
        <w:t>现场各施工单位如出现无故拖欠农民工工资的情况，由公司计划、财务等部门责令其限期支付拖欠的工资，逾期不支付的停付其工程进度款。</w:t>
      </w:r>
    </w:p>
    <w:p>
      <w:pPr>
        <w:rPr>
          <w:rFonts w:hint="eastAsia" w:ascii="宋体" w:eastAsia="宋体" w:cs="宋体"/>
          <w:color w:val="000000"/>
        </w:rPr>
      </w:pPr>
      <w:r>
        <w:rPr>
          <w:rFonts w:hint="eastAsia" w:ascii="宋体" w:eastAsia="宋体" w:cs="宋体"/>
          <w:color w:val="000000"/>
          <w:kern w:val="0"/>
        </w:rPr>
        <w:t>3</w:t>
      </w:r>
      <w:r>
        <w:rPr>
          <w:rFonts w:hint="eastAsia" w:ascii="宋体" w:eastAsia="宋体" w:cs="宋体"/>
          <w:color w:val="000000"/>
        </w:rPr>
        <w:t>)一旦发生群体事件时，认真对待，及时化解，避免事态的扩大。发生事故后，统一信息发布内容，及时、准确地发布信息，正确引导舆情，发现背离客观事实的报导后，及时采取纠偏和应对措施。</w:t>
      </w:r>
    </w:p>
    <w:p>
      <w:pPr>
        <w:rPr>
          <w:rFonts w:hint="eastAsia" w:ascii="宋体" w:eastAsia="宋体" w:cs="宋体"/>
          <w:color w:val="000000"/>
          <w:lang w:eastAsia="zh-CN"/>
        </w:rPr>
      </w:pPr>
      <w:r>
        <w:rPr>
          <w:rFonts w:hint="eastAsia" w:ascii="宋体" w:eastAsia="宋体" w:cs="宋体"/>
          <w:color w:val="000000"/>
        </w:rPr>
        <w:t>4)对个别不讲</w:t>
      </w:r>
      <w:r>
        <w:rPr>
          <w:rFonts w:hint="eastAsia" w:ascii="宋体" w:eastAsia="宋体" w:cs="宋体"/>
          <w:color w:val="000000"/>
          <w:kern w:val="0"/>
        </w:rPr>
        <w:t>诚信，恶意讨薪，无理取闹的劳务人员，应该按规定程序上报。要通过提供强有力的证据资料，抵制其不法图谋，排解纠纷，同时积极协助公安、用调解及法律等手段，避免事态扩大化，同时依法维护企业的合法权益。</w:t>
      </w:r>
    </w:p>
    <w:p>
      <w:pPr>
        <w:rPr>
          <w:rFonts w:hint="eastAsia" w:ascii="宋体" w:eastAsia="宋体" w:cs="宋体"/>
          <w:snapToGrid w:val="0"/>
          <w:color w:val="000000"/>
          <w:kern w:val="0"/>
          <w:lang w:eastAsia="zh-CN"/>
        </w:rPr>
      </w:pPr>
      <w:r>
        <w:rPr>
          <w:rFonts w:hint="eastAsia" w:ascii="宋体" w:eastAsia="宋体" w:cs="宋体"/>
          <w:color w:val="000000"/>
        </w:rPr>
        <w:t>预案中的主要内容见表</w:t>
      </w:r>
      <w:r>
        <w:rPr>
          <w:rFonts w:hint="eastAsia" w:eastAsia="宋体" w:cs="宋体"/>
          <w:color w:val="000000"/>
          <w:lang w:val="en-US" w:eastAsia="zh-CN"/>
        </w:rPr>
        <w:t>2.3-4</w:t>
      </w:r>
      <w:r>
        <w:rPr>
          <w:rFonts w:hint="eastAsia" w:ascii="宋体" w:eastAsia="宋体" w:cs="宋体"/>
          <w:snapToGrid w:val="0"/>
          <w:color w:val="000000"/>
          <w:kern w:val="0"/>
        </w:rPr>
        <w:t>。</w:t>
      </w:r>
    </w:p>
    <w:p>
      <w:pPr>
        <w:spacing w:line="240" w:lineRule="auto"/>
        <w:ind w:left="0" w:firstLine="482" w:firstLineChars="200"/>
        <w:jc w:val="both"/>
        <w:rPr>
          <w:rFonts w:hint="eastAsia" w:ascii="宋体" w:eastAsia="宋体" w:cs="宋体"/>
          <w:b/>
          <w:snapToGrid w:val="0"/>
          <w:color w:val="000000"/>
          <w:kern w:val="0"/>
        </w:rPr>
      </w:pPr>
      <w:r>
        <w:rPr>
          <w:rFonts w:hint="eastAsia" w:ascii="宋体" w:eastAsia="宋体" w:cs="宋体"/>
          <w:b/>
          <w:color w:val="000000"/>
        </w:rPr>
        <w:t>表</w:t>
      </w:r>
      <w:r>
        <w:rPr>
          <w:rFonts w:hint="eastAsia" w:eastAsia="宋体" w:cs="宋体"/>
          <w:b/>
          <w:color w:val="000000"/>
          <w:lang w:val="en-US" w:eastAsia="zh-CN"/>
        </w:rPr>
        <w:t>2.3-4</w:t>
      </w:r>
      <w:r>
        <w:rPr>
          <w:rFonts w:hint="eastAsia" w:cs="宋体"/>
          <w:b/>
          <w:color w:val="000000"/>
          <w:lang w:val="en-US" w:eastAsia="zh-CN"/>
        </w:rPr>
        <w:t xml:space="preserve">  </w:t>
      </w:r>
      <w:r>
        <w:rPr>
          <w:rFonts w:hint="eastAsia" w:ascii="宋体" w:eastAsia="宋体" w:cs="宋体"/>
          <w:b/>
          <w:color w:val="000000"/>
        </w:rPr>
        <w:t>农民工工资纠纷引发群体性事件</w:t>
      </w:r>
      <w:r>
        <w:rPr>
          <w:rFonts w:hint="eastAsia" w:ascii="宋体" w:eastAsia="宋体" w:cs="宋体"/>
          <w:b/>
          <w:snapToGrid w:val="0"/>
          <w:color w:val="000000"/>
          <w:kern w:val="0"/>
        </w:rPr>
        <w:t>专项应急预案主要内容表</w:t>
      </w:r>
    </w:p>
    <w:tbl>
      <w:tblPr>
        <w:tblStyle w:val="21"/>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0"/>
        <w:gridCol w:w="1255"/>
        <w:gridCol w:w="6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序号</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项目</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center"/>
              <w:textAlignment w:val="auto"/>
              <w:outlineLvl w:val="9"/>
              <w:rPr>
                <w:rFonts w:hint="eastAsia" w:ascii="宋体" w:eastAsia="宋体" w:cs="宋体"/>
                <w:b/>
                <w:color w:val="000000"/>
                <w:sz w:val="21"/>
                <w:szCs w:val="21"/>
              </w:rPr>
            </w:pPr>
            <w:r>
              <w:rPr>
                <w:rFonts w:hint="eastAsia" w:ascii="宋体" w:eastAsia="宋体" w:cs="宋体"/>
                <w:b/>
                <w:color w:val="000000"/>
                <w:sz w:val="21"/>
                <w:szCs w:val="21"/>
              </w:rPr>
              <w:t>预案内容及要求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总则</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明确本预案的编制目的、编制依据和适用范围等内容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应急工作原则</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预防为先，耐心化解，维护农民工合法权益，确保进度目标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事件类型和危害程度分析</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w:t>
            </w:r>
            <w:r>
              <w:rPr>
                <w:rFonts w:hint="eastAsia" w:ascii="宋体" w:eastAsia="宋体" w:cs="宋体"/>
                <w:color w:val="000000"/>
                <w:sz w:val="21"/>
                <w:szCs w:val="21"/>
              </w:rPr>
              <w:t>分析风险的来源、特性。</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2.</w:t>
            </w:r>
            <w:r>
              <w:rPr>
                <w:rFonts w:hint="eastAsia" w:ascii="宋体" w:eastAsia="宋体" w:cs="宋体"/>
                <w:color w:val="000000"/>
                <w:sz w:val="21"/>
                <w:szCs w:val="21"/>
              </w:rPr>
              <w:t>风险范围及危害程度：施工现场，施工单位项目部，当地信访部门或劳动和社会保障部门，危害表现形式为：农民工上访，静坐示威；打横幅，聚集政府机关，影响办公秩序；</w:t>
            </w:r>
            <w:r>
              <w:rPr>
                <w:rFonts w:hint="eastAsia" w:eastAsia="宋体" w:cs="宋体"/>
                <w:color w:val="000000"/>
                <w:sz w:val="21"/>
                <w:szCs w:val="21"/>
                <w:lang w:eastAsia="zh-CN"/>
              </w:rPr>
              <w:t>采取</w:t>
            </w:r>
            <w:r>
              <w:rPr>
                <w:rFonts w:hint="eastAsia" w:ascii="宋体" w:eastAsia="宋体" w:cs="宋体"/>
                <w:color w:val="000000"/>
                <w:sz w:val="21"/>
                <w:szCs w:val="21"/>
              </w:rPr>
              <w:t>极端手段，引发群众围观，造成社会不稳定。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4</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43" w:name="_Toc342672035"/>
            <w:bookmarkStart w:id="44" w:name="_Toc344121711"/>
            <w:bookmarkStart w:id="45" w:name="_Toc345016746"/>
            <w:bookmarkStart w:id="46" w:name="_Toc341068787"/>
            <w:bookmarkStart w:id="47" w:name="_Toc343612006"/>
            <w:r>
              <w:rPr>
                <w:rFonts w:hint="eastAsia" w:ascii="宋体" w:eastAsia="宋体" w:cs="宋体"/>
                <w:color w:val="000000"/>
                <w:sz w:val="21"/>
                <w:szCs w:val="21"/>
              </w:rPr>
              <w:t>事件分级</w:t>
            </w:r>
            <w:bookmarkEnd w:id="43"/>
            <w:bookmarkEnd w:id="44"/>
            <w:bookmarkEnd w:id="45"/>
            <w:bookmarkEnd w:id="46"/>
            <w:bookmarkEnd w:id="47"/>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依据</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，对突发公共事件分为一般、较大、重大、特别重大四级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bookmarkStart w:id="48" w:name="_Toc345016747"/>
            <w:bookmarkStart w:id="49" w:name="_Toc341068788"/>
            <w:bookmarkStart w:id="50" w:name="_Toc342672036"/>
            <w:bookmarkStart w:id="51" w:name="_Toc343612007"/>
            <w:bookmarkStart w:id="52" w:name="_Toc344121712"/>
            <w:r>
              <w:rPr>
                <w:rFonts w:hint="eastAsia" w:ascii="宋体" w:eastAsia="宋体" w:cs="宋体"/>
                <w:color w:val="000000"/>
                <w:sz w:val="21"/>
                <w:szCs w:val="21"/>
              </w:rPr>
              <w:t>应急组织机构、人员</w:t>
            </w:r>
            <w:bookmarkEnd w:id="48"/>
            <w:bookmarkEnd w:id="49"/>
            <w:bookmarkEnd w:id="50"/>
            <w:bookmarkEnd w:id="51"/>
            <w:bookmarkEnd w:id="52"/>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bookmarkStart w:id="53" w:name="_Toc185708966"/>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应急指挥机构</w:t>
            </w:r>
            <w:bookmarkEnd w:id="53"/>
            <w:r>
              <w:rPr>
                <w:rFonts w:hint="eastAsia" w:ascii="宋体" w:eastAsia="宋体" w:cs="宋体"/>
                <w:color w:val="000000"/>
                <w:sz w:val="21"/>
                <w:szCs w:val="21"/>
              </w:rPr>
              <w:t>：(1)明确本预案所涉突发事件的应急指挥机构组成情况。应包含项目部、监理、当地公安及劳动监察部门；(2)指挥机构应设置相应的应急处置工作组(含现场处置、公关外联、物资保障、信息通信、后勤保障、警戒消防疏散、医疗救护，明确各应急处置工作组的设置情况和人员构成情况；(3)明确应急指挥平台建设要求。</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bookmarkStart w:id="54" w:name="_Toc185708967"/>
            <w:r>
              <w:rPr>
                <w:rFonts w:hint="eastAsia" w:ascii="宋体" w:eastAsia="宋体" w:cs="宋体"/>
                <w:color w:val="000000"/>
                <w:sz w:val="21"/>
                <w:szCs w:val="21"/>
                <w:lang w:eastAsia="zh-CN"/>
              </w:rPr>
              <w:t>2.</w:t>
            </w:r>
            <w:r>
              <w:rPr>
                <w:rFonts w:hint="eastAsia" w:ascii="宋体" w:eastAsia="宋体" w:cs="宋体"/>
                <w:color w:val="000000"/>
                <w:sz w:val="21"/>
                <w:szCs w:val="21"/>
              </w:rPr>
              <w:t>应急指挥机构的职责</w:t>
            </w:r>
            <w:bookmarkEnd w:id="54"/>
            <w:r>
              <w:rPr>
                <w:rFonts w:hint="eastAsia" w:ascii="宋体" w:eastAsia="宋体" w:cs="宋体"/>
                <w:color w:val="000000"/>
                <w:sz w:val="21"/>
                <w:szCs w:val="21"/>
              </w:rPr>
              <w:t>：(1)明确应急指挥机构、各应急处置工作组和相关人员的具体职责。(2)明确本预案所涉及各有关部门的应急工作职责。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6</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预防与预警</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bookmarkStart w:id="55" w:name="_Toc185708974"/>
            <w:r>
              <w:rPr>
                <w:rFonts w:hint="eastAsia" w:ascii="宋体" w:eastAsia="宋体" w:cs="宋体"/>
                <w:color w:val="000000"/>
                <w:sz w:val="21"/>
                <w:szCs w:val="21"/>
              </w:rPr>
              <w:t>风险监测：(1)由监理承担农民工薪资纠纷风险监测责任；(2)风险监测的方法和信息收集渠道；(3)风险监测所获得信息直接向筹建处总指挥、副总指挥汇报。</w:t>
            </w:r>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7</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56" w:name="_Toc219625997"/>
            <w:bookmarkStart w:id="57" w:name="_Toc345016748"/>
            <w:bookmarkStart w:id="58" w:name="_Toc342672037"/>
            <w:bookmarkStart w:id="59" w:name="_Toc343612008"/>
            <w:bookmarkStart w:id="60" w:name="_Toc341068789"/>
            <w:bookmarkStart w:id="61" w:name="_Toc344121713"/>
            <w:r>
              <w:rPr>
                <w:rFonts w:hint="eastAsia" w:ascii="宋体" w:eastAsia="宋体" w:cs="宋体"/>
                <w:color w:val="000000"/>
                <w:sz w:val="21"/>
                <w:szCs w:val="21"/>
              </w:rPr>
              <w:t>信息报告</w:t>
            </w:r>
            <w:bookmarkEnd w:id="56"/>
            <w:bookmarkEnd w:id="57"/>
            <w:bookmarkEnd w:id="58"/>
            <w:bookmarkEnd w:id="59"/>
            <w:bookmarkEnd w:id="60"/>
            <w:bookmarkEnd w:id="61"/>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bookmarkStart w:id="62" w:name="_Toc344121714"/>
            <w:bookmarkStart w:id="63" w:name="_Toc343612009"/>
            <w:bookmarkStart w:id="64" w:name="_Toc342672038"/>
            <w:bookmarkStart w:id="65" w:name="_Toc345016749"/>
            <w:bookmarkStart w:id="66" w:name="_Toc341068790"/>
            <w:r>
              <w:rPr>
                <w:rFonts w:hint="eastAsia" w:ascii="宋体" w:eastAsia="宋体" w:cs="宋体"/>
                <w:color w:val="000000"/>
                <w:sz w:val="21"/>
                <w:szCs w:val="21"/>
                <w:lang w:val="en-US" w:eastAsia="zh-CN"/>
              </w:rPr>
              <w:t>1.</w:t>
            </w:r>
            <w:r>
              <w:rPr>
                <w:rFonts w:hint="eastAsia" w:ascii="宋体" w:eastAsia="宋体" w:cs="宋体"/>
                <w:color w:val="000000"/>
                <w:sz w:val="21"/>
                <w:szCs w:val="21"/>
              </w:rPr>
              <w:t>明确本单位24小时应急值班电话。</w:t>
            </w:r>
            <w:r>
              <w:rPr>
                <w:rFonts w:hint="eastAsia" w:ascii="宋体" w:eastAsia="宋体" w:cs="宋体"/>
                <w:color w:val="000000"/>
                <w:sz w:val="21"/>
                <w:szCs w:val="21"/>
                <w:lang w:val="en-US" w:eastAsia="zh-CN"/>
              </w:rPr>
              <w:t>2.</w:t>
            </w:r>
            <w:r>
              <w:rPr>
                <w:rFonts w:hint="eastAsia" w:ascii="宋体" w:eastAsia="宋体" w:cs="宋体"/>
                <w:color w:val="000000"/>
                <w:sz w:val="21"/>
                <w:szCs w:val="21"/>
              </w:rPr>
              <w:t>明确本预案所涉突发事件发生后，本单位内部和向上级单位进行突发事件信息报告的程序、方式、内容和时限。</w:t>
            </w:r>
            <w:r>
              <w:rPr>
                <w:rFonts w:hint="eastAsia" w:ascii="宋体" w:eastAsia="宋体" w:cs="宋体"/>
                <w:color w:val="000000"/>
                <w:sz w:val="21"/>
                <w:szCs w:val="21"/>
                <w:lang w:val="en-US" w:eastAsia="zh-CN"/>
              </w:rPr>
              <w:t>3.</w:t>
            </w:r>
            <w:r>
              <w:rPr>
                <w:rFonts w:hint="eastAsia" w:ascii="宋体" w:eastAsia="宋体" w:cs="宋体"/>
                <w:color w:val="000000"/>
                <w:sz w:val="21"/>
                <w:szCs w:val="21"/>
              </w:rPr>
              <w:t>明确本预案所涉突发事件发生后，向政府人力资源与社会保障部门、信访部门、市委维稳办进行突发事件报告的程序、方式、内容和时限。</w:t>
            </w:r>
            <w:bookmarkEnd w:id="62"/>
            <w:bookmarkEnd w:id="63"/>
            <w:bookmarkEnd w:id="64"/>
            <w:bookmarkEnd w:id="65"/>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8</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应急响应</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1.响应分级：</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对突发公共事件分为一般、较大、重大、特别重大四级。</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2.响应程序：针对不同级别的响应，分别明确下列内容，并附以流程图:</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(1)应急响应启动条件(应分级列出)；</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(2)响应启动：宣布响应启动的责任者；</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(3)响应行动：包括召开应急会议、派出前线指挥人员、组建现场工作组及其他应急处置工作小组等；</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(4)各有关部门按照响应级别和职责分工开展的应急行动；</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(5)向上级单位、政府有关部门及电力监管机构进行应急工作信息报告的格式、内容、时限和责任部门等。</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3.应急处置：针对事件类别和可能发生的次生事件危险性和特点，明确应急处置措施：</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(1)先期处置：明确突发事件发生后现场人员的即时避险、救治、控制事态发展。隔离危险源等紧急处置措施；</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(2)应急处置：根据事件的级别和发展事态，明确应急指挥、应急行动、资源调配、与社会联动等响应程序，并附以流程图表示；</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(3)扩大应急响应：根据事件的升级，及时提高应急响应级别、改变处置策略。</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4.</w:t>
            </w:r>
            <w:r>
              <w:rPr>
                <w:rFonts w:hint="eastAsia" w:ascii="宋体" w:eastAsia="宋体" w:cs="宋体"/>
                <w:color w:val="000000"/>
                <w:sz w:val="21"/>
                <w:szCs w:val="21"/>
              </w:rPr>
              <w:t>应急结束：明确(1)应急结束条件；(2)应急响应结束程序，包括宣布不同级别应急响应结束的责任人、宣布方式等。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9</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后期处置</w:t>
            </w:r>
          </w:p>
        </w:tc>
        <w:tc>
          <w:tcPr>
            <w:tcW w:w="6479" w:type="dxa"/>
            <w:tcBorders>
              <w:top w:val="single" w:color="auto" w:sz="4" w:space="0"/>
              <w:left w:val="single" w:color="auto" w:sz="4" w:space="0"/>
              <w:bottom w:val="single" w:color="auto" w:sz="4" w:space="0"/>
              <w:right w:val="single" w:color="auto" w:sz="4" w:space="0"/>
            </w:tcBorders>
            <w:noWrap/>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后期处置、现场恢复的原则和内容；</w:t>
            </w:r>
          </w:p>
          <w:p>
            <w:pPr>
              <w:pStyle w:val="6"/>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负责保险和理赔的责任部门；</w:t>
            </w:r>
          </w:p>
          <w:p>
            <w:pPr>
              <w:pStyle w:val="6"/>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事故或事件调查的原则、内容、方法和目的；</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4</w:t>
            </w:r>
            <w:r>
              <w:rPr>
                <w:rFonts w:hint="eastAsia" w:ascii="宋体" w:eastAsia="宋体" w:cs="宋体"/>
                <w:color w:val="000000"/>
                <w:sz w:val="21"/>
                <w:szCs w:val="21"/>
                <w:lang w:val="en-US" w:eastAsia="zh-CN"/>
              </w:rPr>
              <w:t>.</w:t>
            </w:r>
            <w:r>
              <w:rPr>
                <w:rFonts w:hint="eastAsia" w:ascii="宋体" w:eastAsia="宋体" w:cs="宋体"/>
                <w:color w:val="000000"/>
                <w:sz w:val="21"/>
                <w:szCs w:val="21"/>
              </w:rPr>
              <w:t>对预案及本次应急工作进行总结、评价、改进等内容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10</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应急保障措施</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通信与信息保障：明确与应急工作相关联的单位或人员通信联系方式和方法，并提供备用方案。建立信息通信系统及维护方案，确保应急期间信息通畅。</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应急队伍保障：明确各类应急响应的人力资源，包括专业应急队伍、兼职应急队伍的组织与保障方案。</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应急物资装备保障：明确应急救援需要使用的应急物资和装备的类型、数量、性能、存放位置、管理责任人及其联系方式等内容。</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4</w:t>
            </w:r>
            <w:r>
              <w:rPr>
                <w:rFonts w:hint="eastAsia" w:ascii="宋体" w:eastAsia="宋体" w:cs="宋体"/>
                <w:color w:val="000000"/>
                <w:sz w:val="21"/>
                <w:szCs w:val="21"/>
                <w:lang w:val="en-US" w:eastAsia="zh-CN"/>
              </w:rPr>
              <w:t>.</w:t>
            </w:r>
            <w:r>
              <w:rPr>
                <w:rFonts w:hint="eastAsia" w:ascii="宋体" w:eastAsia="宋体" w:cs="宋体"/>
                <w:color w:val="000000"/>
                <w:sz w:val="21"/>
                <w:szCs w:val="21"/>
              </w:rPr>
              <w:t>经费保障：明确应急专项经费来源、使用范围、数量和监督管理措施，保障应急状态时生产经营单位应急经费的及时到位。</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w:t>
            </w:r>
            <w:r>
              <w:rPr>
                <w:rFonts w:hint="eastAsia" w:ascii="宋体" w:eastAsia="宋体" w:cs="宋体"/>
                <w:color w:val="000000"/>
                <w:sz w:val="21"/>
                <w:szCs w:val="21"/>
                <w:lang w:val="en-US" w:eastAsia="zh-CN"/>
              </w:rPr>
              <w:t>.</w:t>
            </w:r>
            <w:r>
              <w:rPr>
                <w:rFonts w:hint="eastAsia" w:ascii="宋体" w:eastAsia="宋体" w:cs="宋体"/>
                <w:color w:val="000000"/>
                <w:sz w:val="21"/>
                <w:szCs w:val="21"/>
              </w:rPr>
              <w:t>其他保障：根据本单位应急工作需求而确定的其他相关保障措施(如：交通运输保障、治安保障、技术保障、医疗保障、后勤保障等)。(其中部分内容可以附件形式列出)。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11</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培训与演练</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内部培训：明确对本单位人员开展的应急培训计划、方式和要求</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外部培训：本预案涉及到施工单位管理人员，监理单位监理人员的宣传教育和告知等工作。</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演练：明确应急演练的规模、方式、频次、范围、内容、组织、分析、总结等内容。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12</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应急预案备案、衔接、维护和更新</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1.本应急预案应向</w:t>
            </w:r>
            <w:r>
              <w:rPr>
                <w:rFonts w:hint="eastAsia" w:cs="宋体"/>
                <w:color w:val="000000"/>
                <w:sz w:val="21"/>
                <w:szCs w:val="21"/>
                <w:lang w:eastAsia="zh-CN"/>
              </w:rPr>
              <w:t>巴州</w:t>
            </w:r>
            <w:r>
              <w:rPr>
                <w:rFonts w:hint="eastAsia" w:eastAsia="宋体" w:cs="宋体"/>
                <w:color w:val="000000"/>
                <w:sz w:val="21"/>
                <w:szCs w:val="21"/>
                <w:lang w:eastAsia="zh-CN"/>
              </w:rPr>
              <w:t>地区</w:t>
            </w:r>
            <w:r>
              <w:rPr>
                <w:rFonts w:hint="eastAsia" w:ascii="宋体" w:eastAsia="宋体" w:cs="宋体"/>
                <w:color w:val="000000"/>
                <w:sz w:val="21"/>
                <w:szCs w:val="21"/>
              </w:rPr>
              <w:t>应急办进行报备。</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2.本预案应与</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衔接接口。</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本应急预案每年定期进行评审，实现可持续改进。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13</w:t>
            </w:r>
          </w:p>
        </w:tc>
        <w:tc>
          <w:tcPr>
            <w:tcW w:w="125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主要附件</w:t>
            </w:r>
          </w:p>
        </w:tc>
        <w:tc>
          <w:tcPr>
            <w:tcW w:w="647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有关应急机构或人员联系方式：(1)应急指挥机构人员和联系方式；(2)相关单位、部门、组织机构或人员名称及联系方式。</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应急救援队伍信息：(1)应急救援队伍名称及联系方式；(2)应急处置专家姓名及联系方式；(3)与相关的社会应急救援部门签订的应急支援协议及联系方式。</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应急物资储备清单：(1)本预案涉及的重要应急装备和物资的名称、型号、数量、图纸、存放地点和管理人员联系方式等。(2)重要应急物资供应单位的生产能力、设备图纸和联系方式等。(3)应急救援通信设施型号、数量、存放点等。(4)应急车辆数量及司机联系方式清单。</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4</w:t>
            </w:r>
            <w:r>
              <w:rPr>
                <w:rFonts w:hint="eastAsia" w:cs="宋体"/>
                <w:color w:val="000000"/>
                <w:sz w:val="21"/>
                <w:szCs w:val="21"/>
                <w:lang w:val="en-US" w:eastAsia="zh-CN"/>
              </w:rPr>
              <w:t>.</w:t>
            </w:r>
            <w:r>
              <w:rPr>
                <w:rFonts w:hint="eastAsia" w:ascii="宋体" w:eastAsia="宋体" w:cs="宋体"/>
                <w:color w:val="000000"/>
                <w:sz w:val="21"/>
                <w:szCs w:val="21"/>
              </w:rPr>
              <w:t>规范化格式文本：列出应急信息接受、处理和上报等规范化格式文本。</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w:t>
            </w:r>
            <w:r>
              <w:rPr>
                <w:rFonts w:hint="eastAsia" w:ascii="宋体" w:eastAsia="宋体" w:cs="宋体"/>
                <w:color w:val="000000"/>
                <w:sz w:val="21"/>
                <w:szCs w:val="21"/>
                <w:lang w:val="en-US" w:eastAsia="zh-CN"/>
              </w:rPr>
              <w:t>.</w:t>
            </w:r>
            <w:r>
              <w:rPr>
                <w:rFonts w:hint="eastAsia" w:ascii="宋体" w:eastAsia="宋体" w:cs="宋体"/>
                <w:color w:val="000000"/>
                <w:sz w:val="21"/>
                <w:szCs w:val="21"/>
              </w:rPr>
              <w:t>关键的路线、标识和图纸：(1)重要防护目标一览表、分布图。(2)应急指挥位置及应急队伍行动路线、人员疏散路线、重要地点等标识。(3)相关平面布置图纸、应急力量的分布图纸等。</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6</w:t>
            </w:r>
            <w:r>
              <w:rPr>
                <w:rFonts w:hint="eastAsia" w:ascii="宋体" w:eastAsia="宋体" w:cs="宋体"/>
                <w:color w:val="000000"/>
                <w:sz w:val="21"/>
                <w:szCs w:val="21"/>
                <w:lang w:val="en-US" w:eastAsia="zh-CN"/>
              </w:rPr>
              <w:t>.</w:t>
            </w:r>
            <w:r>
              <w:rPr>
                <w:rFonts w:hint="eastAsia" w:ascii="宋体" w:eastAsia="宋体" w:cs="宋体"/>
                <w:color w:val="000000"/>
                <w:sz w:val="21"/>
                <w:szCs w:val="21"/>
              </w:rPr>
              <w:t>相关应急预案名录：列出直接与本预案相关或相衔接的应急预案名称。</w:t>
            </w:r>
          </w:p>
          <w:p>
            <w:pPr>
              <w:keepNext w:val="0"/>
              <w:keepLines w:val="0"/>
              <w:pageBreakBefore w:val="0"/>
              <w:widowControl w:val="0"/>
              <w:kinsoku/>
              <w:wordWrap/>
              <w:overflowPunct/>
              <w:topLinePunct w:val="0"/>
              <w:autoSpaceDE/>
              <w:autoSpaceDN/>
              <w:bidi w:val="0"/>
              <w:adjustRightInd/>
              <w:snapToGrid/>
              <w:spacing w:line="240" w:lineRule="auto"/>
              <w:ind w:left="120" w:leftChars="5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7</w:t>
            </w:r>
            <w:r>
              <w:rPr>
                <w:rFonts w:hint="eastAsia" w:ascii="宋体" w:eastAsia="宋体" w:cs="宋体"/>
                <w:color w:val="000000"/>
                <w:sz w:val="21"/>
                <w:szCs w:val="21"/>
                <w:lang w:val="en-US" w:eastAsia="zh-CN"/>
              </w:rPr>
              <w:t>.</w:t>
            </w:r>
            <w:r>
              <w:rPr>
                <w:rFonts w:hint="eastAsia" w:ascii="宋体" w:eastAsia="宋体" w:cs="宋体"/>
                <w:color w:val="000000"/>
                <w:sz w:val="21"/>
                <w:szCs w:val="21"/>
              </w:rPr>
              <w:t>有关流程：(1)预警信息发布流程。(2)突发事件信息报告流程。(3)各级应急响应及处置流程。</w:t>
            </w:r>
          </w:p>
        </w:tc>
      </w:tr>
    </w:tbl>
    <w:p>
      <w:pPr>
        <w:pStyle w:val="29"/>
        <w:keepNext w:val="0"/>
        <w:keepLines w:val="0"/>
        <w:pageBreakBefore w:val="0"/>
        <w:widowControl w:val="0"/>
        <w:kinsoku/>
        <w:wordWrap/>
        <w:overflowPunct/>
        <w:topLinePunct w:val="0"/>
        <w:autoSpaceDE/>
        <w:autoSpaceDN/>
        <w:bidi w:val="0"/>
        <w:adjustRightInd/>
        <w:snapToGrid/>
        <w:spacing w:before="156" w:beforeLines="50" w:line="360" w:lineRule="auto"/>
        <w:ind w:left="0" w:right="0" w:firstLine="480" w:firstLineChars="200"/>
        <w:jc w:val="both"/>
        <w:textAlignment w:val="auto"/>
        <w:outlineLvl w:val="9"/>
        <w:rPr>
          <w:rFonts w:hint="eastAsia" w:ascii="宋体" w:eastAsia="宋体" w:cs="宋体"/>
          <w:color w:val="000000"/>
        </w:rPr>
      </w:pPr>
      <w:r>
        <w:rPr>
          <w:rFonts w:hint="eastAsia" w:ascii="宋体" w:eastAsia="宋体" w:cs="宋体"/>
          <w:color w:val="000000"/>
        </w:rPr>
        <w:t>制定《筹建处土地及地面附着物征用及跨越补偿不到位引发群体性事件专项应急预案》，预案关键防范措施应包括：</w:t>
      </w:r>
    </w:p>
    <w:p>
      <w:pPr>
        <w:pStyle w:val="29"/>
        <w:rPr>
          <w:rFonts w:hint="eastAsia" w:ascii="宋体" w:eastAsia="宋体" w:cs="宋体"/>
          <w:color w:val="000000"/>
        </w:rPr>
      </w:pPr>
      <w:r>
        <w:rPr>
          <w:rFonts w:hint="eastAsia" w:ascii="宋体" w:eastAsia="宋体" w:cs="宋体"/>
          <w:color w:val="000000"/>
        </w:rPr>
        <w:t>1)遵循决策民主、程序正当、结果公开、</w:t>
      </w:r>
      <w:r>
        <w:rPr>
          <w:rFonts w:hint="eastAsia" w:ascii="宋体" w:eastAsia="宋体" w:cs="宋体"/>
          <w:color w:val="000000"/>
          <w:kern w:val="0"/>
        </w:rPr>
        <w:t>依法征用征收补偿、依法维护双方合法权益，确保国家重点能源基础设施项目正常施工。</w:t>
      </w:r>
    </w:p>
    <w:p>
      <w:pPr>
        <w:pStyle w:val="29"/>
        <w:rPr>
          <w:rFonts w:hint="eastAsia" w:ascii="宋体" w:eastAsia="宋体" w:cs="宋体"/>
          <w:color w:val="000000"/>
        </w:rPr>
      </w:pPr>
      <w:r>
        <w:rPr>
          <w:rFonts w:hint="eastAsia" w:ascii="宋体" w:eastAsia="宋体" w:cs="宋体"/>
          <w:color w:val="000000"/>
        </w:rPr>
        <w:t>2)与当地居民和睦相处，不扰民，不侵犯农牧民合法权益，建立和谐企地关系</w:t>
      </w:r>
    </w:p>
    <w:p>
      <w:pPr>
        <w:pStyle w:val="29"/>
        <w:rPr>
          <w:rFonts w:hint="eastAsia" w:ascii="宋体" w:eastAsia="宋体" w:cs="宋体"/>
          <w:color w:val="000000"/>
          <w:kern w:val="0"/>
        </w:rPr>
      </w:pPr>
      <w:r>
        <w:rPr>
          <w:rFonts w:hint="eastAsia" w:ascii="宋体" w:eastAsia="宋体" w:cs="宋体"/>
          <w:color w:val="000000"/>
        </w:rPr>
        <w:t>3)要关注土地征用、</w:t>
      </w:r>
      <w:r>
        <w:rPr>
          <w:rFonts w:hint="eastAsia" w:ascii="宋体" w:eastAsia="宋体" w:cs="宋体"/>
          <w:color w:val="000000"/>
          <w:lang w:eastAsia="zh-CN"/>
        </w:rPr>
        <w:t>农田</w:t>
      </w:r>
      <w:r>
        <w:rPr>
          <w:rFonts w:hint="eastAsia" w:ascii="宋体" w:eastAsia="宋体" w:cs="宋体"/>
          <w:color w:val="000000"/>
        </w:rPr>
        <w:t>占用，补偿安置过程中出现的焦点问题，收集民意，掌握民情，预防性地化解矛盾，不激化矛盾，不使矛盾扩大化。</w:t>
      </w:r>
    </w:p>
    <w:p>
      <w:pPr>
        <w:pStyle w:val="29"/>
        <w:rPr>
          <w:rFonts w:hint="eastAsia" w:ascii="宋体" w:eastAsia="宋体" w:cs="宋体"/>
          <w:color w:val="000000"/>
        </w:rPr>
      </w:pPr>
      <w:r>
        <w:rPr>
          <w:rFonts w:hint="eastAsia" w:ascii="宋体" w:eastAsia="宋体" w:cs="宋体"/>
          <w:color w:val="000000"/>
        </w:rPr>
        <w:t>4)</w:t>
      </w:r>
      <w:r>
        <w:rPr>
          <w:rFonts w:hint="eastAsia" w:ascii="宋体" w:eastAsia="宋体" w:cs="宋体"/>
          <w:color w:val="000000"/>
          <w:kern w:val="0"/>
        </w:rPr>
        <w:t>事前预防为先，</w:t>
      </w:r>
      <w:r>
        <w:rPr>
          <w:rFonts w:hint="eastAsia" w:ascii="宋体" w:eastAsia="宋体" w:cs="宋体"/>
          <w:color w:val="000000"/>
        </w:rPr>
        <w:t>土地征用、占用与当地乡政府、区政府充分沟通，尤其是征用的面积，补偿的标准应达成一致意见。</w:t>
      </w:r>
    </w:p>
    <w:p>
      <w:pPr>
        <w:pStyle w:val="29"/>
        <w:rPr>
          <w:rFonts w:hint="eastAsia" w:ascii="宋体" w:eastAsia="宋体" w:cs="宋体"/>
          <w:color w:val="000000"/>
          <w:kern w:val="0"/>
        </w:rPr>
      </w:pPr>
      <w:r>
        <w:rPr>
          <w:rFonts w:hint="eastAsia" w:ascii="宋体" w:eastAsia="宋体" w:cs="宋体"/>
          <w:color w:val="000000"/>
        </w:rPr>
        <w:t>5)</w:t>
      </w:r>
      <w:r>
        <w:rPr>
          <w:rFonts w:hint="eastAsia" w:ascii="宋体" w:eastAsia="宋体" w:cs="宋体"/>
          <w:color w:val="000000"/>
          <w:kern w:val="0"/>
        </w:rPr>
        <w:t>施工过程中，加强对本单位及施工人员的教育，不影响当地群众正常生活。尊重少数民族习惯，保护当地环境，杜绝因本项目人员引发的刑事治安案例，不影响当地正常生活秩序和风俗习惯。</w:t>
      </w:r>
    </w:p>
    <w:p>
      <w:pPr>
        <w:pStyle w:val="29"/>
        <w:rPr>
          <w:rFonts w:hint="eastAsia" w:ascii="宋体" w:eastAsia="宋体" w:cs="宋体"/>
          <w:color w:val="000000"/>
          <w:kern w:val="0"/>
        </w:rPr>
      </w:pPr>
      <w:r>
        <w:rPr>
          <w:rFonts w:hint="eastAsia" w:ascii="宋体" w:eastAsia="宋体" w:cs="宋体"/>
          <w:color w:val="000000"/>
        </w:rPr>
        <w:t>6)</w:t>
      </w:r>
      <w:r>
        <w:rPr>
          <w:rFonts w:hint="eastAsia" w:ascii="宋体" w:eastAsia="宋体" w:cs="宋体"/>
          <w:color w:val="000000"/>
          <w:kern w:val="0"/>
        </w:rPr>
        <w:t>保护弱势群体合法权益，将各类补偿及时足额、公正公开地补偿给被征用征收对象。</w:t>
      </w:r>
    </w:p>
    <w:p>
      <w:pPr>
        <w:pStyle w:val="29"/>
        <w:rPr>
          <w:rFonts w:hint="eastAsia" w:ascii="宋体" w:eastAsia="宋体" w:cs="宋体"/>
          <w:color w:val="000000"/>
          <w:kern w:val="0"/>
        </w:rPr>
      </w:pPr>
      <w:r>
        <w:rPr>
          <w:rFonts w:hint="eastAsia" w:ascii="宋体" w:eastAsia="宋体" w:cs="宋体"/>
          <w:color w:val="000000"/>
        </w:rPr>
        <w:t>7)</w:t>
      </w:r>
      <w:r>
        <w:rPr>
          <w:rFonts w:hint="eastAsia" w:ascii="宋体" w:eastAsia="宋体" w:cs="宋体"/>
          <w:color w:val="000000"/>
          <w:kern w:val="0"/>
        </w:rPr>
        <w:t>对恶意阻挠施工，借机漫天要价的行为，要通过当地政府、基层组织先进行政府解释，必要时采取法律强制手段，保障正常施工。</w:t>
      </w:r>
    </w:p>
    <w:p>
      <w:pPr>
        <w:rPr>
          <w:rFonts w:hint="eastAsia" w:ascii="宋体" w:eastAsia="宋体" w:cs="宋体"/>
          <w:color w:val="000000"/>
          <w:lang w:eastAsia="zh-CN"/>
        </w:rPr>
      </w:pPr>
      <w:r>
        <w:rPr>
          <w:rFonts w:hint="eastAsia" w:ascii="宋体" w:eastAsia="宋体" w:cs="宋体"/>
          <w:color w:val="000000"/>
        </w:rPr>
        <w:t>预案中的主要内容见表</w:t>
      </w:r>
      <w:r>
        <w:rPr>
          <w:rFonts w:hint="eastAsia" w:eastAsia="宋体" w:cs="宋体"/>
          <w:color w:val="000000"/>
          <w:lang w:val="en-US" w:eastAsia="zh-CN"/>
        </w:rPr>
        <w:t>2.3-5</w:t>
      </w:r>
      <w:r>
        <w:rPr>
          <w:rFonts w:hint="eastAsia" w:ascii="宋体" w:eastAsia="宋体" w:cs="宋体"/>
          <w:color w:val="000000"/>
        </w:rPr>
        <w:t>。</w:t>
      </w:r>
    </w:p>
    <w:p>
      <w:pPr>
        <w:spacing w:line="240" w:lineRule="auto"/>
        <w:ind w:firstLine="0" w:firstLineChars="0"/>
        <w:jc w:val="center"/>
        <w:rPr>
          <w:rFonts w:hint="eastAsia" w:ascii="宋体" w:eastAsia="宋体" w:cs="宋体"/>
          <w:b/>
          <w:color w:val="000000"/>
        </w:rPr>
      </w:pPr>
    </w:p>
    <w:p>
      <w:pPr>
        <w:spacing w:line="240" w:lineRule="auto"/>
        <w:ind w:firstLine="0" w:firstLineChars="0"/>
        <w:jc w:val="center"/>
        <w:rPr>
          <w:rFonts w:hint="eastAsia" w:ascii="宋体" w:eastAsia="宋体" w:cs="宋体"/>
          <w:b/>
          <w:snapToGrid w:val="0"/>
          <w:color w:val="000000"/>
          <w:kern w:val="0"/>
        </w:rPr>
      </w:pPr>
      <w:r>
        <w:rPr>
          <w:rFonts w:hint="eastAsia" w:ascii="宋体" w:eastAsia="宋体" w:cs="宋体"/>
          <w:b/>
          <w:color w:val="000000"/>
        </w:rPr>
        <w:t>表</w:t>
      </w:r>
      <w:r>
        <w:rPr>
          <w:rFonts w:hint="eastAsia" w:eastAsia="宋体" w:cs="宋体"/>
          <w:b/>
          <w:color w:val="000000"/>
          <w:lang w:val="en-US" w:eastAsia="zh-CN"/>
        </w:rPr>
        <w:t>2.3-5</w:t>
      </w:r>
      <w:r>
        <w:rPr>
          <w:rFonts w:hint="eastAsia" w:ascii="宋体" w:eastAsia="宋体" w:cs="宋体"/>
          <w:b/>
          <w:color w:val="000000"/>
        </w:rPr>
        <w:t>土地征用、跨越补偿不到位引发群体性事件专项应急预案</w:t>
      </w:r>
      <w:r>
        <w:rPr>
          <w:rFonts w:hint="eastAsia" w:ascii="宋体" w:eastAsia="宋体" w:cs="宋体"/>
          <w:b/>
          <w:snapToGrid w:val="0"/>
          <w:color w:val="000000"/>
          <w:kern w:val="0"/>
        </w:rPr>
        <w:t>主要内容表</w:t>
      </w:r>
    </w:p>
    <w:tbl>
      <w:tblPr>
        <w:tblStyle w:val="21"/>
        <w:tblW w:w="8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06"/>
        <w:gridCol w:w="1726"/>
        <w:gridCol w:w="6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tcMar>
              <w:top w:w="57" w:type="dxa"/>
            </w:tcMar>
            <w:vAlign w:val="bottom"/>
          </w:tcPr>
          <w:p>
            <w:pPr>
              <w:ind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序号</w:t>
            </w:r>
          </w:p>
        </w:tc>
        <w:tc>
          <w:tcPr>
            <w:tcW w:w="1726" w:type="dxa"/>
            <w:tcBorders>
              <w:top w:val="single" w:color="auto" w:sz="4" w:space="0"/>
              <w:left w:val="single" w:color="auto" w:sz="4" w:space="0"/>
              <w:bottom w:val="single" w:color="auto" w:sz="4" w:space="0"/>
              <w:right w:val="single" w:color="auto" w:sz="4" w:space="0"/>
            </w:tcBorders>
            <w:noWrap/>
            <w:tcMar>
              <w:top w:w="57" w:type="dxa"/>
            </w:tcMar>
            <w:vAlign w:val="bottom"/>
          </w:tcPr>
          <w:p>
            <w:pPr>
              <w:ind w:left="0"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项目</w:t>
            </w:r>
          </w:p>
        </w:tc>
        <w:tc>
          <w:tcPr>
            <w:tcW w:w="6021" w:type="dxa"/>
            <w:tcBorders>
              <w:top w:val="single" w:color="auto" w:sz="4" w:space="0"/>
              <w:left w:val="single" w:color="auto" w:sz="4" w:space="0"/>
              <w:bottom w:val="single" w:color="auto" w:sz="4" w:space="0"/>
              <w:right w:val="single" w:color="auto" w:sz="4" w:space="0"/>
            </w:tcBorders>
            <w:noWrap/>
            <w:tcMar>
              <w:top w:w="57" w:type="dxa"/>
            </w:tcMar>
            <w:vAlign w:val="bottom"/>
          </w:tcPr>
          <w:p>
            <w:pPr>
              <w:ind w:left="0" w:firstLine="0" w:firstLineChars="0"/>
              <w:jc w:val="center"/>
              <w:rPr>
                <w:rFonts w:hint="eastAsia" w:ascii="宋体" w:eastAsia="宋体" w:cs="宋体"/>
                <w:b/>
                <w:color w:val="000000"/>
                <w:sz w:val="21"/>
                <w:szCs w:val="21"/>
              </w:rPr>
            </w:pPr>
            <w:r>
              <w:rPr>
                <w:rFonts w:hint="eastAsia" w:ascii="宋体" w:eastAsia="宋体" w:cs="宋体"/>
                <w:b/>
                <w:color w:val="000000"/>
                <w:sz w:val="21"/>
                <w:szCs w:val="21"/>
              </w:rPr>
              <w:t>预案内容及要求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总则</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明确本预案的编制目的、编制依据和适用范围等内容。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应急工作原则</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满足国家重点能源基础设施项目建设要求的前提下，遵循“决策民主、程序正当、结果公开”的征用征收补偿原则。按法律和当地补偿标准进行补偿安置，保护弱势群体合法权益的原则。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事件类型和危害程度分析</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val="en-US" w:eastAsia="zh-CN"/>
              </w:rPr>
              <w:t>1.</w:t>
            </w:r>
            <w:r>
              <w:rPr>
                <w:rFonts w:hint="eastAsia" w:ascii="宋体" w:eastAsia="宋体" w:cs="宋体"/>
                <w:color w:val="000000"/>
                <w:sz w:val="21"/>
                <w:szCs w:val="21"/>
              </w:rPr>
              <w:t>分析风险的来源、特性。</w:t>
            </w:r>
          </w:p>
          <w:p>
            <w:pPr>
              <w:tabs>
                <w:tab w:val="left" w:pos="360"/>
              </w:tabs>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val="en-US" w:eastAsia="zh-CN"/>
              </w:rPr>
              <w:t>2.</w:t>
            </w:r>
            <w:r>
              <w:rPr>
                <w:rFonts w:hint="eastAsia" w:ascii="宋体" w:eastAsia="宋体" w:cs="宋体"/>
                <w:color w:val="000000"/>
                <w:sz w:val="21"/>
                <w:szCs w:val="21"/>
              </w:rPr>
              <w:t>风险范围及危害程度：因本单位未按规定进行补偿安置，影响牧民合法权益而引发群体性事件。</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风险范围为被征收耕地、林地、草场、房屋的利益群体。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4</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67" w:name="_Toc347009899"/>
            <w:bookmarkStart w:id="68" w:name="_Toc350778527"/>
            <w:bookmarkStart w:id="69" w:name="_Toc361699779"/>
            <w:bookmarkStart w:id="70" w:name="_Toc351374303"/>
            <w:bookmarkStart w:id="71" w:name="_Toc361699853"/>
            <w:bookmarkStart w:id="72" w:name="_Toc361700103"/>
            <w:bookmarkStart w:id="73" w:name="_Toc347779533"/>
            <w:bookmarkStart w:id="74" w:name="_Toc342908367"/>
            <w:bookmarkStart w:id="75" w:name="_Toc343167205"/>
            <w:bookmarkStart w:id="76" w:name="_Toc347779262"/>
            <w:bookmarkStart w:id="77" w:name="_Toc343169731"/>
            <w:bookmarkStart w:id="78" w:name="_Toc343079477"/>
            <w:bookmarkStart w:id="79" w:name="_Toc350876288"/>
            <w:bookmarkStart w:id="80" w:name="_Toc343097551"/>
            <w:bookmarkStart w:id="81" w:name="_Toc347780791"/>
            <w:r>
              <w:rPr>
                <w:rFonts w:hint="eastAsia" w:ascii="宋体" w:eastAsia="宋体" w:cs="宋体"/>
                <w:color w:val="000000"/>
                <w:sz w:val="21"/>
                <w:szCs w:val="21"/>
              </w:rPr>
              <w:t>事件分级</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依据</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，对突发公共事件分为一般、较大、重大、特别重大四级。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82" w:name="_Toc361700104"/>
            <w:bookmarkStart w:id="83" w:name="_Toc343169732"/>
            <w:bookmarkStart w:id="84" w:name="_Toc343167206"/>
            <w:bookmarkStart w:id="85" w:name="_Toc347779534"/>
            <w:bookmarkStart w:id="86" w:name="_Toc347009900"/>
            <w:bookmarkStart w:id="87" w:name="_Toc343097552"/>
            <w:bookmarkStart w:id="88" w:name="_Toc350778528"/>
            <w:bookmarkStart w:id="89" w:name="_Toc350876289"/>
            <w:bookmarkStart w:id="90" w:name="_Toc343079478"/>
            <w:bookmarkStart w:id="91" w:name="_Toc342908368"/>
            <w:bookmarkStart w:id="92" w:name="_Toc351374304"/>
            <w:bookmarkStart w:id="93" w:name="_Toc347780792"/>
            <w:bookmarkStart w:id="94" w:name="_Toc361699780"/>
            <w:bookmarkStart w:id="95" w:name="_Toc361699854"/>
            <w:bookmarkStart w:id="96" w:name="_Toc347779263"/>
            <w:r>
              <w:rPr>
                <w:rFonts w:hint="eastAsia" w:ascii="宋体" w:eastAsia="宋体" w:cs="宋体"/>
                <w:color w:val="000000"/>
                <w:sz w:val="21"/>
                <w:szCs w:val="21"/>
              </w:rPr>
              <w:t>应急组织机构、人员</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应急指挥机构：</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明确本预案所涉突发事件的应急指挥机构组成情况。应包含项目部、监理、当地公安及劳动监察部门；</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指挥机构应设置相应的应急处置工作组</w:t>
            </w:r>
            <w:r>
              <w:rPr>
                <w:rFonts w:hint="eastAsia" w:ascii="宋体" w:eastAsia="宋体" w:cs="宋体"/>
                <w:color w:val="000000"/>
                <w:sz w:val="21"/>
                <w:szCs w:val="21"/>
                <w:lang w:eastAsia="zh-CN"/>
              </w:rPr>
              <w:t>(</w:t>
            </w:r>
            <w:r>
              <w:rPr>
                <w:rFonts w:hint="eastAsia" w:ascii="宋体" w:eastAsia="宋体" w:cs="宋体"/>
                <w:color w:val="000000"/>
                <w:sz w:val="21"/>
                <w:szCs w:val="21"/>
              </w:rPr>
              <w:t>含现场处置、公关外联、物资保障、信息通信、后勤保障、警戒消防疏散、医疗救护，明确各应急处置工作组的设置情况和人员构成情况；</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明确应急指挥平台建设要求。</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应急指挥机构的职责：</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明确应急指挥机构、各应急处置工作组和相关人员的具体职责。</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明确本预案所涉及各有关部门的应急工作职责。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6</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预防与预警</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1.</w:t>
            </w:r>
            <w:r>
              <w:rPr>
                <w:rFonts w:hint="eastAsia" w:ascii="宋体" w:eastAsia="宋体" w:cs="宋体"/>
                <w:color w:val="000000"/>
                <w:sz w:val="21"/>
                <w:szCs w:val="21"/>
              </w:rPr>
              <w:t>风险监测：</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明确风险监测单位和责任；</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风险监测的方法和信息收集渠道；</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风险监测所获得信息直接向筹建处总指挥、副总指挥汇报。</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2.</w:t>
            </w:r>
            <w:r>
              <w:rPr>
                <w:rFonts w:hint="eastAsia" w:ascii="宋体" w:eastAsia="宋体" w:cs="宋体"/>
                <w:color w:val="000000"/>
                <w:sz w:val="21"/>
                <w:szCs w:val="21"/>
              </w:rPr>
              <w:t>预警发布与预警行动：</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根据实际情况进行预警分级；</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明确预警的发布程序和相关要求；</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明确预警发布后的应对程序和措施；</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预警结束：明确结束预警状态的条件、程序和方式。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7</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97" w:name="_Toc351374305"/>
            <w:bookmarkStart w:id="98" w:name="_Toc347779535"/>
            <w:bookmarkStart w:id="99" w:name="_Toc343169733"/>
            <w:bookmarkStart w:id="100" w:name="_Toc347780793"/>
            <w:bookmarkStart w:id="101" w:name="_Toc347009901"/>
            <w:bookmarkStart w:id="102" w:name="_Toc343097553"/>
            <w:bookmarkStart w:id="103" w:name="_Toc343167207"/>
            <w:bookmarkStart w:id="104" w:name="_Toc361700105"/>
            <w:bookmarkStart w:id="105" w:name="_Toc361699855"/>
            <w:bookmarkStart w:id="106" w:name="_Toc361699781"/>
            <w:bookmarkStart w:id="107" w:name="_Toc347779264"/>
            <w:bookmarkStart w:id="108" w:name="_Toc350876290"/>
            <w:bookmarkStart w:id="109" w:name="_Toc343079479"/>
            <w:bookmarkStart w:id="110" w:name="_Toc342908369"/>
            <w:bookmarkStart w:id="111" w:name="_Toc350778529"/>
            <w:r>
              <w:rPr>
                <w:rFonts w:hint="eastAsia" w:ascii="宋体" w:eastAsia="宋体" w:cs="宋体"/>
                <w:color w:val="000000"/>
                <w:sz w:val="21"/>
                <w:szCs w:val="21"/>
              </w:rPr>
              <w:t>信息报告</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c>
        <w:tc>
          <w:tcPr>
            <w:tcW w:w="6021" w:type="dxa"/>
            <w:tcBorders>
              <w:top w:val="single" w:color="auto" w:sz="4" w:space="0"/>
              <w:left w:val="single" w:color="auto" w:sz="4" w:space="0"/>
              <w:bottom w:val="single" w:color="auto" w:sz="4" w:space="0"/>
              <w:right w:val="single" w:color="auto" w:sz="4" w:space="0"/>
            </w:tcBorders>
            <w:noWrap/>
          </w:tcPr>
          <w:p>
            <w:pPr>
              <w:spacing w:line="240" w:lineRule="auto"/>
              <w:ind w:firstLine="0" w:firstLineChars="0"/>
              <w:rPr>
                <w:rFonts w:hint="eastAsia" w:ascii="宋体" w:eastAsia="宋体" w:cs="宋体"/>
                <w:color w:val="000000"/>
                <w:sz w:val="21"/>
                <w:szCs w:val="21"/>
              </w:rPr>
            </w:pPr>
            <w:bookmarkStart w:id="112" w:name="_Toc347780794"/>
            <w:bookmarkStart w:id="113" w:name="_Toc343167208"/>
            <w:bookmarkStart w:id="114" w:name="_Toc343169734"/>
            <w:bookmarkStart w:id="115" w:name="_Toc351374306"/>
            <w:bookmarkStart w:id="116" w:name="_Toc361700106"/>
            <w:bookmarkStart w:id="117" w:name="_Toc361699782"/>
            <w:bookmarkStart w:id="118" w:name="_Toc343097554"/>
            <w:bookmarkStart w:id="119" w:name="_Toc361699856"/>
            <w:bookmarkStart w:id="120" w:name="_Toc350876291"/>
            <w:bookmarkStart w:id="121" w:name="_Toc343079480"/>
            <w:bookmarkStart w:id="122" w:name="_Toc342908370"/>
            <w:bookmarkStart w:id="123" w:name="_Toc347779265"/>
            <w:bookmarkStart w:id="124" w:name="_Toc347779536"/>
            <w:bookmarkStart w:id="125" w:name="_Toc347009902"/>
            <w:bookmarkStart w:id="126" w:name="_Toc350778530"/>
            <w:r>
              <w:rPr>
                <w:rFonts w:hint="eastAsia" w:cs="宋体"/>
                <w:color w:val="000000"/>
                <w:sz w:val="21"/>
                <w:szCs w:val="21"/>
                <w:lang w:val="en-US" w:eastAsia="zh-CN"/>
              </w:rPr>
              <w:t>1.</w:t>
            </w:r>
            <w:r>
              <w:rPr>
                <w:rFonts w:hint="eastAsia" w:ascii="宋体" w:eastAsia="宋体" w:cs="宋体"/>
                <w:color w:val="000000"/>
                <w:sz w:val="21"/>
                <w:szCs w:val="21"/>
              </w:rPr>
              <w:t>明确本单位24小时应急值班电话。</w:t>
            </w:r>
            <w:r>
              <w:rPr>
                <w:rFonts w:hint="eastAsia" w:cs="宋体"/>
                <w:color w:val="000000"/>
                <w:sz w:val="21"/>
                <w:szCs w:val="21"/>
                <w:lang w:val="en-US" w:eastAsia="zh-CN"/>
              </w:rPr>
              <w:t>2.</w:t>
            </w:r>
            <w:r>
              <w:rPr>
                <w:rFonts w:hint="eastAsia" w:ascii="宋体" w:eastAsia="宋体" w:cs="宋体"/>
                <w:color w:val="000000"/>
                <w:sz w:val="21"/>
                <w:szCs w:val="21"/>
              </w:rPr>
              <w:t>明确本预案所涉突发事件发生后，本单位内部和向上级单位进行突发事件信息报告的程序、方式、内容和时限。</w:t>
            </w:r>
            <w:r>
              <w:rPr>
                <w:rFonts w:hint="eastAsia" w:cs="宋体"/>
                <w:color w:val="000000"/>
                <w:sz w:val="21"/>
                <w:szCs w:val="21"/>
                <w:lang w:val="en-US" w:eastAsia="zh-CN"/>
              </w:rPr>
              <w:t>3.</w:t>
            </w:r>
            <w:r>
              <w:rPr>
                <w:rFonts w:hint="eastAsia" w:ascii="宋体" w:eastAsia="宋体" w:cs="宋体"/>
                <w:color w:val="000000"/>
                <w:sz w:val="21"/>
                <w:szCs w:val="21"/>
              </w:rPr>
              <w:t>明确本预案所涉突发事件发生后，向维稳、信访、应急办等部门进行突发事件报告的程序、方式、内容和时限。</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8</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应急响应</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val="en-US" w:eastAsia="zh-CN"/>
              </w:rPr>
              <w:t>1.</w:t>
            </w:r>
            <w:r>
              <w:rPr>
                <w:rFonts w:hint="eastAsia" w:ascii="宋体" w:eastAsia="宋体" w:cs="宋体"/>
                <w:color w:val="000000"/>
                <w:sz w:val="21"/>
                <w:szCs w:val="21"/>
              </w:rPr>
              <w:t>响应分级：依据</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，对突发公共事件分为一般、较大、重大、特别重大四级</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响应程序：针对不同级别的响应，分别明确下列内容，并附以流程图：</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应急响应启动条件</w:t>
            </w:r>
            <w:r>
              <w:rPr>
                <w:rFonts w:hint="eastAsia" w:ascii="宋体" w:eastAsia="宋体" w:cs="宋体"/>
                <w:color w:val="000000"/>
                <w:sz w:val="21"/>
                <w:szCs w:val="21"/>
                <w:lang w:eastAsia="zh-CN"/>
              </w:rPr>
              <w:t>(</w:t>
            </w:r>
            <w:r>
              <w:rPr>
                <w:rFonts w:hint="eastAsia" w:ascii="宋体" w:eastAsia="宋体" w:cs="宋体"/>
                <w:color w:val="000000"/>
                <w:sz w:val="21"/>
                <w:szCs w:val="21"/>
              </w:rPr>
              <w:t>应分级列出</w:t>
            </w:r>
            <w:r>
              <w:rPr>
                <w:rFonts w:hint="eastAsia" w:ascii="宋体" w:eastAsia="宋体" w:cs="宋体"/>
                <w:color w:val="000000"/>
                <w:sz w:val="21"/>
                <w:szCs w:val="21"/>
                <w:lang w:eastAsia="zh-CN"/>
              </w:rPr>
              <w:t>)</w:t>
            </w:r>
            <w:r>
              <w:rPr>
                <w:rFonts w:hint="eastAsia" w:ascii="宋体" w:eastAsia="宋体" w:cs="宋体"/>
                <w:color w:val="000000"/>
                <w:sz w:val="21"/>
                <w:szCs w:val="21"/>
              </w:rPr>
              <w:t>；</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响应启动：宣布响应启动的责任者；</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响应行动：包括召开应急会议、派出前线指挥人员、组建现场工作组及其他应急处置工作小组等；</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4</w:t>
            </w:r>
            <w:r>
              <w:rPr>
                <w:rFonts w:hint="eastAsia" w:ascii="宋体" w:eastAsia="宋体" w:cs="宋体"/>
                <w:color w:val="000000"/>
                <w:sz w:val="21"/>
                <w:szCs w:val="21"/>
                <w:lang w:eastAsia="zh-CN"/>
              </w:rPr>
              <w:t>)</w:t>
            </w:r>
            <w:r>
              <w:rPr>
                <w:rFonts w:hint="eastAsia" w:ascii="宋体" w:eastAsia="宋体" w:cs="宋体"/>
                <w:color w:val="000000"/>
                <w:sz w:val="21"/>
                <w:szCs w:val="21"/>
              </w:rPr>
              <w:t>各有关部门按照响应级别和职责分工开展的应急行动；</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5</w:t>
            </w:r>
            <w:r>
              <w:rPr>
                <w:rFonts w:hint="eastAsia" w:ascii="宋体" w:eastAsia="宋体" w:cs="宋体"/>
                <w:color w:val="000000"/>
                <w:sz w:val="21"/>
                <w:szCs w:val="21"/>
                <w:lang w:eastAsia="zh-CN"/>
              </w:rPr>
              <w:t>)</w:t>
            </w:r>
            <w:r>
              <w:rPr>
                <w:rFonts w:hint="eastAsia" w:ascii="宋体" w:eastAsia="宋体" w:cs="宋体"/>
                <w:color w:val="000000"/>
                <w:sz w:val="21"/>
                <w:szCs w:val="21"/>
              </w:rPr>
              <w:t>向上级单位、政府有关部门及电力监管机构进行应急工作信息报告的格式、内容、时限和责任部门等。</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应急处置：针对事件类别和可能发生的次生事件危险性和特点，明确应急处置措施：</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先期处置：明确突发事件发生后现场人员的即时避险、救治、控制事态发展。隔离危险源等紧急处置措施；</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应急处置：根据事件的级别和发展事态，明确应急指挥、应急行动、资源调配、与社会联动等响应程序，并附以流程图表示；</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扩大应急响应：根据事件的升级，及时提高应急响应级别、改变处置策略。</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4</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应急结束：明确</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应急结束条件；</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应急响应结束程序，包括宣布不同级别应急响应结束的责任人、宣布方式等。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9</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后期处置</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1.</w:t>
            </w:r>
            <w:r>
              <w:rPr>
                <w:rFonts w:hint="eastAsia" w:ascii="宋体" w:eastAsia="宋体" w:cs="宋体"/>
                <w:color w:val="000000"/>
                <w:sz w:val="21"/>
                <w:szCs w:val="21"/>
              </w:rPr>
              <w:t>后期处置、现场恢复的原则和内容；</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2.</w:t>
            </w:r>
            <w:r>
              <w:rPr>
                <w:rFonts w:hint="eastAsia" w:ascii="宋体" w:eastAsia="宋体" w:cs="宋体"/>
                <w:color w:val="000000"/>
                <w:sz w:val="21"/>
                <w:szCs w:val="21"/>
              </w:rPr>
              <w:t>负责保险和理赔的责任部门；</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3.</w:t>
            </w:r>
            <w:r>
              <w:rPr>
                <w:rFonts w:hint="eastAsia" w:ascii="宋体" w:eastAsia="宋体" w:cs="宋体"/>
                <w:color w:val="000000"/>
                <w:sz w:val="21"/>
                <w:szCs w:val="21"/>
              </w:rPr>
              <w:t>事故或事件调查的原则、内容、方法和目的；</w:t>
            </w:r>
          </w:p>
          <w:p>
            <w:pPr>
              <w:spacing w:line="240" w:lineRule="auto"/>
              <w:ind w:firstLine="0" w:firstLineChars="0"/>
              <w:rPr>
                <w:rFonts w:hint="eastAsia" w:ascii="宋体" w:eastAsia="宋体" w:cs="宋体"/>
                <w:color w:val="000000"/>
                <w:sz w:val="21"/>
                <w:szCs w:val="21"/>
              </w:rPr>
            </w:pPr>
            <w:r>
              <w:rPr>
                <w:rFonts w:hint="eastAsia" w:cs="宋体"/>
                <w:color w:val="000000"/>
                <w:sz w:val="21"/>
                <w:szCs w:val="21"/>
                <w:lang w:val="en-US" w:eastAsia="zh-CN"/>
              </w:rPr>
              <w:t>4.</w:t>
            </w:r>
            <w:r>
              <w:rPr>
                <w:rFonts w:hint="eastAsia" w:ascii="宋体" w:eastAsia="宋体" w:cs="宋体"/>
                <w:color w:val="000000"/>
                <w:sz w:val="21"/>
                <w:szCs w:val="21"/>
              </w:rPr>
              <w:t>对预案及本次应急工作进行总结、评价、改进等内容；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10</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应急保障措施</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通信与信息保障：明确与应急工作相关联的单位或人员通信联系方式和方法，并提供备用方案。建立信息通信系统及维护方案，确保应急期间信息通畅。注明</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24小时值班电话；</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2</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应急队伍保障：明确各类应急响应的人力资源，包括专业应急队伍、兼职应急队伍的组织与保障方案；</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应急物资装备保障：明确应急救援需要使用的应急物资和装备的类型、数量、性能、存放位置、管理责任人及其联系方式等内容；</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4</w:t>
            </w:r>
            <w:r>
              <w:rPr>
                <w:rFonts w:hint="eastAsia" w:ascii="宋体" w:eastAsia="宋体" w:cs="宋体"/>
                <w:color w:val="000000"/>
                <w:sz w:val="21"/>
                <w:szCs w:val="21"/>
                <w:lang w:val="en-US" w:eastAsia="zh-CN"/>
              </w:rPr>
              <w:t>.</w:t>
            </w:r>
            <w:r>
              <w:rPr>
                <w:rFonts w:hint="eastAsia" w:ascii="宋体" w:eastAsia="宋体" w:cs="宋体"/>
                <w:color w:val="000000"/>
                <w:sz w:val="21"/>
                <w:szCs w:val="21"/>
              </w:rPr>
              <w:t>经费保障：明确应急专项经费来源、使用范围、数量和监督管理措施，保障应急状态时生产经营单位应急经费的及时到位；</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5</w:t>
            </w:r>
            <w:r>
              <w:rPr>
                <w:rFonts w:hint="eastAsia" w:ascii="宋体" w:eastAsia="宋体" w:cs="宋体"/>
                <w:color w:val="000000"/>
                <w:sz w:val="21"/>
                <w:szCs w:val="21"/>
                <w:lang w:val="en-US" w:eastAsia="zh-CN"/>
              </w:rPr>
              <w:t>.</w:t>
            </w:r>
            <w:r>
              <w:rPr>
                <w:rFonts w:hint="eastAsia" w:ascii="宋体" w:eastAsia="宋体" w:cs="宋体"/>
                <w:color w:val="000000"/>
                <w:sz w:val="21"/>
                <w:szCs w:val="21"/>
              </w:rPr>
              <w:t>其他保障：根据本单位应急工作需求而确定的其他相关保障措施</w:t>
            </w:r>
            <w:r>
              <w:rPr>
                <w:rFonts w:hint="eastAsia" w:ascii="宋体" w:eastAsia="宋体" w:cs="宋体"/>
                <w:color w:val="000000"/>
                <w:sz w:val="21"/>
                <w:szCs w:val="21"/>
                <w:lang w:eastAsia="zh-CN"/>
              </w:rPr>
              <w:t>(</w:t>
            </w:r>
            <w:r>
              <w:rPr>
                <w:rFonts w:hint="eastAsia" w:ascii="宋体" w:eastAsia="宋体" w:cs="宋体"/>
                <w:color w:val="000000"/>
                <w:sz w:val="21"/>
                <w:szCs w:val="21"/>
              </w:rPr>
              <w:t>如：交通运输保障、治安保障、技术保障、医疗保障、后勤保障等</w:t>
            </w:r>
            <w:r>
              <w:rPr>
                <w:rFonts w:hint="eastAsia" w:ascii="宋体" w:eastAsia="宋体" w:cs="宋体"/>
                <w:color w:val="000000"/>
                <w:sz w:val="21"/>
                <w:szCs w:val="21"/>
                <w:lang w:eastAsia="zh-CN"/>
              </w:rPr>
              <w:t>)</w:t>
            </w:r>
            <w:r>
              <w:rPr>
                <w:rFonts w:hint="eastAsia" w:ascii="宋体" w:eastAsia="宋体" w:cs="宋体"/>
                <w:color w:val="000000"/>
                <w:sz w:val="21"/>
                <w:szCs w:val="21"/>
              </w:rPr>
              <w:t>。</w:t>
            </w:r>
            <w:r>
              <w:rPr>
                <w:rFonts w:hint="eastAsia" w:ascii="宋体" w:eastAsia="宋体" w:cs="宋体"/>
                <w:color w:val="000000"/>
                <w:sz w:val="21"/>
                <w:szCs w:val="21"/>
                <w:lang w:eastAsia="zh-CN"/>
              </w:rPr>
              <w:t>(</w:t>
            </w:r>
            <w:r>
              <w:rPr>
                <w:rFonts w:hint="eastAsia" w:ascii="宋体" w:eastAsia="宋体" w:cs="宋体"/>
                <w:color w:val="000000"/>
                <w:sz w:val="21"/>
                <w:szCs w:val="21"/>
              </w:rPr>
              <w:t>其中部分内容可以附件形式列出</w:t>
            </w:r>
            <w:r>
              <w:rPr>
                <w:rFonts w:hint="eastAsia" w:ascii="宋体" w:eastAsia="宋体" w:cs="宋体"/>
                <w:color w:val="000000"/>
                <w:sz w:val="21"/>
                <w:szCs w:val="21"/>
                <w:lang w:eastAsia="zh-CN"/>
              </w:rPr>
              <w:t>)</w:t>
            </w:r>
            <w:r>
              <w:rPr>
                <w:rFonts w:hint="eastAsia" w:ascii="宋体" w:eastAsia="宋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11</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培训与演练</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内部培训：明确对本单位人员开展的应急培训计划、方式和要求。</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演练：明确应急演练的规模、方式、频次、范围、内容、组织、评估、总结等内容。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12</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应急预案备案、衔接、维护和更新</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w:t>
            </w:r>
            <w:r>
              <w:rPr>
                <w:rFonts w:hint="eastAsia" w:cs="宋体"/>
                <w:color w:val="000000"/>
                <w:sz w:val="21"/>
                <w:szCs w:val="21"/>
                <w:lang w:val="en-US" w:eastAsia="zh-CN"/>
              </w:rPr>
              <w:t>.</w:t>
            </w:r>
            <w:r>
              <w:rPr>
                <w:rFonts w:hint="eastAsia" w:ascii="宋体" w:eastAsia="宋体" w:cs="宋体"/>
                <w:color w:val="000000"/>
                <w:sz w:val="21"/>
                <w:szCs w:val="21"/>
              </w:rPr>
              <w:t>本应急预案应向</w:t>
            </w:r>
            <w:r>
              <w:rPr>
                <w:rFonts w:hint="eastAsia" w:ascii="宋体" w:eastAsia="宋体" w:cs="宋体"/>
                <w:color w:val="000000"/>
                <w:sz w:val="21"/>
                <w:szCs w:val="21"/>
                <w:lang w:val="en-US" w:eastAsia="zh-CN"/>
              </w:rPr>
              <w:t>沿线</w:t>
            </w:r>
            <w:r>
              <w:rPr>
                <w:rFonts w:hint="eastAsia" w:eastAsia="宋体" w:cs="宋体"/>
                <w:color w:val="000000"/>
                <w:sz w:val="21"/>
                <w:szCs w:val="21"/>
                <w:lang w:val="en-US" w:eastAsia="zh-CN"/>
              </w:rPr>
              <w:t>各市、县、区</w:t>
            </w:r>
            <w:r>
              <w:rPr>
                <w:rFonts w:hint="eastAsia" w:ascii="宋体" w:eastAsia="宋体" w:cs="宋体"/>
                <w:color w:val="000000"/>
                <w:sz w:val="21"/>
                <w:szCs w:val="21"/>
              </w:rPr>
              <w:t>维稳办、应急办进行报备。</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本预案应与</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衔接接口。</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本应急预案每年定期进行评审，实现可持续改进。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60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13</w:t>
            </w:r>
          </w:p>
        </w:tc>
        <w:tc>
          <w:tcPr>
            <w:tcW w:w="1726"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主要附件</w:t>
            </w:r>
          </w:p>
        </w:tc>
        <w:tc>
          <w:tcPr>
            <w:tcW w:w="6021"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有关应急机构或人员联系方式：</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应急指挥机构人员和联系方式；</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相关单位、部门、组织机构或人员名称及联系方式。</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应急救援队伍信息：</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应急救援队伍名称及联系方式；</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应急处置专家姓名及联系方式；</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与相关的社会应急救援部门签订的应急支援协议及联系方式。</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应急物资储备清单：</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本预案涉及的重要应急装备和物资的名称、型号、数量、图纸、存放地点和管理人员联系方式等；</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重要应急物资供应单位的生产能力、设备图纸和联系方式等；</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、应急救援通信设施型号、数量、存放点等；</w:t>
            </w:r>
            <w:r>
              <w:rPr>
                <w:rFonts w:hint="eastAsia" w:ascii="宋体" w:eastAsia="宋体" w:cs="宋体"/>
                <w:color w:val="000000"/>
                <w:sz w:val="21"/>
                <w:szCs w:val="21"/>
                <w:lang w:eastAsia="zh-CN"/>
              </w:rPr>
              <w:t>(</w:t>
            </w:r>
            <w:r>
              <w:rPr>
                <w:rFonts w:hint="eastAsia" w:ascii="宋体" w:eastAsia="宋体" w:cs="宋体"/>
                <w:color w:val="000000"/>
                <w:sz w:val="21"/>
                <w:szCs w:val="21"/>
              </w:rPr>
              <w:t>4</w:t>
            </w:r>
            <w:r>
              <w:rPr>
                <w:rFonts w:hint="eastAsia" w:ascii="宋体" w:eastAsia="宋体" w:cs="宋体"/>
                <w:color w:val="000000"/>
                <w:sz w:val="21"/>
                <w:szCs w:val="21"/>
                <w:lang w:eastAsia="zh-CN"/>
              </w:rPr>
              <w:t>)</w:t>
            </w:r>
            <w:r>
              <w:rPr>
                <w:rFonts w:hint="eastAsia" w:ascii="宋体" w:eastAsia="宋体" w:cs="宋体"/>
                <w:color w:val="000000"/>
                <w:sz w:val="21"/>
                <w:szCs w:val="21"/>
              </w:rPr>
              <w:t>应急车辆数量及司机联系方式清单。</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4</w:t>
            </w:r>
            <w:r>
              <w:rPr>
                <w:rFonts w:hint="eastAsia" w:ascii="宋体" w:eastAsia="宋体" w:cs="宋体"/>
                <w:color w:val="000000"/>
                <w:sz w:val="21"/>
                <w:szCs w:val="21"/>
                <w:lang w:val="en-US" w:eastAsia="zh-CN"/>
              </w:rPr>
              <w:t>.</w:t>
            </w:r>
            <w:r>
              <w:rPr>
                <w:rFonts w:hint="eastAsia" w:ascii="宋体" w:eastAsia="宋体" w:cs="宋体"/>
                <w:color w:val="000000"/>
                <w:sz w:val="21"/>
                <w:szCs w:val="21"/>
              </w:rPr>
              <w:t>规范化格式文本：列出应急信息接受、处理和上报等规范化格式文本。</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5</w:t>
            </w:r>
            <w:r>
              <w:rPr>
                <w:rFonts w:hint="eastAsia" w:ascii="宋体" w:eastAsia="宋体" w:cs="宋体"/>
                <w:color w:val="000000"/>
                <w:sz w:val="21"/>
                <w:szCs w:val="21"/>
                <w:lang w:val="en-US" w:eastAsia="zh-CN"/>
              </w:rPr>
              <w:t>.</w:t>
            </w:r>
            <w:r>
              <w:rPr>
                <w:rFonts w:hint="eastAsia" w:ascii="宋体" w:eastAsia="宋体" w:cs="宋体"/>
                <w:color w:val="000000"/>
                <w:sz w:val="21"/>
                <w:szCs w:val="21"/>
              </w:rPr>
              <w:t>关键的路线、标识和图纸：</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重要防护目标一览表、分布图；</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应急指挥位置及应急队伍行动路线、人员疏散路线、重要地点等标识；</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相关平面布置图纸、应急力量的分布图纸等。</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6</w:t>
            </w:r>
            <w:r>
              <w:rPr>
                <w:rFonts w:hint="eastAsia" w:ascii="宋体" w:eastAsia="宋体" w:cs="宋体"/>
                <w:color w:val="000000"/>
                <w:sz w:val="21"/>
                <w:szCs w:val="21"/>
                <w:lang w:val="en-US" w:eastAsia="zh-CN"/>
              </w:rPr>
              <w:t>.</w:t>
            </w:r>
            <w:r>
              <w:rPr>
                <w:rFonts w:hint="eastAsia" w:ascii="宋体" w:eastAsia="宋体" w:cs="宋体"/>
                <w:color w:val="000000"/>
                <w:sz w:val="21"/>
                <w:szCs w:val="21"/>
              </w:rPr>
              <w:t>相关应急预案名录：列出直接与本预案相关或相衔接的应急预案名称。</w:t>
            </w:r>
          </w:p>
          <w:p>
            <w:pPr>
              <w:spacing w:line="240" w:lineRule="auto"/>
              <w:ind w:firstLine="0" w:firstLineChars="0"/>
              <w:rPr>
                <w:rFonts w:hint="eastAsia" w:ascii="宋体" w:eastAsia="宋体" w:cs="宋体"/>
                <w:color w:val="000000"/>
                <w:sz w:val="21"/>
                <w:szCs w:val="21"/>
              </w:rPr>
            </w:pPr>
            <w:r>
              <w:rPr>
                <w:rFonts w:hint="eastAsia" w:ascii="宋体" w:eastAsia="宋体" w:cs="宋体"/>
                <w:color w:val="000000"/>
                <w:sz w:val="21"/>
                <w:szCs w:val="21"/>
              </w:rPr>
              <w:t>7</w:t>
            </w:r>
            <w:r>
              <w:rPr>
                <w:rFonts w:hint="eastAsia" w:ascii="宋体" w:eastAsia="宋体" w:cs="宋体"/>
                <w:color w:val="000000"/>
                <w:sz w:val="21"/>
                <w:szCs w:val="21"/>
                <w:lang w:val="en-US" w:eastAsia="zh-CN"/>
              </w:rPr>
              <w:t>.</w:t>
            </w:r>
            <w:r>
              <w:rPr>
                <w:rFonts w:hint="eastAsia" w:ascii="宋体" w:eastAsia="宋体" w:cs="宋体"/>
                <w:color w:val="000000"/>
                <w:sz w:val="21"/>
                <w:szCs w:val="21"/>
              </w:rPr>
              <w:t>有关流程：</w:t>
            </w:r>
            <w:r>
              <w:rPr>
                <w:rFonts w:hint="eastAsia" w:ascii="宋体" w:eastAsia="宋体" w:cs="宋体"/>
                <w:color w:val="000000"/>
                <w:sz w:val="21"/>
                <w:szCs w:val="21"/>
                <w:lang w:eastAsia="zh-CN"/>
              </w:rPr>
              <w:t>(</w:t>
            </w:r>
            <w:r>
              <w:rPr>
                <w:rFonts w:hint="eastAsia" w:ascii="宋体" w:eastAsia="宋体" w:cs="宋体"/>
                <w:color w:val="000000"/>
                <w:sz w:val="21"/>
                <w:szCs w:val="21"/>
              </w:rPr>
              <w:t>1</w:t>
            </w:r>
            <w:r>
              <w:rPr>
                <w:rFonts w:hint="eastAsia" w:ascii="宋体" w:eastAsia="宋体" w:cs="宋体"/>
                <w:color w:val="000000"/>
                <w:sz w:val="21"/>
                <w:szCs w:val="21"/>
                <w:lang w:eastAsia="zh-CN"/>
              </w:rPr>
              <w:t>)</w:t>
            </w:r>
            <w:r>
              <w:rPr>
                <w:rFonts w:hint="eastAsia" w:ascii="宋体" w:eastAsia="宋体" w:cs="宋体"/>
                <w:color w:val="000000"/>
                <w:sz w:val="21"/>
                <w:szCs w:val="21"/>
              </w:rPr>
              <w:t>预警信息发布流程；</w:t>
            </w:r>
            <w:r>
              <w:rPr>
                <w:rFonts w:hint="eastAsia" w:ascii="宋体" w:eastAsia="宋体" w:cs="宋体"/>
                <w:color w:val="000000"/>
                <w:sz w:val="21"/>
                <w:szCs w:val="21"/>
                <w:lang w:eastAsia="zh-CN"/>
              </w:rPr>
              <w:t>(</w:t>
            </w:r>
            <w:r>
              <w:rPr>
                <w:rFonts w:hint="eastAsia" w:ascii="宋体" w:eastAsia="宋体" w:cs="宋体"/>
                <w:color w:val="000000"/>
                <w:sz w:val="21"/>
                <w:szCs w:val="21"/>
              </w:rPr>
              <w:t>2</w:t>
            </w:r>
            <w:r>
              <w:rPr>
                <w:rFonts w:hint="eastAsia" w:ascii="宋体" w:eastAsia="宋体" w:cs="宋体"/>
                <w:color w:val="000000"/>
                <w:sz w:val="21"/>
                <w:szCs w:val="21"/>
                <w:lang w:eastAsia="zh-CN"/>
              </w:rPr>
              <w:t>)</w:t>
            </w:r>
            <w:r>
              <w:rPr>
                <w:rFonts w:hint="eastAsia" w:ascii="宋体" w:eastAsia="宋体" w:cs="宋体"/>
                <w:color w:val="000000"/>
                <w:sz w:val="21"/>
                <w:szCs w:val="21"/>
              </w:rPr>
              <w:t>突发事件信息报告流程；</w:t>
            </w:r>
            <w:r>
              <w:rPr>
                <w:rFonts w:hint="eastAsia" w:ascii="宋体" w:eastAsia="宋体" w:cs="宋体"/>
                <w:color w:val="000000"/>
                <w:sz w:val="21"/>
                <w:szCs w:val="21"/>
                <w:lang w:eastAsia="zh-CN"/>
              </w:rPr>
              <w:t>(</w:t>
            </w:r>
            <w:r>
              <w:rPr>
                <w:rFonts w:hint="eastAsia" w:ascii="宋体" w:eastAsia="宋体" w:cs="宋体"/>
                <w:color w:val="000000"/>
                <w:sz w:val="21"/>
                <w:szCs w:val="21"/>
              </w:rPr>
              <w:t>3</w:t>
            </w:r>
            <w:r>
              <w:rPr>
                <w:rFonts w:hint="eastAsia" w:ascii="宋体" w:eastAsia="宋体" w:cs="宋体"/>
                <w:color w:val="000000"/>
                <w:sz w:val="21"/>
                <w:szCs w:val="21"/>
                <w:lang w:eastAsia="zh-CN"/>
              </w:rPr>
              <w:t>)</w:t>
            </w:r>
            <w:r>
              <w:rPr>
                <w:rFonts w:hint="eastAsia" w:ascii="宋体" w:eastAsia="宋体" w:cs="宋体"/>
                <w:color w:val="000000"/>
                <w:sz w:val="21"/>
                <w:szCs w:val="21"/>
              </w:rPr>
              <w:t>各级应急响应及处置流程。</w:t>
            </w:r>
          </w:p>
        </w:tc>
      </w:tr>
    </w:tbl>
    <w:p>
      <w:pPr>
        <w:pStyle w:val="29"/>
        <w:rPr>
          <w:rFonts w:hint="eastAsia" w:ascii="宋体" w:eastAsia="宋体" w:cs="宋体"/>
          <w:color w:val="000000"/>
          <w:szCs w:val="21"/>
        </w:rPr>
      </w:pPr>
    </w:p>
    <w:p>
      <w:pPr>
        <w:pStyle w:val="29"/>
        <w:rPr>
          <w:rFonts w:hint="eastAsia" w:ascii="宋体" w:eastAsia="宋体" w:cs="宋体"/>
          <w:color w:val="000000"/>
        </w:rPr>
      </w:pPr>
      <w:r>
        <w:rPr>
          <w:rFonts w:hint="eastAsia" w:ascii="宋体" w:eastAsia="宋体" w:cs="宋体"/>
          <w:color w:val="000000"/>
          <w:szCs w:val="21"/>
        </w:rPr>
        <w:t>编制《现场处置暴力恐怖袭击及停电应急预案》</w:t>
      </w:r>
      <w:r>
        <w:rPr>
          <w:rFonts w:hint="eastAsia" w:ascii="宋体" w:eastAsia="宋体" w:cs="宋体"/>
          <w:color w:val="000000"/>
        </w:rPr>
        <w:t>，预案关键防范措施应包括：</w:t>
      </w:r>
    </w:p>
    <w:p>
      <w:pPr>
        <w:rPr>
          <w:rFonts w:hint="eastAsia" w:ascii="宋体" w:eastAsia="宋体" w:cs="宋体"/>
          <w:color w:val="000000"/>
        </w:rPr>
      </w:pPr>
      <w:r>
        <w:rPr>
          <w:rFonts w:hint="eastAsia" w:ascii="宋体" w:eastAsia="宋体" w:cs="宋体"/>
          <w:color w:val="000000"/>
        </w:rPr>
        <w:t>1)高度重视电网反恐工作，落实</w:t>
      </w:r>
      <w:r>
        <w:rPr>
          <w:rFonts w:hint="eastAsia" w:ascii="宋体" w:eastAsia="宋体" w:cs="宋体"/>
          <w:color w:val="000000"/>
          <w:lang w:eastAsia="zh-CN"/>
        </w:rPr>
        <w:t>人防、物防、技防</w:t>
      </w:r>
      <w:r>
        <w:rPr>
          <w:rFonts w:hint="eastAsia" w:ascii="宋体" w:eastAsia="宋体" w:cs="宋体"/>
          <w:color w:val="000000"/>
        </w:rPr>
        <w:t>措施，加强巡检巡逻，加强对</w:t>
      </w:r>
      <w:r>
        <w:rPr>
          <w:rFonts w:hint="eastAsia" w:ascii="宋体" w:eastAsia="宋体" w:cs="宋体"/>
          <w:color w:val="000000"/>
          <w:lang w:eastAsia="zh-CN"/>
        </w:rPr>
        <w:t>变电站</w:t>
      </w:r>
      <w:r>
        <w:rPr>
          <w:rFonts w:hint="eastAsia" w:ascii="宋体" w:eastAsia="宋体" w:cs="宋体"/>
          <w:color w:val="000000"/>
        </w:rPr>
        <w:t>的监控和要害部位出入管理。</w:t>
      </w:r>
    </w:p>
    <w:p>
      <w:pPr>
        <w:rPr>
          <w:rFonts w:hint="eastAsia" w:ascii="宋体" w:eastAsia="宋体" w:cs="宋体"/>
          <w:color w:val="000000"/>
        </w:rPr>
      </w:pPr>
      <w:r>
        <w:rPr>
          <w:rFonts w:hint="eastAsia" w:ascii="宋体" w:eastAsia="宋体" w:cs="宋体"/>
          <w:color w:val="000000"/>
        </w:rPr>
        <w:t>2)做好变电站设备设施的巡检和日常维护，实施设备设施预防式维修和点检定修制、巡检制。</w:t>
      </w:r>
    </w:p>
    <w:p>
      <w:pPr>
        <w:rPr>
          <w:rFonts w:hint="eastAsia" w:ascii="宋体" w:eastAsia="宋体" w:cs="宋体"/>
          <w:color w:val="000000"/>
        </w:rPr>
      </w:pPr>
      <w:r>
        <w:rPr>
          <w:rFonts w:hint="eastAsia" w:ascii="宋体" w:eastAsia="宋体" w:cs="宋体"/>
          <w:color w:val="000000"/>
          <w:szCs w:val="21"/>
        </w:rPr>
        <w:t>3)根据现场实际情况和危险源</w:t>
      </w:r>
      <w:r>
        <w:rPr>
          <w:rFonts w:hint="eastAsia" w:ascii="宋体" w:eastAsia="宋体" w:cs="宋体"/>
          <w:color w:val="000000"/>
          <w:kern w:val="0"/>
        </w:rPr>
        <w:t>分析，可预见的故障(事故)有：</w:t>
      </w:r>
      <w:r>
        <w:rPr>
          <w:rFonts w:hint="eastAsia" w:ascii="宋体" w:eastAsia="宋体" w:cs="宋体"/>
          <w:color w:val="000000"/>
        </w:rPr>
        <w:t>电力生产设备发生事故</w:t>
      </w:r>
      <w:r>
        <w:rPr>
          <w:rFonts w:hint="eastAsia" w:ascii="宋体" w:eastAsia="宋体" w:cs="宋体"/>
          <w:color w:val="000000"/>
          <w:kern w:val="0"/>
        </w:rPr>
        <w:t>；</w:t>
      </w:r>
      <w:r>
        <w:rPr>
          <w:rFonts w:hint="eastAsia" w:ascii="宋体" w:eastAsia="宋体" w:cs="宋体"/>
          <w:color w:val="000000"/>
        </w:rPr>
        <w:t>因严重自然灾害引起电力设施破坏(山洪、地震等)；输变电设备遭受破坏或打击；负荷过载或电力紧张；电力设备故障</w:t>
      </w:r>
      <w:r>
        <w:rPr>
          <w:rFonts w:hint="eastAsia" w:ascii="宋体" w:eastAsia="宋体" w:cs="宋体"/>
          <w:color w:val="000000"/>
          <w:kern w:val="0"/>
        </w:rPr>
        <w:t>等。</w:t>
      </w:r>
      <w:r>
        <w:rPr>
          <w:rFonts w:hint="eastAsia" w:ascii="宋体" w:eastAsia="宋体" w:cs="宋体"/>
          <w:color w:val="000000"/>
        </w:rPr>
        <w:t>必须要有各事故下的相关现场处置方案。必须备齐抢修时的应急资源，提高抢修效率。</w:t>
      </w:r>
    </w:p>
    <w:p>
      <w:pPr>
        <w:rPr>
          <w:rFonts w:hint="eastAsia" w:ascii="宋体" w:eastAsia="宋体" w:cs="宋体"/>
          <w:color w:val="000000"/>
        </w:rPr>
      </w:pPr>
      <w:r>
        <w:rPr>
          <w:rFonts w:hint="eastAsia" w:ascii="宋体" w:eastAsia="宋体" w:cs="宋体"/>
          <w:color w:val="000000"/>
          <w:szCs w:val="21"/>
        </w:rPr>
        <w:t>4)</w:t>
      </w:r>
      <w:r>
        <w:rPr>
          <w:rFonts w:hint="eastAsia" w:ascii="宋体" w:eastAsia="宋体" w:cs="宋体"/>
          <w:color w:val="000000"/>
        </w:rPr>
        <w:t>必须要服从上级电网调度的统一调度安排。</w:t>
      </w:r>
    </w:p>
    <w:p>
      <w:pPr>
        <w:pStyle w:val="20"/>
        <w:spacing w:before="0" w:beforeAutospacing="0" w:after="0" w:afterAutospacing="0"/>
        <w:jc w:val="both"/>
        <w:rPr>
          <w:rFonts w:hint="eastAsia" w:ascii="宋体" w:eastAsia="宋体" w:cs="宋体"/>
          <w:color w:val="000000"/>
        </w:rPr>
      </w:pPr>
      <w:r>
        <w:rPr>
          <w:rFonts w:hint="eastAsia" w:ascii="宋体" w:eastAsia="宋体" w:cs="宋体"/>
          <w:color w:val="000000"/>
          <w:szCs w:val="21"/>
        </w:rPr>
        <w:t>5)</w:t>
      </w:r>
      <w:r>
        <w:rPr>
          <w:rFonts w:hint="eastAsia" w:ascii="宋体" w:eastAsia="宋体" w:cs="宋体"/>
          <w:color w:val="000000"/>
          <w:kern w:val="2"/>
        </w:rPr>
        <w:t>居安思危、预防</w:t>
      </w:r>
      <w:r>
        <w:rPr>
          <w:rFonts w:hint="eastAsia" w:ascii="宋体" w:eastAsia="宋体" w:cs="宋体"/>
          <w:color w:val="000000"/>
        </w:rPr>
        <w:t>为主。加强电力安全管理，落实事故预防和隐患控制措施，防患于未然，加强电力设施保护宣传力度，总裁提高公众保护电力设施的意识，做好应对电网大面积停电事件的各项准备。</w:t>
      </w:r>
    </w:p>
    <w:p>
      <w:pPr>
        <w:pStyle w:val="29"/>
        <w:rPr>
          <w:rFonts w:hint="eastAsia" w:ascii="宋体" w:eastAsia="宋体" w:cs="宋体"/>
          <w:color w:val="000000"/>
          <w:kern w:val="0"/>
        </w:rPr>
      </w:pPr>
      <w:r>
        <w:rPr>
          <w:rFonts w:hint="eastAsia" w:ascii="宋体" w:eastAsia="宋体" w:cs="宋体"/>
          <w:color w:val="000000"/>
          <w:szCs w:val="21"/>
        </w:rPr>
        <w:t>6)</w:t>
      </w:r>
      <w:r>
        <w:rPr>
          <w:rFonts w:hint="eastAsia" w:ascii="宋体" w:eastAsia="宋体" w:cs="宋体"/>
          <w:color w:val="000000"/>
          <w:kern w:val="0"/>
        </w:rPr>
        <w:t>统一领导、</w:t>
      </w:r>
      <w:r>
        <w:rPr>
          <w:rFonts w:hint="eastAsia" w:ascii="宋体" w:eastAsia="宋体" w:cs="宋体"/>
          <w:color w:val="000000"/>
        </w:rPr>
        <w:t>分级负责。落实公司部署，在公司党组统一领导下，按照综合协调、分级管理、分级负责、属地管理的要求，开展变电站</w:t>
      </w:r>
      <w:r>
        <w:rPr>
          <w:rFonts w:hint="eastAsia" w:ascii="宋体" w:eastAsia="宋体" w:cs="宋体"/>
          <w:color w:val="000000"/>
          <w:szCs w:val="21"/>
        </w:rPr>
        <w:t>遭遇暴力恐怖袭击及停电</w:t>
      </w:r>
      <w:r>
        <w:rPr>
          <w:rFonts w:hint="eastAsia" w:ascii="宋体" w:eastAsia="宋体" w:cs="宋体"/>
          <w:color w:val="000000"/>
        </w:rPr>
        <w:t>事件预防和处置工作。其中，电力调度运行处置实行统一调度，分级管理。</w:t>
      </w:r>
    </w:p>
    <w:p>
      <w:pPr>
        <w:pStyle w:val="20"/>
        <w:spacing w:before="0" w:beforeAutospacing="0" w:after="0" w:afterAutospacing="0"/>
        <w:jc w:val="both"/>
        <w:rPr>
          <w:rFonts w:hint="eastAsia" w:ascii="宋体" w:eastAsia="宋体" w:cs="宋体"/>
          <w:color w:val="000000"/>
        </w:rPr>
      </w:pPr>
      <w:r>
        <w:rPr>
          <w:rFonts w:hint="eastAsia" w:ascii="宋体" w:eastAsia="宋体" w:cs="宋体"/>
          <w:color w:val="000000"/>
          <w:szCs w:val="21"/>
        </w:rPr>
        <w:t>7)</w:t>
      </w:r>
      <w:r>
        <w:rPr>
          <w:rFonts w:hint="eastAsia" w:ascii="宋体" w:eastAsia="宋体" w:cs="宋体"/>
          <w:color w:val="000000"/>
          <w:kern w:val="2"/>
        </w:rPr>
        <w:t>把握全局、</w:t>
      </w:r>
      <w:r>
        <w:rPr>
          <w:rFonts w:hint="eastAsia" w:ascii="宋体" w:eastAsia="宋体" w:cs="宋体"/>
          <w:color w:val="000000"/>
        </w:rPr>
        <w:t>保证重点。采取必要手段保证电网安全，防止事故范围进一步扩大，防止发生系统性崩溃和瓦解。</w:t>
      </w:r>
    </w:p>
    <w:p>
      <w:pPr>
        <w:pStyle w:val="20"/>
        <w:spacing w:before="0" w:beforeAutospacing="0" w:after="0" w:afterAutospacing="0"/>
        <w:jc w:val="both"/>
        <w:rPr>
          <w:rFonts w:hint="eastAsia" w:ascii="宋体" w:eastAsia="宋体" w:cs="宋体"/>
          <w:color w:val="000000"/>
          <w:lang w:eastAsia="zh-CN"/>
        </w:rPr>
      </w:pPr>
      <w:r>
        <w:rPr>
          <w:rFonts w:hint="eastAsia" w:ascii="宋体" w:eastAsia="宋体" w:cs="宋体"/>
          <w:color w:val="000000"/>
          <w:szCs w:val="21"/>
        </w:rPr>
        <w:t>8)</w:t>
      </w:r>
      <w:r>
        <w:rPr>
          <w:rFonts w:hint="eastAsia" w:ascii="宋体" w:eastAsia="宋体" w:cs="宋体"/>
          <w:color w:val="000000"/>
          <w:kern w:val="2"/>
        </w:rPr>
        <w:t>在设计阶段实现本质安全化，提高设备安全可靠性。防范人为误操作、保护误动作造成的电网停电。</w:t>
      </w:r>
    </w:p>
    <w:p>
      <w:pPr>
        <w:rPr>
          <w:rFonts w:hint="eastAsia" w:ascii="宋体" w:eastAsia="宋体" w:cs="宋体"/>
          <w:color w:val="000000"/>
          <w:lang w:eastAsia="zh-CN"/>
        </w:rPr>
      </w:pPr>
      <w:r>
        <w:rPr>
          <w:rFonts w:hint="eastAsia" w:ascii="宋体" w:eastAsia="宋体" w:cs="宋体"/>
          <w:color w:val="000000"/>
        </w:rPr>
        <w:t>预案中的主要内容见表</w:t>
      </w:r>
      <w:r>
        <w:rPr>
          <w:rFonts w:hint="eastAsia" w:eastAsia="宋体" w:cs="宋体"/>
          <w:color w:val="000000"/>
          <w:lang w:val="en-US" w:eastAsia="zh-CN"/>
        </w:rPr>
        <w:t>2.3-6</w:t>
      </w:r>
      <w:r>
        <w:rPr>
          <w:rFonts w:hint="eastAsia" w:ascii="宋体" w:eastAsia="宋体" w:cs="宋体"/>
          <w:color w:val="000000"/>
        </w:rPr>
        <w:t>。</w:t>
      </w:r>
    </w:p>
    <w:p>
      <w:pPr>
        <w:spacing w:line="240" w:lineRule="auto"/>
        <w:rPr>
          <w:rFonts w:hint="eastAsia" w:ascii="宋体" w:eastAsia="宋体" w:cs="宋体"/>
          <w:b/>
          <w:bCs/>
          <w:color w:val="000000"/>
        </w:rPr>
      </w:pPr>
      <w:r>
        <w:rPr>
          <w:rFonts w:hint="eastAsia" w:ascii="宋体" w:eastAsia="宋体" w:cs="宋体"/>
          <w:b/>
          <w:bCs/>
          <w:color w:val="000000"/>
        </w:rPr>
        <w:t>表</w:t>
      </w:r>
      <w:r>
        <w:rPr>
          <w:rFonts w:hint="eastAsia" w:eastAsia="宋体" w:cs="宋体"/>
          <w:b/>
          <w:bCs/>
          <w:color w:val="000000"/>
          <w:lang w:val="en-US" w:eastAsia="zh-CN"/>
        </w:rPr>
        <w:t>2.3-6</w:t>
      </w:r>
      <w:r>
        <w:rPr>
          <w:rFonts w:hint="eastAsia" w:cs="宋体"/>
          <w:b/>
          <w:bCs/>
          <w:color w:val="000000"/>
          <w:lang w:val="en-US" w:eastAsia="zh-CN"/>
        </w:rPr>
        <w:t xml:space="preserve">    </w:t>
      </w:r>
      <w:r>
        <w:rPr>
          <w:rFonts w:hint="eastAsia" w:ascii="宋体" w:eastAsia="宋体" w:cs="宋体"/>
          <w:b/>
          <w:bCs/>
          <w:color w:val="000000"/>
        </w:rPr>
        <w:t>现场处置暴力恐怖袭击及停电应急预案主要内容表</w:t>
      </w:r>
    </w:p>
    <w:tbl>
      <w:tblPr>
        <w:tblStyle w:val="21"/>
        <w:tblW w:w="83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99"/>
        <w:gridCol w:w="1763"/>
        <w:gridCol w:w="5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tblHeader/>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序号</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项目</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预案内容及要求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总则</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明确本预案的编制目的、编制依据和适用范围等内容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2</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应急工作原则</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遵循“安全第一、预防为主、综合治理”的方针，以危机事件的预测、预防为基础，以对危机事件过程处理的快捷准确为核心，以全力保证人身、保证设备、保证供电为目标，以建立危机事件的长效管理和应急处理机制为根本，提高快速反应和应急处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3</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事件类型和危害程度分析</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(1)分析风险的来源、特性。</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(2)风险范围及危害程度：对沿线各</w:t>
            </w:r>
            <w:r>
              <w:rPr>
                <w:rFonts w:hint="eastAsia" w:eastAsia="宋体" w:cs="宋体"/>
                <w:color w:val="000000"/>
                <w:kern w:val="0"/>
                <w:sz w:val="21"/>
                <w:szCs w:val="21"/>
                <w:lang w:eastAsia="zh-CN"/>
              </w:rPr>
              <w:t>市、县、区</w:t>
            </w:r>
            <w:r>
              <w:rPr>
                <w:rFonts w:hint="eastAsia" w:ascii="宋体" w:eastAsia="宋体" w:cs="宋体"/>
                <w:color w:val="000000"/>
                <w:kern w:val="0"/>
                <w:sz w:val="21"/>
                <w:szCs w:val="21"/>
              </w:rPr>
              <w:t>的社会稳定产生不利影响。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4</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127" w:name="_Toc361699783"/>
            <w:bookmarkStart w:id="128" w:name="_Toc361700107"/>
            <w:bookmarkStart w:id="129" w:name="_Toc351374307"/>
            <w:bookmarkStart w:id="130" w:name="_Toc347780795"/>
            <w:bookmarkStart w:id="131" w:name="_Toc350876292"/>
            <w:bookmarkStart w:id="132" w:name="_Toc342376600"/>
            <w:bookmarkStart w:id="133" w:name="_Toc343079481"/>
            <w:bookmarkStart w:id="134" w:name="_Toc343167209"/>
            <w:bookmarkStart w:id="135" w:name="_Toc343097555"/>
            <w:bookmarkStart w:id="136" w:name="_Toc343169735"/>
            <w:bookmarkStart w:id="137" w:name="_Toc347779537"/>
            <w:bookmarkStart w:id="138" w:name="_Toc342378039"/>
            <w:bookmarkStart w:id="139" w:name="_Toc361699857"/>
            <w:bookmarkStart w:id="140" w:name="_Toc350778531"/>
            <w:bookmarkStart w:id="141" w:name="_Toc347009903"/>
            <w:bookmarkStart w:id="142" w:name="_Toc347779266"/>
            <w:r>
              <w:rPr>
                <w:rFonts w:hint="eastAsia" w:ascii="宋体" w:eastAsia="宋体" w:cs="宋体"/>
                <w:color w:val="000000"/>
                <w:sz w:val="21"/>
                <w:szCs w:val="21"/>
              </w:rPr>
              <w:t>事件分级</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依据《新疆电力公司电网大面积停电处置应急预案》，将电网大面积停电事件分为一般、较大、重大、特别重大四级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5</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143" w:name="_Toc351374308"/>
            <w:bookmarkStart w:id="144" w:name="_Toc347779267"/>
            <w:bookmarkStart w:id="145" w:name="_Toc343169736"/>
            <w:bookmarkStart w:id="146" w:name="_Toc361700108"/>
            <w:bookmarkStart w:id="147" w:name="_Toc350778532"/>
            <w:bookmarkStart w:id="148" w:name="_Toc361699784"/>
            <w:bookmarkStart w:id="149" w:name="_Toc342376601"/>
            <w:bookmarkStart w:id="150" w:name="_Toc361699858"/>
            <w:bookmarkStart w:id="151" w:name="_Toc350876293"/>
            <w:bookmarkStart w:id="152" w:name="_Toc343097556"/>
            <w:bookmarkStart w:id="153" w:name="_Toc343079482"/>
            <w:bookmarkStart w:id="154" w:name="_Toc342378040"/>
            <w:bookmarkStart w:id="155" w:name="_Toc347009904"/>
            <w:bookmarkStart w:id="156" w:name="_Toc343167210"/>
            <w:bookmarkStart w:id="157" w:name="_Toc347780796"/>
            <w:bookmarkStart w:id="158" w:name="_Toc347779538"/>
            <w:r>
              <w:rPr>
                <w:rFonts w:hint="eastAsia" w:ascii="宋体" w:eastAsia="宋体" w:cs="宋体"/>
                <w:color w:val="000000"/>
                <w:sz w:val="21"/>
                <w:szCs w:val="21"/>
              </w:rPr>
              <w:t>应急组织机构、人员</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lang w:eastAsia="zh-CN"/>
              </w:rPr>
              <w:t>1.</w:t>
            </w:r>
            <w:r>
              <w:rPr>
                <w:rFonts w:hint="eastAsia" w:ascii="宋体" w:eastAsia="宋体" w:cs="宋体"/>
                <w:color w:val="000000"/>
                <w:kern w:val="0"/>
                <w:sz w:val="21"/>
                <w:szCs w:val="21"/>
              </w:rPr>
              <w:t>应急指挥机构：(1)明确本预案所涉突发事件的应急指挥机构组成情况。应包含</w:t>
            </w:r>
            <w:r>
              <w:rPr>
                <w:rFonts w:hint="eastAsia" w:ascii="宋体" w:eastAsia="宋体" w:cs="宋体"/>
                <w:color w:val="000000"/>
                <w:sz w:val="21"/>
                <w:szCs w:val="21"/>
              </w:rPr>
              <w:t>电力调度通信中心</w:t>
            </w:r>
            <w:r>
              <w:rPr>
                <w:rFonts w:hint="eastAsia" w:ascii="宋体" w:eastAsia="宋体" w:cs="宋体"/>
                <w:color w:val="000000"/>
                <w:kern w:val="0"/>
                <w:sz w:val="21"/>
                <w:szCs w:val="21"/>
              </w:rPr>
              <w:t>、安全监察部、生产技术部、</w:t>
            </w:r>
            <w:r>
              <w:rPr>
                <w:rFonts w:hint="eastAsia" w:ascii="宋体" w:eastAsia="宋体" w:cs="宋体"/>
                <w:color w:val="000000"/>
                <w:sz w:val="21"/>
                <w:szCs w:val="21"/>
              </w:rPr>
              <w:t>办公室、物资部及</w:t>
            </w:r>
            <w:r>
              <w:rPr>
                <w:rFonts w:hint="eastAsia" w:ascii="宋体" w:eastAsia="宋体" w:cs="宋体"/>
                <w:color w:val="000000"/>
                <w:kern w:val="0"/>
                <w:sz w:val="21"/>
                <w:szCs w:val="21"/>
              </w:rPr>
              <w:t>当地公安消防部门；(2)指挥机构应设置相应的应急处置工作组(含现场处置、公关外联、物资保障、信息通信、后勤保障)；(3)成立应急处置工作组，包括人员构成情况；(4)明确应急指挥平台建设要求。</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lang w:eastAsia="zh-CN"/>
              </w:rPr>
              <w:t>2.</w:t>
            </w:r>
            <w:r>
              <w:rPr>
                <w:rFonts w:hint="eastAsia" w:ascii="宋体" w:eastAsia="宋体" w:cs="宋体"/>
                <w:color w:val="000000"/>
                <w:kern w:val="0"/>
                <w:sz w:val="21"/>
                <w:szCs w:val="21"/>
              </w:rPr>
              <w:t>应急指挥机构的职责：(1)明确应急指挥机构、各应急处置工作组和相关人员的具体职责。(2)明确本预案所涉及各有关部门的应急工作职责。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6</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kern w:val="0"/>
                <w:sz w:val="21"/>
                <w:szCs w:val="21"/>
              </w:rPr>
            </w:pPr>
            <w:r>
              <w:rPr>
                <w:rFonts w:hint="eastAsia" w:ascii="宋体" w:eastAsia="宋体" w:cs="宋体"/>
                <w:color w:val="000000"/>
                <w:kern w:val="0"/>
                <w:sz w:val="21"/>
                <w:szCs w:val="21"/>
              </w:rPr>
              <w:t>预防与预警</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lang w:eastAsia="zh-CN"/>
              </w:rPr>
              <w:t>1.</w:t>
            </w:r>
            <w:r>
              <w:rPr>
                <w:rFonts w:hint="eastAsia" w:ascii="宋体" w:eastAsia="宋体" w:cs="宋体"/>
                <w:color w:val="000000"/>
                <w:kern w:val="0"/>
                <w:sz w:val="21"/>
                <w:szCs w:val="21"/>
              </w:rPr>
              <w:t>风险监测：(1)明确风险监测单位和责任；(2)明确风险监测的方法和信息收集渠道；(3)风险监测所获得信息直接向调度中心汇报。</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lang w:eastAsia="zh-CN"/>
              </w:rPr>
              <w:t>2.</w:t>
            </w:r>
            <w:r>
              <w:rPr>
                <w:rFonts w:hint="eastAsia" w:ascii="宋体" w:eastAsia="宋体" w:cs="宋体"/>
                <w:color w:val="000000"/>
                <w:kern w:val="0"/>
                <w:sz w:val="21"/>
                <w:szCs w:val="21"/>
              </w:rPr>
              <w:t>预警发布与预警行动：</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(1)根据实际情况进行预警分级；</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(2)明确预警的发布程序和相关要求；</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color w:val="000000"/>
                <w:kern w:val="0"/>
                <w:sz w:val="21"/>
                <w:szCs w:val="21"/>
              </w:rPr>
              <w:t>(3)明确预警发布后的应对程序和措施。</w:t>
            </w:r>
          </w:p>
          <w:p>
            <w:pPr>
              <w:spacing w:line="240" w:lineRule="auto"/>
              <w:ind w:firstLine="0" w:firstLineChars="0"/>
              <w:jc w:val="left"/>
              <w:rPr>
                <w:rFonts w:hint="eastAsia" w:ascii="宋体" w:eastAsia="宋体" w:cs="宋体"/>
                <w:color w:val="000000"/>
                <w:kern w:val="0"/>
                <w:sz w:val="21"/>
                <w:szCs w:val="21"/>
              </w:rPr>
            </w:pPr>
            <w:r>
              <w:rPr>
                <w:rFonts w:hint="eastAsia" w:ascii="宋体" w:eastAsia="宋体" w:cs="宋体"/>
                <w:bCs/>
                <w:color w:val="000000"/>
                <w:kern w:val="0"/>
                <w:sz w:val="21"/>
                <w:szCs w:val="21"/>
                <w:lang w:eastAsia="zh-CN"/>
              </w:rPr>
              <w:t>3.</w:t>
            </w:r>
            <w:r>
              <w:rPr>
                <w:rFonts w:hint="eastAsia" w:ascii="宋体" w:eastAsia="宋体" w:cs="宋体"/>
                <w:bCs/>
                <w:color w:val="000000"/>
                <w:kern w:val="0"/>
                <w:sz w:val="21"/>
                <w:szCs w:val="21"/>
              </w:rPr>
              <w:t>预警结束：</w:t>
            </w:r>
            <w:r>
              <w:rPr>
                <w:rFonts w:hint="eastAsia" w:ascii="宋体" w:eastAsia="宋体" w:cs="宋体"/>
                <w:color w:val="000000"/>
                <w:kern w:val="0"/>
                <w:sz w:val="21"/>
                <w:szCs w:val="21"/>
              </w:rPr>
              <w:t>明确结束预警状态的条件、程序和方式。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7</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bookmarkStart w:id="159" w:name="_Toc361699785"/>
            <w:bookmarkStart w:id="160" w:name="_Toc347009905"/>
            <w:bookmarkStart w:id="161" w:name="_Toc361700109"/>
            <w:bookmarkStart w:id="162" w:name="_Toc347780797"/>
            <w:bookmarkStart w:id="163" w:name="_Toc342378041"/>
            <w:bookmarkStart w:id="164" w:name="_Toc347779268"/>
            <w:bookmarkStart w:id="165" w:name="_Toc351374309"/>
            <w:bookmarkStart w:id="166" w:name="_Toc343079483"/>
            <w:bookmarkStart w:id="167" w:name="_Toc350876294"/>
            <w:bookmarkStart w:id="168" w:name="_Toc350778533"/>
            <w:bookmarkStart w:id="169" w:name="_Toc347779539"/>
            <w:bookmarkStart w:id="170" w:name="_Toc343167211"/>
            <w:bookmarkStart w:id="171" w:name="_Toc342376602"/>
            <w:bookmarkStart w:id="172" w:name="_Toc343097557"/>
            <w:bookmarkStart w:id="173" w:name="_Toc343169737"/>
            <w:bookmarkStart w:id="174" w:name="_Toc361699859"/>
            <w:r>
              <w:rPr>
                <w:rFonts w:hint="eastAsia" w:ascii="宋体" w:eastAsia="宋体" w:cs="宋体"/>
                <w:color w:val="000000"/>
                <w:sz w:val="21"/>
                <w:szCs w:val="21"/>
              </w:rPr>
              <w:t>信息报告</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c>
        <w:tc>
          <w:tcPr>
            <w:tcW w:w="5792" w:type="dxa"/>
            <w:tcBorders>
              <w:top w:val="single" w:color="auto" w:sz="4" w:space="0"/>
              <w:left w:val="single" w:color="auto" w:sz="4" w:space="0"/>
              <w:bottom w:val="single" w:color="auto" w:sz="4" w:space="0"/>
              <w:right w:val="single" w:color="auto" w:sz="4" w:space="0"/>
            </w:tcBorders>
            <w:noWrap/>
          </w:tcPr>
          <w:p>
            <w:pPr>
              <w:spacing w:line="240" w:lineRule="auto"/>
              <w:ind w:firstLine="0" w:firstLineChars="0"/>
              <w:jc w:val="left"/>
              <w:rPr>
                <w:rFonts w:hint="eastAsia" w:ascii="宋体" w:eastAsia="宋体" w:cs="宋体"/>
                <w:color w:val="000000"/>
                <w:sz w:val="21"/>
                <w:szCs w:val="21"/>
              </w:rPr>
            </w:pPr>
            <w:bookmarkStart w:id="175" w:name="_Toc343097558"/>
            <w:bookmarkStart w:id="176" w:name="_Toc361699786"/>
            <w:bookmarkStart w:id="177" w:name="_Toc361699860"/>
            <w:bookmarkStart w:id="178" w:name="_Toc350778534"/>
            <w:bookmarkStart w:id="179" w:name="_Toc343167212"/>
            <w:bookmarkStart w:id="180" w:name="_Toc347780798"/>
            <w:bookmarkStart w:id="181" w:name="_Toc343079484"/>
            <w:bookmarkStart w:id="182" w:name="_Toc361700110"/>
            <w:bookmarkStart w:id="183" w:name="_Toc342378042"/>
            <w:bookmarkStart w:id="184" w:name="_Toc342376603"/>
            <w:bookmarkStart w:id="185" w:name="_Toc343169738"/>
            <w:bookmarkStart w:id="186" w:name="_Toc347009906"/>
            <w:bookmarkStart w:id="187" w:name="_Toc351374310"/>
            <w:bookmarkStart w:id="188" w:name="_Toc347779540"/>
            <w:bookmarkStart w:id="189" w:name="_Toc347779269"/>
            <w:bookmarkStart w:id="190" w:name="_Toc350876295"/>
            <w:r>
              <w:rPr>
                <w:rFonts w:hint="eastAsia" w:cs="宋体"/>
                <w:color w:val="000000"/>
                <w:sz w:val="21"/>
                <w:szCs w:val="21"/>
                <w:lang w:val="en-US" w:eastAsia="zh-CN"/>
              </w:rPr>
              <w:t>1.</w:t>
            </w:r>
            <w:r>
              <w:rPr>
                <w:rFonts w:hint="eastAsia" w:ascii="宋体" w:eastAsia="宋体" w:cs="宋体"/>
                <w:color w:val="000000"/>
                <w:sz w:val="21"/>
                <w:szCs w:val="21"/>
              </w:rPr>
              <w:t>明确本单位24小时应急值班电话；</w:t>
            </w:r>
            <w:r>
              <w:rPr>
                <w:rFonts w:hint="eastAsia" w:cs="宋体"/>
                <w:color w:val="000000"/>
                <w:sz w:val="21"/>
                <w:szCs w:val="21"/>
                <w:lang w:val="en-US" w:eastAsia="zh-CN"/>
              </w:rPr>
              <w:t>2.</w:t>
            </w:r>
            <w:r>
              <w:rPr>
                <w:rFonts w:hint="eastAsia" w:ascii="宋体" w:eastAsia="宋体" w:cs="宋体"/>
                <w:color w:val="000000"/>
                <w:sz w:val="21"/>
                <w:szCs w:val="21"/>
              </w:rPr>
              <w:t>明确本预案所涉突发事件发生后，本单位内部、向电网上级调度部门和上级单位进行突发事件信息报告的程序、方式、内容和时限。</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8</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应急响应</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响应分级：依据《</w:t>
            </w:r>
            <w:r>
              <w:rPr>
                <w:rFonts w:hint="eastAsia" w:ascii="宋体" w:eastAsia="宋体" w:cs="宋体"/>
                <w:color w:val="000000"/>
                <w:kern w:val="0"/>
                <w:sz w:val="21"/>
                <w:szCs w:val="21"/>
              </w:rPr>
              <w:t>新疆电力公司电网</w:t>
            </w:r>
            <w:r>
              <w:rPr>
                <w:rFonts w:hint="eastAsia" w:ascii="宋体" w:eastAsia="宋体" w:cs="宋体"/>
                <w:color w:val="000000"/>
                <w:sz w:val="21"/>
                <w:szCs w:val="21"/>
              </w:rPr>
              <w:t>大面积停电事件应急预案》，按照电网停电范围和事故严重程度，将大面积停电分</w:t>
            </w:r>
            <w:r>
              <w:rPr>
                <w:rFonts w:hint="eastAsia" w:ascii="宋体" w:eastAsia="宋体" w:cs="宋体"/>
                <w:color w:val="000000"/>
                <w:kern w:val="0"/>
                <w:sz w:val="21"/>
                <w:szCs w:val="21"/>
              </w:rPr>
              <w:t>为一般、较大、重大、特别重大四级</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2</w:t>
            </w:r>
            <w:r>
              <w:rPr>
                <w:rFonts w:hint="eastAsia" w:ascii="宋体" w:eastAsia="宋体" w:cs="宋体"/>
                <w:color w:val="000000"/>
                <w:sz w:val="21"/>
                <w:szCs w:val="21"/>
                <w:lang w:val="en-US" w:eastAsia="zh-CN"/>
              </w:rPr>
              <w:t>.</w:t>
            </w:r>
            <w:r>
              <w:rPr>
                <w:rFonts w:hint="eastAsia" w:ascii="宋体" w:eastAsia="宋体" w:cs="宋体"/>
                <w:color w:val="000000"/>
                <w:sz w:val="21"/>
                <w:szCs w:val="21"/>
              </w:rPr>
              <w:t>响应程序：针对不同级别的响应，分别明确下列内容，并附以流程图：</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(1)应急响应启动条件(应分级列出)；</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(2)响应启动：宣布响应启动的责任者；</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(3)响应行动：包括召开应急会议、派出前线指挥人员、组建现场工作组及其他应急处置工作小组等；</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(4)各有关部门按照响应级别和职责分工开展的应急行动；</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(5)向上级单位、政府有关部门及电力监管机构进行应急工作信息报告的格式、内容、时限和责任部门等。</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3</w:t>
            </w:r>
            <w:r>
              <w:rPr>
                <w:rFonts w:hint="eastAsia" w:ascii="宋体" w:eastAsia="宋体" w:cs="宋体"/>
                <w:color w:val="000000"/>
                <w:sz w:val="21"/>
                <w:szCs w:val="21"/>
                <w:lang w:val="en-US" w:eastAsia="zh-CN"/>
              </w:rPr>
              <w:t>.</w:t>
            </w:r>
            <w:r>
              <w:rPr>
                <w:rFonts w:hint="eastAsia" w:ascii="宋体" w:eastAsia="宋体" w:cs="宋体"/>
                <w:color w:val="000000"/>
                <w:sz w:val="21"/>
                <w:szCs w:val="21"/>
              </w:rPr>
              <w:t>应急处置：针对事件类别和可能发生的次生事件危险性和特点，明确应急处置措施：</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(1)先期处置：明确突发事件发生后的即时抢修、调整电网运行方式等，控制事态发展。</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(2)应急处置：根据事件的级别和发展事态，明确应急指挥、应急行动、资源调配、与社会联动等响应程序，并附以流程图表示；</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(3)扩大应急响应：根据事件的升级，及时提高应急响应级别、改变处置策略。</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4.</w:t>
            </w:r>
            <w:r>
              <w:rPr>
                <w:rFonts w:hint="eastAsia" w:ascii="宋体" w:eastAsia="宋体" w:cs="宋体"/>
                <w:color w:val="000000"/>
                <w:sz w:val="21"/>
                <w:szCs w:val="21"/>
              </w:rPr>
              <w:t>应急结束：明确(1)应急结束条件；(2)应急响应结束程序，包括宣布不同级别应急响应结束的责任人、宣布方式等。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9</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后期处置</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后期处置、恢复重建的原则和内容；</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负责保险和理赔的责任部门；</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事故或事件调查的原则、内容、方法和目的；</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4.</w:t>
            </w:r>
            <w:r>
              <w:rPr>
                <w:rFonts w:hint="eastAsia" w:ascii="宋体" w:eastAsia="宋体" w:cs="宋体"/>
                <w:color w:val="000000"/>
                <w:sz w:val="21"/>
                <w:szCs w:val="21"/>
              </w:rPr>
              <w:t>对预案及本次应急工作进行总结、评价、改进等内容。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10</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应急保障措施</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通信与信息保障：明确与应急工作相关联的单位或人员通信联系方式和方法，并提供备用方案。建立信息通信系统及维护方案，确保应急期间信息通畅。</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应急队伍保障：明确各类应急响应的人力资源，包括专业应急队伍、兼职应急队伍的组织与保障方案。</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应急物资装备保障：明确应急救援需要使用的应急物资和装备的类型、数量、性能、存放位置、管理责任人及其联系方式等内容。</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4.</w:t>
            </w:r>
            <w:r>
              <w:rPr>
                <w:rFonts w:hint="eastAsia" w:ascii="宋体" w:eastAsia="宋体" w:cs="宋体"/>
                <w:color w:val="000000"/>
                <w:sz w:val="21"/>
                <w:szCs w:val="21"/>
              </w:rPr>
              <w:t>应急电源：明确应急电源的类型、容量、存放位置及日常保养等内容.</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5.</w:t>
            </w:r>
            <w:r>
              <w:rPr>
                <w:rFonts w:hint="eastAsia" w:ascii="宋体" w:eastAsia="宋体" w:cs="宋体"/>
                <w:color w:val="000000"/>
                <w:sz w:val="21"/>
                <w:szCs w:val="21"/>
              </w:rPr>
              <w:t>经费保障：明确应急专项经费来源、使用范围、数量和监督管理措施，保障应急状态时生产经营单位应急经费的及时到位。</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6.</w:t>
            </w:r>
            <w:r>
              <w:rPr>
                <w:rFonts w:hint="eastAsia" w:ascii="宋体" w:eastAsia="宋体" w:cs="宋体"/>
                <w:color w:val="000000"/>
                <w:sz w:val="21"/>
                <w:szCs w:val="21"/>
              </w:rPr>
              <w:t>其他保障：根据本单位应急工作需求而确定的其他相关保障措施(如：交通运输保障、治安保障、技术保障、医疗保障、后勤保障等)。(其中部分内容可以附件形式列出)。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11</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培训与演练</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内部培训：明确对本单位人员开展的应急培训计划、方式和要求；</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外部培训：对主要用电大客户；</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演练：明确应急演练的规模、方式、频次、范围、内容、组织、评估、总结等内容。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12</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应急预案备案、衔接、维护和更新</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1</w:t>
            </w:r>
            <w:r>
              <w:rPr>
                <w:rFonts w:hint="eastAsia" w:ascii="宋体" w:eastAsia="宋体" w:cs="宋体"/>
                <w:color w:val="000000"/>
                <w:sz w:val="21"/>
                <w:szCs w:val="21"/>
                <w:lang w:val="en-US" w:eastAsia="zh-CN"/>
              </w:rPr>
              <w:t>.</w:t>
            </w:r>
            <w:r>
              <w:rPr>
                <w:rFonts w:hint="eastAsia" w:ascii="宋体" w:eastAsia="宋体" w:cs="宋体"/>
                <w:color w:val="000000"/>
                <w:sz w:val="21"/>
                <w:szCs w:val="21"/>
              </w:rPr>
              <w:t>本应急预案应向新疆电力公司</w:t>
            </w:r>
            <w:r>
              <w:rPr>
                <w:rFonts w:hint="eastAsia" w:ascii="宋体" w:eastAsia="宋体" w:cs="宋体"/>
                <w:color w:val="000000"/>
                <w:sz w:val="21"/>
                <w:szCs w:val="21"/>
                <w:lang w:val="en-US" w:eastAsia="zh-CN"/>
              </w:rPr>
              <w:t>及</w:t>
            </w:r>
            <w:r>
              <w:rPr>
                <w:rFonts w:hint="eastAsia" w:eastAsia="宋体" w:cs="宋体"/>
                <w:color w:val="000000"/>
                <w:sz w:val="21"/>
                <w:szCs w:val="21"/>
                <w:lang w:val="en-US" w:eastAsia="zh-CN"/>
              </w:rPr>
              <w:t>各市、县、区</w:t>
            </w:r>
            <w:r>
              <w:rPr>
                <w:rFonts w:hint="eastAsia" w:ascii="宋体" w:eastAsia="宋体" w:cs="宋体"/>
                <w:color w:val="000000"/>
                <w:sz w:val="21"/>
                <w:szCs w:val="21"/>
                <w:lang w:val="en-US" w:eastAsia="zh-CN"/>
              </w:rPr>
              <w:t>供电公司</w:t>
            </w:r>
            <w:r>
              <w:rPr>
                <w:rFonts w:hint="eastAsia" w:ascii="宋体" w:eastAsia="宋体" w:cs="宋体"/>
                <w:color w:val="000000"/>
                <w:sz w:val="21"/>
                <w:szCs w:val="21"/>
              </w:rPr>
              <w:t>进行报备。</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2</w:t>
            </w:r>
            <w:r>
              <w:rPr>
                <w:rFonts w:hint="eastAsia" w:ascii="宋体" w:eastAsia="宋体" w:cs="宋体"/>
                <w:color w:val="000000"/>
                <w:sz w:val="21"/>
                <w:szCs w:val="21"/>
                <w:lang w:val="en-US" w:eastAsia="zh-CN"/>
              </w:rPr>
              <w:t>.</w:t>
            </w:r>
            <w:r>
              <w:rPr>
                <w:rFonts w:hint="eastAsia" w:ascii="宋体" w:eastAsia="宋体" w:cs="宋体"/>
                <w:color w:val="000000"/>
                <w:sz w:val="21"/>
                <w:szCs w:val="21"/>
              </w:rPr>
              <w:t>本预案应与</w:t>
            </w:r>
            <w:r>
              <w:rPr>
                <w:rFonts w:hint="eastAsia" w:eastAsia="宋体" w:cs="宋体"/>
                <w:color w:val="000000"/>
                <w:sz w:val="21"/>
                <w:szCs w:val="21"/>
                <w:lang w:eastAsia="zh-CN"/>
              </w:rPr>
              <w:t>《</w:t>
            </w:r>
            <w:r>
              <w:rPr>
                <w:rFonts w:hint="eastAsia" w:cs="宋体"/>
                <w:color w:val="000000"/>
                <w:sz w:val="21"/>
                <w:szCs w:val="21"/>
                <w:lang w:eastAsia="zh-CN"/>
              </w:rPr>
              <w:t>巴州</w:t>
            </w:r>
            <w:r>
              <w:rPr>
                <w:rFonts w:hint="eastAsia" w:eastAsia="宋体" w:cs="宋体"/>
                <w:color w:val="000000"/>
                <w:sz w:val="21"/>
                <w:szCs w:val="21"/>
                <w:lang w:eastAsia="zh-CN"/>
              </w:rPr>
              <w:t>地区突发事件总体应急预案》（</w:t>
            </w:r>
            <w:r>
              <w:rPr>
                <w:rFonts w:hint="eastAsia" w:eastAsia="宋体" w:cs="宋体"/>
                <w:color w:val="000000"/>
                <w:sz w:val="21"/>
                <w:szCs w:val="21"/>
                <w:lang w:val="en-US" w:eastAsia="zh-CN"/>
              </w:rPr>
              <w:t>2020年7月1日起实施</w:t>
            </w:r>
            <w:r>
              <w:rPr>
                <w:rFonts w:hint="eastAsia" w:eastAsia="宋体" w:cs="宋体"/>
                <w:color w:val="000000"/>
                <w:sz w:val="21"/>
                <w:szCs w:val="21"/>
                <w:lang w:eastAsia="zh-CN"/>
              </w:rPr>
              <w:t>）</w:t>
            </w:r>
            <w:r>
              <w:rPr>
                <w:rFonts w:hint="eastAsia" w:ascii="宋体" w:eastAsia="宋体" w:cs="宋体"/>
                <w:color w:val="000000"/>
                <w:sz w:val="21"/>
                <w:szCs w:val="21"/>
              </w:rPr>
              <w:t>衔接接口。</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3</w:t>
            </w:r>
            <w:r>
              <w:rPr>
                <w:rFonts w:hint="eastAsia" w:ascii="宋体" w:eastAsia="宋体" w:cs="宋体"/>
                <w:color w:val="000000"/>
                <w:sz w:val="21"/>
                <w:szCs w:val="21"/>
                <w:lang w:val="en-US" w:eastAsia="zh-CN"/>
              </w:rPr>
              <w:t>.</w:t>
            </w:r>
            <w:r>
              <w:rPr>
                <w:rFonts w:hint="eastAsia" w:ascii="宋体" w:eastAsia="宋体" w:cs="宋体"/>
                <w:color w:val="000000"/>
                <w:sz w:val="21"/>
                <w:szCs w:val="21"/>
              </w:rPr>
              <w:t>本应急预案每年定期进行评审，实现可持续改进。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79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13</w:t>
            </w:r>
          </w:p>
        </w:tc>
        <w:tc>
          <w:tcPr>
            <w:tcW w:w="1763"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主要附件</w:t>
            </w:r>
          </w:p>
        </w:tc>
        <w:tc>
          <w:tcPr>
            <w:tcW w:w="5792"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有关应急机构或人员联系方式：(1)应急指挥机构人员和联系方式；(2)相关单位、部门、组织机构或人员名称及联系方式。</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应急救援队伍信息：(1)应急救援队伍名称及联系方式；(2)应急处置专家姓名及联系方式；(3)与相关的社会应急救援部门签订的应急支援协议及联系方式。</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应急物资储备清单：(1)本预案涉及的重要应急装备和物资的名称、型号、数量、参数、存放地点和管理人员联系方式等；(2)重要应急物资供应单位的生产能力、设备图纸和联系方式等；(3)应急救援通信设施型号、数量、存放点等；(4)应急车辆数量及司机联系方式清单。</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4.</w:t>
            </w:r>
            <w:r>
              <w:rPr>
                <w:rFonts w:hint="eastAsia" w:ascii="宋体" w:eastAsia="宋体" w:cs="宋体"/>
                <w:color w:val="000000"/>
                <w:sz w:val="21"/>
                <w:szCs w:val="21"/>
              </w:rPr>
              <w:t>规范化格式文本：列出应急信息接受、处理和上报等规范化格式文本。</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5.</w:t>
            </w:r>
            <w:r>
              <w:rPr>
                <w:rFonts w:hint="eastAsia" w:ascii="宋体" w:eastAsia="宋体" w:cs="宋体"/>
                <w:color w:val="000000"/>
                <w:sz w:val="21"/>
                <w:szCs w:val="21"/>
              </w:rPr>
              <w:t>关键的路线、标识和图纸：(1)重要防护目标一览表、分布图。</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(2)应急指挥位置及应急队伍行动路线、人员疏散路线、重要地点等标识。(3)相关平面布置图纸、应急力量的分布图纸等。</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6.</w:t>
            </w:r>
            <w:r>
              <w:rPr>
                <w:rFonts w:hint="eastAsia" w:ascii="宋体" w:eastAsia="宋体" w:cs="宋体"/>
                <w:color w:val="000000"/>
                <w:sz w:val="21"/>
                <w:szCs w:val="21"/>
              </w:rPr>
              <w:t>相关应急预案名录：列出直接与本预案相关或相衔接的应急预案名称。</w:t>
            </w:r>
          </w:p>
          <w:p>
            <w:pPr>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lang w:eastAsia="zh-CN"/>
              </w:rPr>
              <w:t>7.</w:t>
            </w:r>
            <w:r>
              <w:rPr>
                <w:rFonts w:hint="eastAsia" w:ascii="宋体" w:eastAsia="宋体" w:cs="宋体"/>
                <w:color w:val="000000"/>
                <w:sz w:val="21"/>
                <w:szCs w:val="21"/>
              </w:rPr>
              <w:t>有关流程：(1)预警信息发布流程。(2)突发事件信息报告流程。(3)各级应急响应及处置流程。</w:t>
            </w:r>
          </w:p>
        </w:tc>
      </w:tr>
    </w:tbl>
    <w:p>
      <w:pPr>
        <w:ind w:left="0" w:firstLine="0" w:firstLineChars="0"/>
        <w:rPr>
          <w:rFonts w:hint="eastAsia"/>
          <w:color w:val="000000"/>
          <w:lang w:val="en-US" w:eastAsia="zh-CN"/>
        </w:rPr>
      </w:pPr>
    </w:p>
    <w:p>
      <w:pPr>
        <w:keepNext w:val="0"/>
        <w:keepLines w:val="0"/>
        <w:pageBreakBefore w:val="0"/>
        <w:widowControl w:val="0"/>
        <w:kinsoku/>
        <w:wordWrap/>
        <w:overflowPunct/>
        <w:topLinePunct w:val="0"/>
        <w:autoSpaceDE/>
        <w:autoSpaceDN/>
        <w:bidi w:val="0"/>
        <w:adjustRightInd w:val="0"/>
        <w:snapToGrid/>
        <w:spacing w:before="156" w:beforeLines="50" w:line="360" w:lineRule="auto"/>
        <w:ind w:left="0" w:right="0" w:firstLine="0" w:firstLineChars="0"/>
        <w:jc w:val="both"/>
        <w:textAlignment w:val="auto"/>
        <w:outlineLvl w:val="2"/>
        <w:rPr>
          <w:rFonts w:hint="eastAsia"/>
          <w:b/>
          <w:color w:val="000000"/>
        </w:rPr>
      </w:pPr>
      <w:r>
        <w:rPr>
          <w:rFonts w:hint="eastAsia"/>
          <w:b/>
          <w:color w:val="000000"/>
          <w:lang w:val="en-US" w:eastAsia="zh-CN"/>
        </w:rPr>
        <w:t>2.3.4</w:t>
      </w:r>
      <w:r>
        <w:rPr>
          <w:rFonts w:hint="eastAsia"/>
          <w:b/>
          <w:color w:val="000000"/>
        </w:rPr>
        <w:t>其他风险防范措施</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要督促施工单位加强对施工人员的法制教育、民族团结教育，遵纪守法，尊重当地少数民族风俗习惯。</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严格要求项目各方人员，遵守交通规则，尊重少数民族风俗习惯，文明施工，不影响当地企业、居民正常生产、生活秩序。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项目施工前，应按相关文物保护规定办理文物手续，在施工中若发现文物遗存，应立即停止施工并及时通知有关文物部门，待文物得到保护后，方可施工。</w:t>
      </w:r>
    </w:p>
    <w:p>
      <w:pPr>
        <w:keepNext w:val="0"/>
        <w:keepLines w:val="0"/>
        <w:pageBreakBefore w:val="0"/>
        <w:widowControl w:val="0"/>
        <w:tabs>
          <w:tab w:val="left" w:pos="0"/>
        </w:tabs>
        <w:kinsoku/>
        <w:wordWrap/>
        <w:overflowPunct/>
        <w:topLinePunct w:val="0"/>
        <w:autoSpaceDE/>
        <w:autoSpaceDN/>
        <w:bidi w:val="0"/>
        <w:adjustRightInd/>
        <w:snapToGrid w:val="0"/>
        <w:textAlignment w:val="auto"/>
        <w:rPr>
          <w:rFonts w:hint="eastAsia" w:ascii="宋体" w:eastAsia="宋体" w:cs="宋体"/>
          <w:b/>
          <w:bCs/>
          <w:color w:val="000000"/>
          <w:szCs w:val="21"/>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bCs/>
          <w:color w:val="000000"/>
          <w:szCs w:val="21"/>
        </w:rPr>
        <w:t>对塔基基坑应进行围护，设置显著标识，防止人畜跌入后造成伤害。</w:t>
      </w:r>
    </w:p>
    <w:p>
      <w:pPr>
        <w:keepNext w:val="0"/>
        <w:keepLines w:val="0"/>
        <w:pageBreakBefore w:val="0"/>
        <w:widowControl w:val="0"/>
        <w:tabs>
          <w:tab w:val="left" w:pos="0"/>
        </w:tabs>
        <w:kinsoku/>
        <w:wordWrap/>
        <w:overflowPunct/>
        <w:topLinePunct w:val="0"/>
        <w:autoSpaceDE/>
        <w:autoSpaceDN/>
        <w:bidi w:val="0"/>
        <w:adjustRightInd/>
        <w:snapToGrid w:val="0"/>
        <w:textAlignment w:val="auto"/>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尽可能采购当地蔬菜、瓜果、粮油等生活物质，间接促进就业。同时，在条件允许的情况下，相关企业可以参与当地的公益性活动，在带动当地经济效益的同时，也推动当地的社会效益，树立企业良好形象。</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color w:val="000000"/>
        </w:rPr>
      </w:pPr>
      <w:r>
        <w:rPr>
          <w:rFonts w:hint="eastAsia" w:ascii="宋体" w:eastAsia="宋体" w:cs="宋体"/>
          <w:color w:val="000000"/>
          <w:lang w:val="en-US" w:eastAsia="zh-CN"/>
        </w:rPr>
        <w:t>(6)</w:t>
      </w:r>
      <w:r>
        <w:rPr>
          <w:rFonts w:hint="eastAsia"/>
          <w:color w:val="000000"/>
        </w:rPr>
        <w:t>生态环境保护措施</w:t>
      </w:r>
      <w:r>
        <w:rPr>
          <w:rFonts w:hint="eastAsia"/>
          <w:snapToGrid w:val="0"/>
          <w:color w:val="000000"/>
        </w:rPr>
        <w:t>：</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color w:val="000000"/>
        </w:rPr>
      </w:pPr>
      <w:r>
        <w:rPr>
          <w:rFonts w:hint="eastAsia"/>
          <w:color w:val="000000"/>
        </w:rPr>
        <w:t>施工</w:t>
      </w:r>
      <w:r>
        <w:rPr>
          <w:snapToGrid w:val="0"/>
          <w:color w:val="000000"/>
        </w:rPr>
        <w:t>人员行为规范</w:t>
      </w:r>
      <w:r>
        <w:rPr>
          <w:rFonts w:hint="eastAsia"/>
          <w:snapToGrid w:val="0"/>
          <w:color w:val="000000"/>
        </w:rPr>
        <w:t>：成立专门的环保组织体系，对施工人员进行文明施工和环境保护知识培训，加强施工期的环境管理及环境监控工作；按照</w:t>
      </w:r>
      <w:r>
        <w:rPr>
          <w:rFonts w:hint="eastAsia"/>
          <w:snapToGrid w:val="0"/>
          <w:color w:val="000000"/>
          <w:lang w:val="en-US" w:eastAsia="zh-CN"/>
        </w:rPr>
        <w:t>原</w:t>
      </w:r>
      <w:r>
        <w:rPr>
          <w:rFonts w:hint="eastAsia"/>
          <w:snapToGrid w:val="0"/>
          <w:color w:val="000000"/>
        </w:rPr>
        <w:t>环境保护部环办[2012]131号《关于进一步加强输变电类建设项目环境保护监管工作的通知》，委托有相应资质的单位开展环境监理</w:t>
      </w:r>
      <w:r>
        <w:rPr>
          <w:snapToGrid w:val="0"/>
          <w:color w:val="000000"/>
        </w:rPr>
        <w:t>注意保护植被</w:t>
      </w:r>
      <w:r>
        <w:rPr>
          <w:rFonts w:hint="eastAsia"/>
          <w:snapToGrid w:val="0"/>
          <w:color w:val="000000"/>
        </w:rPr>
        <w:t>；在施工合同中约定</w:t>
      </w:r>
      <w:r>
        <w:rPr>
          <w:rFonts w:hint="eastAsia"/>
          <w:color w:val="000000"/>
        </w:rPr>
        <w:t>，施工单位必须做到文明施工，</w:t>
      </w:r>
      <w:r>
        <w:rPr>
          <w:snapToGrid w:val="0"/>
          <w:color w:val="000000"/>
        </w:rPr>
        <w:t>施工人员和</w:t>
      </w:r>
      <w:r>
        <w:rPr>
          <w:rFonts w:hint="eastAsia"/>
          <w:snapToGrid w:val="0"/>
          <w:color w:val="000000"/>
        </w:rPr>
        <w:t>施工</w:t>
      </w:r>
      <w:r>
        <w:rPr>
          <w:snapToGrid w:val="0"/>
          <w:color w:val="000000"/>
        </w:rPr>
        <w:t>机械不得在规定区域范围外随意活动和行驶</w:t>
      </w:r>
      <w:r>
        <w:rPr>
          <w:rFonts w:hint="eastAsia"/>
          <w:snapToGrid w:val="0"/>
          <w:color w:val="000000"/>
        </w:rPr>
        <w:t>，禁止超占乱占土地；</w:t>
      </w:r>
      <w:r>
        <w:rPr>
          <w:rFonts w:hint="eastAsia"/>
          <w:color w:val="000000"/>
        </w:rPr>
        <w:t>在施工中，尽量减少对表层土的扰动、对地表植被的破坏，避免重车碾压，施工完毕后，对土地进行平整；在施工及监理合同中，明确监理、施工单位保护生态、文明施工的责任，明确谁侵犯</w:t>
      </w:r>
      <w:r>
        <w:rPr>
          <w:rFonts w:hint="eastAsia"/>
          <w:color w:val="000000"/>
          <w:lang w:val="en-US" w:eastAsia="zh-CN"/>
        </w:rPr>
        <w:t>农</w:t>
      </w:r>
      <w:r>
        <w:rPr>
          <w:rFonts w:hint="eastAsia"/>
          <w:color w:val="000000"/>
        </w:rPr>
        <w:t>牧民的利益，由谁来补偿，项目单位及监理应加强施工监督检查；监督管理施工单位做到工完料净场地清，对弃土弃渣、建筑施工及生活垃圾集中堆放处理，保护环境。</w:t>
      </w:r>
    </w:p>
    <w:p>
      <w:pPr>
        <w:pStyle w:val="29"/>
        <w:keepNext w:val="0"/>
        <w:keepLines w:val="0"/>
        <w:pageBreakBefore w:val="0"/>
        <w:widowControl w:val="0"/>
        <w:kinsoku/>
        <w:wordWrap/>
        <w:overflowPunct/>
        <w:topLinePunct w:val="0"/>
        <w:autoSpaceDE/>
        <w:autoSpaceDN/>
        <w:bidi w:val="0"/>
        <w:adjustRightInd/>
        <w:snapToGrid w:val="0"/>
        <w:textAlignment w:val="auto"/>
        <w:rPr>
          <w:rFonts w:hint="eastAsia"/>
          <w:b/>
          <w:color w:val="000000"/>
        </w:rPr>
      </w:pPr>
      <w:r>
        <w:rPr>
          <w:rFonts w:hint="eastAsia"/>
          <w:snapToGrid w:val="0"/>
          <w:color w:val="000000"/>
        </w:rPr>
        <w:t>严格</w:t>
      </w:r>
      <w:r>
        <w:rPr>
          <w:rFonts w:hint="eastAsia"/>
          <w:color w:val="000000"/>
        </w:rPr>
        <w:t>按照水土保持方案的要求、环评批复的要求，对临时、永久占用的土地、植被，恢复原有土地功能和植被形态，不能恢复的，应给予补偿；</w:t>
      </w:r>
      <w:r>
        <w:rPr>
          <w:snapToGrid w:val="0"/>
          <w:color w:val="000000"/>
        </w:rPr>
        <w:t>合理规划、设计施工便道</w:t>
      </w:r>
      <w:r>
        <w:rPr>
          <w:rFonts w:hint="eastAsia"/>
          <w:snapToGrid w:val="0"/>
          <w:color w:val="000000"/>
        </w:rPr>
        <w:t>及场地</w:t>
      </w:r>
      <w:r>
        <w:rPr>
          <w:snapToGrid w:val="0"/>
          <w:color w:val="000000"/>
        </w:rPr>
        <w:t>，并要求各种机械和车辆固定行车路线</w:t>
      </w:r>
      <w:r>
        <w:rPr>
          <w:rFonts w:hint="eastAsia"/>
          <w:snapToGrid w:val="0"/>
          <w:color w:val="000000"/>
        </w:rPr>
        <w:t>，</w:t>
      </w:r>
      <w:r>
        <w:rPr>
          <w:snapToGrid w:val="0"/>
          <w:color w:val="000000"/>
        </w:rPr>
        <w:t>不能随意下道行驶或另开辟便道，以保证周围地表和植被不受破坏</w:t>
      </w:r>
      <w:r>
        <w:rPr>
          <w:rFonts w:hint="eastAsia"/>
          <w:snapToGrid w:val="0"/>
          <w:color w:val="000000"/>
        </w:rPr>
        <w:t>；</w:t>
      </w:r>
      <w:r>
        <w:rPr>
          <w:rFonts w:hint="eastAsia"/>
          <w:color w:val="000000"/>
        </w:rPr>
        <w:t>本项目区生态环境脆弱，应加强对原始地貌、植被的保护，提高土地利用率。</w:t>
      </w:r>
      <w:r>
        <w:rPr>
          <w:rFonts w:hint="eastAsia"/>
          <w:snapToGrid w:val="0"/>
          <w:color w:val="000000"/>
        </w:rPr>
        <w:t>施工运输道路一般为单行道，避免在植被完好的地段进行道路修筑工作。对运至塔位的塔材，选择合适的位置进行堆放，减少场地的占用。</w:t>
      </w:r>
    </w:p>
    <w:p>
      <w:pPr>
        <w:keepNext w:val="0"/>
        <w:keepLines w:val="0"/>
        <w:pageBreakBefore w:val="0"/>
        <w:widowControl w:val="0"/>
        <w:kinsoku/>
        <w:wordWrap/>
        <w:overflowPunct/>
        <w:topLinePunct w:val="0"/>
        <w:autoSpaceDE/>
        <w:autoSpaceDN/>
        <w:bidi w:val="0"/>
        <w:adjustRightInd/>
        <w:snapToGrid w:val="0"/>
        <w:ind w:firstLine="0" w:firstLineChars="0"/>
        <w:textAlignment w:val="auto"/>
        <w:outlineLvl w:val="1"/>
        <w:rPr>
          <w:rFonts w:hint="eastAsia" w:eastAsia="宋体" w:cs="Times New Roman"/>
          <w:b/>
          <w:color w:val="000000"/>
          <w:shd w:val="clear" w:color="auto" w:fill="auto"/>
        </w:rPr>
      </w:pPr>
      <w:bookmarkStart w:id="191" w:name="_Toc29270"/>
      <w:bookmarkStart w:id="192" w:name="_Toc14508"/>
      <w:r>
        <w:rPr>
          <w:rFonts w:hint="eastAsia" w:eastAsia="宋体" w:cs="Times New Roman"/>
          <w:b/>
          <w:color w:val="000000"/>
          <w:shd w:val="clear" w:color="auto" w:fill="auto"/>
        </w:rPr>
        <w:t>2.4合法合规性评估</w:t>
      </w:r>
      <w:bookmarkEnd w:id="42"/>
      <w:bookmarkEnd w:id="191"/>
      <w:bookmarkEnd w:id="192"/>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rPr>
      </w:pPr>
      <w:r>
        <w:rPr>
          <w:rFonts w:hint="eastAsia" w:cs="宋体"/>
          <w:snapToGrid w:val="0"/>
          <w:color w:val="000000"/>
          <w:szCs w:val="24"/>
          <w:shd w:val="clear" w:color="auto" w:fill="auto"/>
        </w:rPr>
        <w:t>评估单位在充分识别法律法规的基础上，对拟建项目的合法、合规性进行了评估</w:t>
      </w:r>
      <w:r>
        <w:rPr>
          <w:rFonts w:hint="eastAsia" w:cs="宋体"/>
          <w:color w:val="000000"/>
          <w:szCs w:val="24"/>
          <w:shd w:val="clear" w:color="auto" w:fill="auto"/>
        </w:rPr>
        <w:t>。</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color w:val="000000"/>
          <w:szCs w:val="24"/>
          <w:shd w:val="clear" w:color="auto" w:fill="auto"/>
        </w:rPr>
      </w:pPr>
      <w:r>
        <w:rPr>
          <w:rFonts w:hint="eastAsia" w:cs="宋体"/>
          <w:color w:val="000000"/>
          <w:szCs w:val="24"/>
          <w:shd w:val="clear" w:color="auto" w:fill="auto"/>
        </w:rPr>
        <w:t>通过与项目相关法律、法规、用地、规划等方面的分析识别，可判定此项目符合国家、自治区相关法律、法规、产业政策、节能环保要求，符合总体规划、区域规划和专项规划的要求，符合行业准入的要求。</w:t>
      </w:r>
    </w:p>
    <w:p>
      <w:pPr>
        <w:keepNext w:val="0"/>
        <w:keepLines w:val="0"/>
        <w:pageBreakBefore w:val="0"/>
        <w:widowControl w:val="0"/>
        <w:kinsoku/>
        <w:wordWrap/>
        <w:overflowPunct/>
        <w:topLinePunct w:val="0"/>
        <w:autoSpaceDE/>
        <w:autoSpaceDN/>
        <w:bidi w:val="0"/>
        <w:adjustRightInd/>
        <w:snapToGrid w:val="0"/>
        <w:textAlignment w:val="auto"/>
        <w:rPr>
          <w:rFonts w:hint="eastAsia" w:cs="宋体"/>
          <w:bCs/>
          <w:color w:val="000000"/>
          <w:szCs w:val="24"/>
          <w:shd w:val="clear" w:color="auto" w:fill="auto"/>
        </w:rPr>
      </w:pPr>
      <w:r>
        <w:rPr>
          <w:rFonts w:hint="eastAsia" w:cs="宋体"/>
          <w:color w:val="000000"/>
          <w:szCs w:val="24"/>
          <w:shd w:val="clear" w:color="auto" w:fill="auto"/>
        </w:rPr>
        <w:t>本项目设计时已充分听取当地政府、生态环境部门、规划等部门及受影响群众的意见，尽量减少环境影响。本项目站址与城镇规划、环境保护规划、总体规划是相符的</w:t>
      </w:r>
      <w:r>
        <w:rPr>
          <w:rFonts w:hint="eastAsia" w:cs="宋体"/>
          <w:bCs/>
          <w:color w:val="000000"/>
          <w:szCs w:val="24"/>
          <w:shd w:val="clear" w:color="auto" w:fill="auto"/>
        </w:rPr>
        <w:t>。</w:t>
      </w:r>
      <w:r>
        <w:rPr>
          <w:rFonts w:hint="eastAsia" w:cs="宋体"/>
          <w:color w:val="000000"/>
          <w:szCs w:val="24"/>
          <w:shd w:val="clear" w:color="auto" w:fill="auto"/>
        </w:rPr>
        <w:t>从项目选址、土地利用等相关方完成的成果及取得的相关文件而言，前置审批文件已基本完备，审批机构合法有效。</w:t>
      </w:r>
    </w:p>
    <w:p>
      <w:pPr>
        <w:keepNext w:val="0"/>
        <w:keepLines w:val="0"/>
        <w:pageBreakBefore w:val="0"/>
        <w:widowControl w:val="0"/>
        <w:kinsoku/>
        <w:wordWrap/>
        <w:overflowPunct/>
        <w:topLinePunct w:val="0"/>
        <w:autoSpaceDE/>
        <w:autoSpaceDN/>
        <w:bidi w:val="0"/>
        <w:adjustRightInd/>
        <w:snapToGrid w:val="0"/>
        <w:textAlignment w:val="auto"/>
        <w:rPr>
          <w:rFonts w:hint="eastAsia"/>
          <w:bCs/>
          <w:color w:val="000000"/>
          <w:shd w:val="clear" w:color="auto" w:fill="auto"/>
        </w:rPr>
      </w:pPr>
      <w:r>
        <w:rPr>
          <w:rFonts w:hint="eastAsia"/>
          <w:bCs/>
          <w:color w:val="000000"/>
          <w:shd w:val="clear" w:color="auto" w:fill="auto"/>
        </w:rPr>
        <w:t>通过上述与项目相关法律、法规、政策、用地、规划等的分析识别,可判定此项目符合国家法律、法规</w:t>
      </w:r>
      <w:r>
        <w:rPr>
          <w:rFonts w:hint="eastAsia"/>
          <w:bCs/>
          <w:color w:val="000000"/>
          <w:shd w:val="clear" w:color="auto" w:fill="auto"/>
          <w:lang w:val="en-US" w:eastAsia="zh-CN"/>
        </w:rPr>
        <w:t>和</w:t>
      </w:r>
      <w:r>
        <w:rPr>
          <w:rFonts w:hint="eastAsia"/>
          <w:bCs/>
          <w:color w:val="000000"/>
          <w:shd w:val="clear" w:color="auto" w:fill="auto"/>
        </w:rPr>
        <w:t>产业政策要求,符合自治区总体规划、区域规划的要求,符合行业准入要求。</w:t>
      </w:r>
    </w:p>
    <w:p>
      <w:pPr>
        <w:snapToGrid w:val="0"/>
        <w:ind w:firstLine="0" w:firstLineChars="0"/>
        <w:outlineLvl w:val="1"/>
        <w:rPr>
          <w:rFonts w:hint="eastAsia"/>
          <w:b/>
          <w:color w:val="000000"/>
          <w:shd w:val="clear" w:color="auto" w:fill="auto"/>
        </w:rPr>
      </w:pPr>
      <w:bookmarkStart w:id="193" w:name="_Toc24371"/>
      <w:bookmarkStart w:id="194" w:name="_Toc3385"/>
      <w:r>
        <w:rPr>
          <w:rFonts w:hint="eastAsia"/>
          <w:b/>
          <w:color w:val="000000"/>
          <w:shd w:val="clear" w:color="auto" w:fill="auto"/>
        </w:rPr>
        <w:t>2.5落实措施后的风险等级确定</w:t>
      </w:r>
      <w:bookmarkEnd w:id="193"/>
      <w:bookmarkEnd w:id="194"/>
    </w:p>
    <w:p>
      <w:pPr>
        <w:widowControl/>
        <w:snapToGrid w:val="0"/>
        <w:jc w:val="left"/>
        <w:rPr>
          <w:rFonts w:hint="eastAsia"/>
          <w:color w:val="000000"/>
          <w:shd w:val="clear" w:color="auto" w:fill="auto"/>
        </w:rPr>
      </w:pPr>
      <w:r>
        <w:rPr>
          <w:rFonts w:hint="eastAsia"/>
          <w:color w:val="000000"/>
          <w:shd w:val="clear" w:color="auto" w:fill="auto"/>
        </w:rPr>
        <w:t>经评估，分析报告中采用的风险等级评判方法、评判标准的选择运用是恰当的，评判的结果基本合理。通过采取社会稳定风险预防、化解措施，并建立应急预案，社会稳定风险因素造成群体性事件的风险概率或风险影响损失后果均有所下降，使得单因素风险程度有所下降。采取措施前后的社会稳定风险趋势变化，见表2.5-1。</w:t>
      </w:r>
    </w:p>
    <w:p>
      <w:pPr>
        <w:widowControl/>
        <w:snapToGrid w:val="0"/>
        <w:spacing w:line="240" w:lineRule="auto"/>
        <w:ind w:left="0" w:firstLine="482" w:firstLineChars="200"/>
        <w:jc w:val="both"/>
        <w:rPr>
          <w:rFonts w:hint="eastAsia"/>
          <w:b/>
          <w:color w:val="000000"/>
          <w:shd w:val="clear" w:color="auto" w:fill="auto"/>
        </w:rPr>
      </w:pPr>
      <w:r>
        <w:rPr>
          <w:rFonts w:hint="eastAsia"/>
          <w:b/>
          <w:color w:val="000000"/>
          <w:shd w:val="clear" w:color="auto" w:fill="auto"/>
        </w:rPr>
        <w:t>表2.5-1</w:t>
      </w:r>
      <w:r>
        <w:rPr>
          <w:rFonts w:hint="eastAsia"/>
          <w:b/>
          <w:color w:val="000000"/>
          <w:shd w:val="clear" w:color="auto" w:fill="auto"/>
          <w:lang w:val="en-US" w:eastAsia="zh-CN"/>
        </w:rPr>
        <w:t xml:space="preserve">             </w:t>
      </w:r>
      <w:r>
        <w:rPr>
          <w:rFonts w:hint="eastAsia"/>
          <w:b/>
          <w:color w:val="000000"/>
          <w:shd w:val="clear" w:color="auto" w:fill="auto"/>
        </w:rPr>
        <w:t>采取措施前后的社会稳定风险趋势变化表</w:t>
      </w:r>
    </w:p>
    <w:tbl>
      <w:tblPr>
        <w:tblStyle w:val="21"/>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6"/>
        <w:gridCol w:w="2059"/>
        <w:gridCol w:w="955"/>
        <w:gridCol w:w="883"/>
        <w:gridCol w:w="1046"/>
        <w:gridCol w:w="1046"/>
        <w:gridCol w:w="10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序号</w:t>
            </w:r>
          </w:p>
        </w:tc>
        <w:tc>
          <w:tcPr>
            <w:tcW w:w="2059"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风险因素</w:t>
            </w:r>
          </w:p>
        </w:tc>
        <w:tc>
          <w:tcPr>
            <w:tcW w:w="183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风险概率</w:t>
            </w:r>
          </w:p>
        </w:tc>
        <w:tc>
          <w:tcPr>
            <w:tcW w:w="2092"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影响程度</w:t>
            </w: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vMerge w:val="continue"/>
            <w:tcBorders>
              <w:top w:val="single" w:color="auto" w:sz="4" w:space="0"/>
              <w:left w:val="single" w:color="auto" w:sz="4" w:space="0"/>
              <w:bottom w:val="single" w:color="auto" w:sz="4" w:space="0"/>
              <w:right w:val="single" w:color="auto" w:sz="4" w:space="0"/>
            </w:tcBorders>
            <w:noWrap/>
            <w:vAlign w:val="center"/>
          </w:tcPr>
          <w:p/>
        </w:tc>
        <w:tc>
          <w:tcPr>
            <w:tcW w:w="2059" w:type="dxa"/>
            <w:vMerge w:val="continue"/>
            <w:tcBorders>
              <w:top w:val="single" w:color="auto" w:sz="4" w:space="0"/>
              <w:left w:val="single" w:color="auto" w:sz="4" w:space="0"/>
              <w:bottom w:val="single" w:color="auto" w:sz="4" w:space="0"/>
              <w:right w:val="single" w:color="auto" w:sz="4" w:space="0"/>
            </w:tcBorders>
            <w:noWrap/>
            <w:vAlign w:val="center"/>
          </w:tcP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采取措施前</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采取措施后</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采取措施前</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采取措施后</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采取措施前</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采取措施后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土地及地面附着物征用补偿不到位引发群体性事件</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50%</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25%</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一般</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15%</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62"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碾压农作物及生态破坏引发公众抱怨</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9%</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9%</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施工人员薪资纠纷所引发的群体性事件</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color w:val="000000"/>
                <w:sz w:val="21"/>
                <w:szCs w:val="21"/>
              </w:rPr>
              <w:t>50%</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color w:val="000000"/>
                <w:sz w:val="21"/>
                <w:szCs w:val="21"/>
              </w:rPr>
              <w:t>50%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50%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25%</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25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val="en-US" w:eastAsia="zh-CN"/>
              </w:rPr>
              <w:t>一般</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12.5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4</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安全生产事故善后处置不当引发纠纷</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很低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lang w:val="en-US" w:eastAsia="zh-CN"/>
              </w:rPr>
              <w:t>10</w:t>
            </w:r>
            <w:r>
              <w:rPr>
                <w:rFonts w:hint="eastAsia" w:ascii="宋体" w:eastAsia="宋体" w:cs="宋体"/>
                <w:snapToGrid w:val="0"/>
                <w:color w:val="000000"/>
                <w:kern w:val="0"/>
                <w:sz w:val="21"/>
                <w:szCs w:val="21"/>
              </w:rPr>
              <w:t>%</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很低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lang w:val="en-US" w:eastAsia="zh-CN"/>
              </w:rPr>
              <w:t>10</w:t>
            </w:r>
            <w:r>
              <w:rPr>
                <w:rFonts w:hint="eastAsia" w:ascii="宋体" w:eastAsia="宋体" w:cs="宋体"/>
                <w:snapToGrid w:val="0"/>
                <w:color w:val="000000"/>
                <w:kern w:val="0"/>
                <w:sz w:val="21"/>
                <w:szCs w:val="21"/>
              </w:rPr>
              <w:t>%</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315" w:firstLineChars="150"/>
              <w:jc w:val="both"/>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25%</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3</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微小</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2.5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微小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暴力恐怖袭击及自然灾害等各类原因导致电网大面积停电造成突发公共事件</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很低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lang w:val="en-US" w:eastAsia="zh-CN"/>
              </w:rPr>
              <w:t>5</w:t>
            </w:r>
            <w:r>
              <w:rPr>
                <w:rFonts w:hint="eastAsia" w:ascii="宋体" w:eastAsia="宋体" w:cs="宋体"/>
                <w:snapToGrid w:val="0"/>
                <w:color w:val="000000"/>
                <w:kern w:val="0"/>
                <w:sz w:val="21"/>
                <w:szCs w:val="21"/>
              </w:rPr>
              <w:t>%</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很低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lang w:val="en-US" w:eastAsia="zh-CN"/>
              </w:rPr>
              <w:t>5</w:t>
            </w:r>
            <w:r>
              <w:rPr>
                <w:rFonts w:hint="eastAsia" w:ascii="宋体" w:eastAsia="宋体" w:cs="宋体"/>
                <w:snapToGrid w:val="0"/>
                <w:color w:val="000000"/>
                <w:kern w:val="0"/>
                <w:sz w:val="21"/>
                <w:szCs w:val="21"/>
              </w:rPr>
              <w:t>%</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较大</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70%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较大</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70%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3.5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微小</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3.5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微小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6</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群众对电磁辐射误解而引发的风险</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中等</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color w:val="000000"/>
                <w:sz w:val="21"/>
                <w:szCs w:val="21"/>
              </w:rPr>
              <w:t>50%</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rPr>
              <w:t>30%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15%</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9%</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lang w:val="en-US" w:eastAsia="zh-CN"/>
              </w:rPr>
            </w:pPr>
            <w:r>
              <w:rPr>
                <w:rFonts w:hint="eastAsia" w:eastAsia="宋体" w:cs="宋体"/>
                <w:color w:val="000000"/>
                <w:sz w:val="21"/>
                <w:szCs w:val="21"/>
                <w:lang w:val="en-US" w:eastAsia="zh-CN"/>
              </w:rPr>
              <w:t>7</w:t>
            </w:r>
          </w:p>
        </w:tc>
        <w:tc>
          <w:tcPr>
            <w:tcW w:w="20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突发公共卫生事件引发的社会风险</w:t>
            </w:r>
          </w:p>
        </w:tc>
        <w:tc>
          <w:tcPr>
            <w:tcW w:w="95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snapToGrid w:val="0"/>
                <w:color w:val="000000"/>
                <w:kern w:val="0"/>
                <w:sz w:val="21"/>
                <w:szCs w:val="21"/>
                <w:lang w:val="en-US" w:eastAsia="zh-CN"/>
              </w:rPr>
              <w:t>10</w:t>
            </w:r>
            <w:r>
              <w:rPr>
                <w:rFonts w:hint="eastAsia" w:ascii="宋体" w:eastAsia="宋体" w:cs="宋体"/>
                <w:snapToGrid w:val="0"/>
                <w:color w:val="000000"/>
                <w:kern w:val="0"/>
                <w:sz w:val="21"/>
                <w:szCs w:val="21"/>
              </w:rPr>
              <w:t>%</w:t>
            </w:r>
          </w:p>
        </w:tc>
        <w:tc>
          <w:tcPr>
            <w:tcW w:w="883"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较低</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5</w:t>
            </w:r>
            <w:r>
              <w:rPr>
                <w:rFonts w:hint="eastAsia" w:ascii="宋体" w:eastAsia="宋体" w:cs="宋体"/>
                <w:color w:val="000000"/>
                <w:sz w:val="21"/>
                <w:szCs w:val="21"/>
              </w:rPr>
              <w:t>%</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较大</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70%</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影响</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25%</w:t>
            </w:r>
          </w:p>
        </w:tc>
        <w:tc>
          <w:tcPr>
            <w:tcW w:w="104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7</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较小</w:t>
            </w:r>
          </w:p>
        </w:tc>
        <w:tc>
          <w:tcPr>
            <w:tcW w:w="105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1.25</w:t>
            </w:r>
            <w:r>
              <w:rPr>
                <w:rFonts w:hint="eastAsia" w:asci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微小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备注</w:t>
            </w:r>
          </w:p>
        </w:tc>
        <w:tc>
          <w:tcPr>
            <w:tcW w:w="8087" w:type="dxa"/>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1.</w:t>
            </w:r>
            <w:r>
              <w:rPr>
                <w:rFonts w:hint="eastAsia" w:ascii="宋体" w:eastAsia="宋体" w:cs="宋体"/>
                <w:color w:val="000000"/>
                <w:sz w:val="21"/>
                <w:szCs w:val="21"/>
              </w:rPr>
              <w:t>风险概率(p)，按照风险因素发生的可能性将风险概率划分为五个档次：很高(概率在81%-100%)、较高(61%-80%)、中等(41%～60%)、较低(21%～40%)、很低(0～20%)，可依据经验或预测进行确定；</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2.</w:t>
            </w:r>
            <w:r>
              <w:rPr>
                <w:rFonts w:hint="eastAsia" w:ascii="宋体" w:eastAsia="宋体" w:cs="宋体"/>
                <w:color w:val="000000"/>
                <w:sz w:val="21"/>
                <w:szCs w:val="21"/>
              </w:rPr>
              <w:t>影响程度(q)，按照风险发生后对项目的影响大小，划分为五个影响等级：严重(定量判断标准81%～100%)、较大(61～80%)、中等(41～60%)、较小(21～40%)、可忽略(0～20%)。</w:t>
            </w:r>
          </w:p>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lang w:eastAsia="zh-CN"/>
              </w:rPr>
              <w:t>3.</w:t>
            </w:r>
            <w:r>
              <w:rPr>
                <w:rFonts w:hint="eastAsia" w:ascii="宋体" w:eastAsia="宋体" w:cs="宋体"/>
                <w:color w:val="000000"/>
                <w:sz w:val="21"/>
                <w:szCs w:val="21"/>
              </w:rPr>
              <w:t>风险程度(R)，可分为：重大(定量判断标准为：R=p×q&gt;64%)、较大(R=p×q&gt;36%)、一般(R=p×q&gt;16%)、较小(R=p×q&gt;4%)、微小(定量判断标准为：R=p×q≧0%)五个等级。</w:t>
            </w:r>
          </w:p>
        </w:tc>
      </w:tr>
    </w:tbl>
    <w:p>
      <w:pPr>
        <w:adjustRightInd w:val="0"/>
        <w:snapToGrid w:val="0"/>
        <w:spacing w:before="156" w:beforeLines="50"/>
        <w:rPr>
          <w:rFonts w:hint="eastAsia"/>
          <w:color w:val="000000"/>
          <w:shd w:val="clear" w:color="auto" w:fill="auto"/>
        </w:rPr>
      </w:pPr>
      <w:r>
        <w:rPr>
          <w:rFonts w:hint="eastAsia"/>
          <w:color w:val="000000"/>
          <w:shd w:val="clear" w:color="auto" w:fill="auto"/>
        </w:rPr>
        <w:t>上表可知，通过采取社会稳定风险预防、化解措施，并建立应急预案。社会稳定风险因素造成突发公共事件的风险概率或风险影响损失后果均有所下降，使得单因素风险程度有所下降，采取措施后主要风险因素风险等级定性评判表，见表2.5-2。</w:t>
      </w:r>
    </w:p>
    <w:p>
      <w:pPr>
        <w:snapToGrid w:val="0"/>
        <w:spacing w:line="240" w:lineRule="auto"/>
        <w:ind w:left="0" w:firstLine="482" w:firstLineChars="200"/>
        <w:rPr>
          <w:rFonts w:hint="eastAsia"/>
          <w:b/>
          <w:snapToGrid w:val="0"/>
          <w:color w:val="000000"/>
          <w:shd w:val="clear" w:color="auto" w:fill="auto"/>
        </w:rPr>
      </w:pPr>
      <w:r>
        <w:rPr>
          <w:rFonts w:hint="eastAsia"/>
          <w:b/>
          <w:color w:val="000000"/>
          <w:shd w:val="clear" w:color="auto" w:fill="auto"/>
        </w:rPr>
        <w:t>表2.5-2</w:t>
      </w:r>
      <w:r>
        <w:rPr>
          <w:rFonts w:hint="eastAsia"/>
          <w:b/>
          <w:color w:val="000000"/>
          <w:shd w:val="clear" w:color="auto" w:fill="auto"/>
          <w:lang w:val="en-US" w:eastAsia="zh-CN"/>
        </w:rPr>
        <w:t xml:space="preserve">       </w:t>
      </w:r>
      <w:r>
        <w:rPr>
          <w:rFonts w:hint="eastAsia"/>
          <w:b/>
          <w:color w:val="000000"/>
          <w:shd w:val="clear" w:color="auto" w:fill="auto"/>
        </w:rPr>
        <w:t>采取措施后</w:t>
      </w:r>
      <w:r>
        <w:rPr>
          <w:rFonts w:hint="eastAsia"/>
          <w:b/>
          <w:snapToGrid w:val="0"/>
          <w:color w:val="000000"/>
          <w:shd w:val="clear" w:color="auto" w:fill="auto"/>
        </w:rPr>
        <w:t>主要风险因素风险等级定性评判表</w:t>
      </w:r>
    </w:p>
    <w:tbl>
      <w:tblPr>
        <w:tblStyle w:val="21"/>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0"/>
        <w:gridCol w:w="1335"/>
        <w:gridCol w:w="1654"/>
        <w:gridCol w:w="664"/>
        <w:gridCol w:w="715"/>
        <w:gridCol w:w="2028"/>
        <w:gridCol w:w="72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bCs/>
                <w:snapToGrid w:val="0"/>
                <w:color w:val="000000"/>
                <w:kern w:val="0"/>
                <w:sz w:val="21"/>
                <w:szCs w:val="21"/>
              </w:rPr>
              <w:t>序号</w:t>
            </w:r>
          </w:p>
        </w:tc>
        <w:tc>
          <w:tcPr>
            <w:tcW w:w="1335"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主要风</w:t>
            </w:r>
          </w:p>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险因素</w:t>
            </w:r>
          </w:p>
        </w:tc>
        <w:tc>
          <w:tcPr>
            <w:tcW w:w="3033" w:type="dxa"/>
            <w:gridSpan w:val="3"/>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采取措施前</w:t>
            </w:r>
          </w:p>
        </w:tc>
        <w:tc>
          <w:tcPr>
            <w:tcW w:w="3425" w:type="dxa"/>
            <w:gridSpan w:val="3"/>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采取措施后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vMerge w:val="continue"/>
            <w:tcBorders>
              <w:top w:val="single" w:color="auto" w:sz="4" w:space="0"/>
              <w:left w:val="single" w:color="auto" w:sz="4" w:space="0"/>
              <w:bottom w:val="single" w:color="auto" w:sz="4" w:space="0"/>
              <w:right w:val="single" w:color="auto" w:sz="4" w:space="0"/>
            </w:tcBorders>
            <w:noWrap/>
            <w:vAlign w:val="center"/>
          </w:tcPr>
          <w:p/>
        </w:tc>
        <w:tc>
          <w:tcPr>
            <w:tcW w:w="1335" w:type="dxa"/>
            <w:vMerge w:val="continue"/>
            <w:tcBorders>
              <w:top w:val="single" w:color="auto" w:sz="4" w:space="0"/>
              <w:left w:val="single" w:color="auto" w:sz="4" w:space="0"/>
              <w:bottom w:val="single" w:color="auto" w:sz="4" w:space="0"/>
              <w:right w:val="single" w:color="auto" w:sz="4" w:space="0"/>
            </w:tcBorders>
            <w:noWrap/>
            <w:vAlign w:val="center"/>
          </w:tcP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发生的可能性和后果</w:t>
            </w:r>
          </w:p>
        </w:tc>
        <w:tc>
          <w:tcPr>
            <w:tcW w:w="66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等级</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表示</w:t>
            </w: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发生的可能性和后果</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等级</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snapToGrid w:val="0"/>
                <w:color w:val="000000"/>
                <w:kern w:val="0"/>
                <w:sz w:val="21"/>
                <w:szCs w:val="21"/>
              </w:rPr>
            </w:pPr>
            <w:r>
              <w:rPr>
                <w:rFonts w:hint="eastAsia" w:ascii="宋体" w:eastAsia="宋体" w:cs="宋体"/>
                <w:snapToGrid w:val="0"/>
                <w:color w:val="000000"/>
                <w:kern w:val="0"/>
                <w:sz w:val="21"/>
                <w:szCs w:val="21"/>
              </w:rPr>
              <w:t>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1</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土地及地面附着物征用及跨越补偿不到位引发群体性事件</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可能性较大，或社会影响和损失较大，影响和损失是可以接受的，需采取一定的防范化解措施</w:t>
            </w:r>
          </w:p>
        </w:tc>
        <w:tc>
          <w:tcPr>
            <w:tcW w:w="664"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M</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中等影响</w:t>
            </w:r>
          </w:p>
          <w:p>
            <w:pPr>
              <w:adjustRightInd w:val="0"/>
              <w:spacing w:line="240" w:lineRule="auto"/>
              <w:ind w:firstLine="0" w:firstLineChars="0"/>
              <w:jc w:val="center"/>
              <w:rPr>
                <w:rFonts w:hint="eastAsia" w:ascii="宋体" w:eastAsia="宋体" w:cs="宋体"/>
                <w:color w:val="000000"/>
                <w:sz w:val="21"/>
                <w:szCs w:val="21"/>
              </w:rPr>
            </w:pP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lang w:eastAsia="zh-CN"/>
              </w:rPr>
            </w:pPr>
            <w:r>
              <w:rPr>
                <w:rFonts w:hint="eastAsia" w:ascii="宋体" w:eastAsia="宋体" w:cs="宋体"/>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2</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碾压农作物及生态破坏引发公众抱怨</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可能性不大社会影响和损失不大，不影响项目的可行性，应采取一定的防范化解措施</w:t>
            </w:r>
          </w:p>
        </w:tc>
        <w:tc>
          <w:tcPr>
            <w:tcW w:w="66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L</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p>
            <w:pPr>
              <w:adjustRightInd w:val="0"/>
              <w:spacing w:line="240" w:lineRule="auto"/>
              <w:ind w:firstLine="0" w:firstLineChars="0"/>
              <w:jc w:val="center"/>
              <w:rPr>
                <w:rFonts w:hint="eastAsia" w:ascii="宋体" w:eastAsia="宋体" w:cs="宋体"/>
                <w:color w:val="000000"/>
                <w:sz w:val="21"/>
                <w:szCs w:val="21"/>
              </w:rPr>
            </w:pP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3</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施工人员薪资纠纷所引发的群体性事件</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可能性不大社会影响和损失不大，不影响项目的可行性，应采取一定的防范化解措施</w:t>
            </w:r>
          </w:p>
        </w:tc>
        <w:tc>
          <w:tcPr>
            <w:tcW w:w="66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M</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中等影响</w:t>
            </w:r>
          </w:p>
          <w:p>
            <w:pPr>
              <w:adjustRightInd w:val="0"/>
              <w:spacing w:line="240" w:lineRule="auto"/>
              <w:ind w:firstLine="0" w:firstLineChars="0"/>
              <w:jc w:val="center"/>
              <w:rPr>
                <w:rFonts w:hint="eastAsia" w:ascii="宋体" w:eastAsia="宋体" w:cs="宋体"/>
                <w:color w:val="000000"/>
                <w:sz w:val="21"/>
                <w:szCs w:val="21"/>
              </w:rPr>
            </w:pP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4</w:t>
            </w:r>
          </w:p>
        </w:tc>
        <w:tc>
          <w:tcPr>
            <w:tcW w:w="1335"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left"/>
              <w:rPr>
                <w:rFonts w:hint="eastAsia" w:ascii="宋体" w:eastAsia="宋体" w:cs="宋体"/>
                <w:color w:val="000000"/>
                <w:sz w:val="21"/>
                <w:szCs w:val="21"/>
                <w:lang w:eastAsia="zh-CN"/>
              </w:rPr>
            </w:pPr>
            <w:r>
              <w:rPr>
                <w:rFonts w:hint="eastAsia" w:ascii="宋体" w:eastAsia="宋体" w:cs="宋体"/>
                <w:color w:val="000000"/>
                <w:sz w:val="21"/>
                <w:szCs w:val="21"/>
                <w:lang w:eastAsia="zh-CN"/>
              </w:rPr>
              <w:t>安全生产事故善后处置不当引发纠纷</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66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N</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微小</w:t>
            </w:r>
            <w:r>
              <w:rPr>
                <w:rFonts w:hint="eastAsia" w:ascii="宋体" w:eastAsia="宋体" w:cs="宋体"/>
                <w:color w:val="000000"/>
                <w:sz w:val="21"/>
                <w:szCs w:val="21"/>
              </w:rPr>
              <w:t>风险</w:t>
            </w:r>
          </w:p>
          <w:p>
            <w:pPr>
              <w:adjustRightInd w:val="0"/>
              <w:spacing w:line="240" w:lineRule="auto"/>
              <w:ind w:firstLine="0" w:firstLineChars="0"/>
              <w:jc w:val="center"/>
              <w:rPr>
                <w:rFonts w:hint="eastAsia" w:ascii="宋体" w:eastAsia="宋体" w:cs="宋体"/>
                <w:color w:val="000000"/>
                <w:sz w:val="21"/>
                <w:szCs w:val="21"/>
              </w:rPr>
            </w:pP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微小</w:t>
            </w:r>
            <w:r>
              <w:rPr>
                <w:rFonts w:hint="eastAsia" w:ascii="宋体" w:eastAsia="宋体" w:cs="宋体"/>
                <w:color w:val="000000"/>
                <w:sz w:val="21"/>
                <w:szCs w:val="21"/>
              </w:rPr>
              <w:t>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5</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lang w:eastAsia="zh-CN"/>
              </w:rPr>
            </w:pPr>
            <w:r>
              <w:rPr>
                <w:rFonts w:hint="eastAsia" w:ascii="宋体" w:eastAsia="宋体" w:cs="宋体"/>
                <w:color w:val="000000"/>
                <w:sz w:val="21"/>
                <w:szCs w:val="21"/>
                <w:lang w:eastAsia="zh-CN"/>
              </w:rPr>
              <w:t>暴力恐怖袭击及自然灾害等各类原因导致电网大面积停电造成突发公共事件</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66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N</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微小</w:t>
            </w:r>
            <w:r>
              <w:rPr>
                <w:rFonts w:hint="eastAsia" w:ascii="宋体" w:eastAsia="宋体" w:cs="宋体"/>
                <w:color w:val="000000"/>
                <w:sz w:val="21"/>
                <w:szCs w:val="21"/>
              </w:rPr>
              <w:t>风险</w:t>
            </w:r>
          </w:p>
          <w:p>
            <w:pPr>
              <w:adjustRightInd w:val="0"/>
              <w:spacing w:line="240" w:lineRule="auto"/>
              <w:ind w:firstLine="0" w:firstLineChars="0"/>
              <w:jc w:val="center"/>
              <w:rPr>
                <w:rFonts w:hint="eastAsia" w:ascii="宋体" w:eastAsia="宋体" w:cs="宋体"/>
                <w:color w:val="000000"/>
                <w:sz w:val="21"/>
                <w:szCs w:val="21"/>
              </w:rPr>
            </w:pPr>
          </w:p>
        </w:tc>
        <w:tc>
          <w:tcPr>
            <w:tcW w:w="2028" w:type="dxa"/>
            <w:tcBorders>
              <w:top w:val="single" w:color="auto" w:sz="4" w:space="0"/>
              <w:left w:val="single" w:color="auto" w:sz="4" w:space="0"/>
              <w:bottom w:val="single" w:color="auto" w:sz="4" w:space="0"/>
              <w:right w:val="single" w:color="auto" w:sz="4" w:space="0"/>
            </w:tcBorders>
            <w:noWrap/>
            <w:vAlign w:val="center"/>
          </w:tcPr>
          <w:p>
            <w:pPr>
              <w:pStyle w:val="11"/>
              <w:ind w:left="0" w:firstLine="0" w:firstLineChars="0"/>
              <w:rPr>
                <w:rFonts w:hint="eastAsia" w:ascii="宋体" w:eastAsia="宋体" w:cs="宋体"/>
                <w:color w:val="000000"/>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微小</w:t>
            </w:r>
            <w:r>
              <w:rPr>
                <w:rFonts w:hint="eastAsia" w:ascii="宋体" w:eastAsia="宋体" w:cs="宋体"/>
                <w:color w:val="000000"/>
                <w:sz w:val="21"/>
                <w:szCs w:val="21"/>
              </w:rPr>
              <w:t>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lang w:eastAsia="zh-CN"/>
              </w:rPr>
            </w:pPr>
            <w:r>
              <w:rPr>
                <w:rFonts w:hint="eastAsia" w:ascii="宋体" w:eastAsia="宋体" w:cs="宋体"/>
                <w:color w:val="000000"/>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6</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rPr>
            </w:pPr>
            <w:r>
              <w:rPr>
                <w:rFonts w:hint="eastAsia" w:ascii="宋体" w:eastAsia="宋体" w:cs="宋体"/>
                <w:color w:val="000000"/>
                <w:sz w:val="21"/>
                <w:szCs w:val="21"/>
              </w:rPr>
              <w:t>群众对电磁辐射误解而引发的风险</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可能性较小，或社会影响和损失较小，不影响项目的可行性</w:t>
            </w:r>
          </w:p>
        </w:tc>
        <w:tc>
          <w:tcPr>
            <w:tcW w:w="664" w:type="dxa"/>
            <w:tcBorders>
              <w:top w:val="single" w:color="auto" w:sz="4" w:space="0"/>
              <w:left w:val="single" w:color="auto" w:sz="4" w:space="0"/>
              <w:bottom w:val="single" w:color="auto" w:sz="4" w:space="0"/>
              <w:right w:val="single" w:color="auto" w:sz="4" w:space="0"/>
            </w:tcBorders>
            <w:noWrap/>
            <w:vAlign w:val="center"/>
          </w:tcPr>
          <w:p>
            <w:pPr>
              <w:pStyle w:val="11"/>
              <w:ind w:left="0"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L</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7"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lang w:val="en-US" w:eastAsia="zh-CN"/>
              </w:rPr>
            </w:pPr>
            <w:r>
              <w:rPr>
                <w:rFonts w:hint="eastAsia" w:eastAsia="宋体" w:cs="宋体"/>
                <w:color w:val="000000"/>
                <w:sz w:val="21"/>
                <w:szCs w:val="21"/>
                <w:lang w:val="en-US" w:eastAsia="zh-CN"/>
              </w:rPr>
              <w:t>7</w:t>
            </w:r>
          </w:p>
        </w:tc>
        <w:tc>
          <w:tcPr>
            <w:tcW w:w="1335"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left"/>
              <w:rPr>
                <w:rFonts w:hint="eastAsia" w:ascii="宋体" w:eastAsia="宋体" w:cs="宋体"/>
                <w:color w:val="000000"/>
                <w:sz w:val="21"/>
                <w:szCs w:val="21"/>
                <w:lang w:eastAsia="zh-CN"/>
              </w:rPr>
            </w:pPr>
            <w:r>
              <w:rPr>
                <w:rFonts w:hint="eastAsia" w:ascii="宋体" w:eastAsia="宋体" w:cs="宋体"/>
                <w:color w:val="000000"/>
                <w:sz w:val="21"/>
                <w:szCs w:val="21"/>
                <w:lang w:eastAsia="zh-CN"/>
              </w:rPr>
              <w:t>突发公共卫生事件引发的社会风险</w:t>
            </w:r>
          </w:p>
        </w:tc>
        <w:tc>
          <w:tcPr>
            <w:tcW w:w="1654"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可能性较小，或社会影响和损失较小，不影响项目的可行性</w:t>
            </w:r>
          </w:p>
        </w:tc>
        <w:tc>
          <w:tcPr>
            <w:tcW w:w="664" w:type="dxa"/>
            <w:tcBorders>
              <w:top w:val="single" w:color="auto" w:sz="4" w:space="0"/>
              <w:left w:val="single" w:color="auto" w:sz="4" w:space="0"/>
              <w:bottom w:val="single" w:color="auto" w:sz="4" w:space="0"/>
              <w:right w:val="single" w:color="auto" w:sz="4" w:space="0"/>
            </w:tcBorders>
            <w:noWrap/>
            <w:vAlign w:val="center"/>
          </w:tcPr>
          <w:p>
            <w:pPr>
              <w:pStyle w:val="11"/>
              <w:ind w:left="0"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L</w:t>
            </w:r>
          </w:p>
        </w:tc>
        <w:tc>
          <w:tcPr>
            <w:tcW w:w="715"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较小影响</w:t>
            </w:r>
          </w:p>
        </w:tc>
        <w:tc>
          <w:tcPr>
            <w:tcW w:w="2028"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rPr>
              <w:t>可能性较小，社会影响和损失较小，不影响项目的可行性</w:t>
            </w:r>
          </w:p>
        </w:tc>
        <w:tc>
          <w:tcPr>
            <w:tcW w:w="720"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eastAsia" w:ascii="宋体" w:eastAsia="宋体" w:cs="宋体"/>
                <w:color w:val="000000"/>
                <w:sz w:val="21"/>
                <w:szCs w:val="21"/>
              </w:rPr>
            </w:pPr>
            <w:r>
              <w:rPr>
                <w:rFonts w:hint="eastAsia" w:ascii="宋体" w:eastAsia="宋体" w:cs="宋体"/>
                <w:color w:val="000000"/>
                <w:sz w:val="21"/>
                <w:szCs w:val="21"/>
                <w:lang w:val="en-US" w:eastAsia="zh-CN"/>
              </w:rPr>
              <w:t>微小</w:t>
            </w:r>
            <w:r>
              <w:rPr>
                <w:rFonts w:hint="eastAsia" w:ascii="宋体" w:eastAsia="宋体" w:cs="宋体"/>
                <w:color w:val="000000"/>
                <w:sz w:val="21"/>
                <w:szCs w:val="21"/>
              </w:rPr>
              <w:t>风险</w:t>
            </w:r>
          </w:p>
        </w:tc>
        <w:tc>
          <w:tcPr>
            <w:tcW w:w="677" w:type="dxa"/>
            <w:tcBorders>
              <w:top w:val="single" w:color="auto" w:sz="4" w:space="0"/>
              <w:left w:val="single" w:color="auto" w:sz="4" w:space="0"/>
              <w:bottom w:val="single" w:color="auto" w:sz="4" w:space="0"/>
              <w:right w:val="single" w:color="auto" w:sz="4" w:space="0"/>
            </w:tcBorders>
            <w:noWrap/>
            <w:vAlign w:val="center"/>
          </w:tcPr>
          <w:p>
            <w:pPr>
              <w:adjustRightInd w:val="0"/>
              <w:spacing w:line="240" w:lineRule="auto"/>
              <w:ind w:firstLine="0" w:firstLineChars="0"/>
              <w:jc w:val="center"/>
              <w:outlineLvl w:val="2"/>
              <w:rPr>
                <w:rFonts w:hint="eastAsia" w:ascii="宋体" w:eastAsia="宋体" w:cs="宋体"/>
                <w:color w:val="000000"/>
                <w:sz w:val="21"/>
                <w:szCs w:val="21"/>
              </w:rPr>
            </w:pPr>
            <w:r>
              <w:rPr>
                <w:rFonts w:hint="eastAsia" w:ascii="宋体" w:eastAsia="宋体" w:cs="宋体"/>
                <w:color w:val="000000"/>
                <w:sz w:val="21"/>
                <w:szCs w:val="21"/>
                <w:lang w:val="en-US" w:eastAsia="zh-CN"/>
              </w:rPr>
              <w:t>N</w:t>
            </w:r>
          </w:p>
        </w:tc>
      </w:tr>
    </w:tbl>
    <w:p>
      <w:pPr>
        <w:keepNext w:val="0"/>
        <w:keepLines w:val="0"/>
        <w:pageBreakBefore w:val="0"/>
        <w:widowControl/>
        <w:kinsoku/>
        <w:wordWrap/>
        <w:overflowPunct/>
        <w:topLinePunct w:val="0"/>
        <w:autoSpaceDE/>
        <w:autoSpaceDN/>
        <w:bidi w:val="0"/>
        <w:adjustRightInd/>
        <w:snapToGrid w:val="0"/>
        <w:spacing w:before="156" w:beforeLines="50" w:line="240" w:lineRule="auto"/>
        <w:ind w:left="0" w:right="0" w:firstLine="480" w:firstLineChars="200"/>
        <w:jc w:val="left"/>
        <w:textAlignment w:val="auto"/>
        <w:outlineLvl w:val="9"/>
        <w:rPr>
          <w:rFonts w:hint="eastAsia"/>
          <w:color w:val="000000"/>
          <w:shd w:val="clear" w:color="auto" w:fill="auto"/>
        </w:rPr>
      </w:pPr>
    </w:p>
    <w:p>
      <w:pPr>
        <w:keepNext w:val="0"/>
        <w:keepLines w:val="0"/>
        <w:pageBreakBefore w:val="0"/>
        <w:widowControl/>
        <w:kinsoku/>
        <w:wordWrap/>
        <w:overflowPunct/>
        <w:topLinePunct w:val="0"/>
        <w:autoSpaceDE/>
        <w:autoSpaceDN/>
        <w:bidi w:val="0"/>
        <w:adjustRightInd/>
        <w:snapToGrid w:val="0"/>
        <w:spacing w:before="156" w:beforeLines="50" w:line="360" w:lineRule="auto"/>
        <w:ind w:left="0" w:right="0" w:firstLine="480" w:firstLineChars="200"/>
        <w:jc w:val="left"/>
        <w:textAlignment w:val="auto"/>
        <w:outlineLvl w:val="9"/>
        <w:rPr>
          <w:rFonts w:hint="eastAsia"/>
          <w:color w:val="000000"/>
          <w:shd w:val="clear" w:color="auto" w:fill="auto"/>
        </w:rPr>
      </w:pPr>
      <w:r>
        <w:rPr>
          <w:rFonts w:hint="eastAsia"/>
          <w:color w:val="000000"/>
          <w:shd w:val="clear" w:color="auto" w:fill="auto"/>
        </w:rPr>
        <w:t>对落实措施后的风险等级重新综合评估，拟建项目采取措施后社会稳定整体风险等级的评估结论，见表2.5-3。</w:t>
      </w:r>
    </w:p>
    <w:p>
      <w:pPr>
        <w:adjustRightInd w:val="0"/>
        <w:snapToGrid w:val="0"/>
        <w:spacing w:line="240" w:lineRule="auto"/>
        <w:ind w:left="0" w:firstLine="482" w:firstLineChars="200"/>
        <w:jc w:val="both"/>
        <w:rPr>
          <w:rFonts w:hint="eastAsia"/>
          <w:b/>
          <w:color w:val="000000"/>
          <w:shd w:val="clear" w:color="auto" w:fill="auto"/>
        </w:rPr>
      </w:pPr>
      <w:r>
        <w:rPr>
          <w:rFonts w:hint="eastAsia"/>
          <w:b/>
          <w:color w:val="000000"/>
          <w:shd w:val="clear" w:color="auto" w:fill="auto"/>
        </w:rPr>
        <w:t>表2.5-3</w:t>
      </w:r>
      <w:r>
        <w:rPr>
          <w:rFonts w:hint="eastAsia"/>
          <w:b/>
          <w:color w:val="000000"/>
          <w:shd w:val="clear" w:color="auto" w:fill="auto"/>
          <w:lang w:val="en-US" w:eastAsia="zh-CN"/>
        </w:rPr>
        <w:t xml:space="preserve">        </w:t>
      </w:r>
      <w:r>
        <w:rPr>
          <w:rFonts w:hint="eastAsia"/>
          <w:b/>
          <w:color w:val="000000"/>
          <w:shd w:val="clear" w:color="auto" w:fill="auto"/>
        </w:rPr>
        <w:t>拟建项目采取措施后整体风险等级评判表</w:t>
      </w:r>
    </w:p>
    <w:tbl>
      <w:tblPr>
        <w:tblStyle w:val="21"/>
        <w:tblW w:w="85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677"/>
        <w:gridCol w:w="758"/>
        <w:gridCol w:w="758"/>
        <w:gridCol w:w="758"/>
        <w:gridCol w:w="758"/>
        <w:gridCol w:w="770"/>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风险因素</w:t>
            </w:r>
          </w:p>
        </w:tc>
        <w:tc>
          <w:tcPr>
            <w:tcW w:w="677"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权重</w:t>
            </w:r>
          </w:p>
        </w:tc>
        <w:tc>
          <w:tcPr>
            <w:tcW w:w="3802"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风险程度(R)</w:t>
            </w:r>
          </w:p>
        </w:tc>
        <w:tc>
          <w:tcPr>
            <w:tcW w:w="138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vMerge w:val="continue"/>
            <w:tcBorders>
              <w:top w:val="single" w:color="auto" w:sz="4" w:space="0"/>
              <w:left w:val="single" w:color="auto" w:sz="4" w:space="0"/>
              <w:bottom w:val="single" w:color="auto" w:sz="4" w:space="0"/>
              <w:right w:val="single" w:color="auto" w:sz="4" w:space="0"/>
            </w:tcBorders>
            <w:noWrap/>
            <w:vAlign w:val="center"/>
          </w:tcPr>
          <w:p/>
        </w:tc>
        <w:tc>
          <w:tcPr>
            <w:tcW w:w="677" w:type="dxa"/>
            <w:vMerge w:val="continue"/>
            <w:tcBorders>
              <w:top w:val="single" w:color="auto" w:sz="4" w:space="0"/>
              <w:left w:val="single" w:color="auto" w:sz="4" w:space="0"/>
              <w:bottom w:val="single" w:color="auto" w:sz="4" w:space="0"/>
              <w:right w:val="single" w:color="auto" w:sz="4" w:space="0"/>
            </w:tcBorders>
            <w:noWrap/>
            <w:vAlign w:val="center"/>
          </w:tc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微小</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较小</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一般</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较大</w:t>
            </w: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重大</w:t>
            </w:r>
          </w:p>
        </w:tc>
        <w:tc>
          <w:tcPr>
            <w:tcW w:w="1386" w:type="dxa"/>
            <w:vMerge w:val="continue"/>
            <w:tcBorders>
              <w:top w:val="single" w:color="auto" w:sz="4" w:space="0"/>
              <w:left w:val="single" w:color="auto" w:sz="4" w:space="0"/>
              <w:bottom w:val="single" w:color="auto" w:sz="4" w:space="0"/>
              <w:right w:val="single" w:color="auto" w:sz="4"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W</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I</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R1</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R2</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R3</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R4</w:t>
            </w: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R5</w:t>
            </w: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bCs/>
                <w:color w:val="000000"/>
                <w:sz w:val="21"/>
                <w:szCs w:val="21"/>
              </w:rPr>
              <w:t>T＝I</w:t>
            </w:r>
            <w:r>
              <w:rPr>
                <w:rFonts w:hint="eastAsia" w:ascii="宋体" w:eastAsia="宋体" w:cs="宋体"/>
                <w:color w:val="000000"/>
                <w:sz w:val="21"/>
                <w:szCs w:val="21"/>
              </w:rPr>
              <w:t>×</w:t>
            </w:r>
            <w:r>
              <w:rPr>
                <w:rFonts w:hint="eastAsia" w:ascii="宋体" w:eastAsia="宋体" w:cs="宋体"/>
                <w:bCs/>
                <w:color w:val="000000"/>
                <w:sz w:val="21"/>
                <w:szCs w:val="21"/>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土地及地面附着物征用补偿不到位引发群体性事件</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25%</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15%</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rPr>
            </w:pPr>
            <w:r>
              <w:rPr>
                <w:rFonts w:hint="eastAsia" w:ascii="宋体" w:eastAsia="宋体" w:cs="宋体"/>
                <w:color w:val="000000"/>
                <w:sz w:val="21"/>
                <w:szCs w:val="21"/>
              </w:rPr>
              <w:t>0.0375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生态破坏引发公众抱怨</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20%</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9%</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rPr>
            </w:pPr>
            <w:r>
              <w:rPr>
                <w:rFonts w:hint="eastAsia" w:ascii="宋体" w:eastAsia="宋体" w:cs="宋体"/>
                <w:color w:val="000000"/>
                <w:sz w:val="21"/>
                <w:szCs w:val="21"/>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施工人员薪资纠纷所引发的群体性事件</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10</w:t>
            </w:r>
            <w:r>
              <w:rPr>
                <w:rFonts w:hint="eastAsia" w:ascii="宋体" w:eastAsia="宋体" w:cs="宋体"/>
                <w:color w:val="000000"/>
                <w:sz w:val="21"/>
                <w:szCs w:val="21"/>
              </w:rPr>
              <w:t>%</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12</w:t>
            </w:r>
            <w:r>
              <w:rPr>
                <w:rFonts w:hint="eastAsia" w:ascii="宋体" w:eastAsia="宋体" w:cs="宋体"/>
                <w:color w:val="000000"/>
                <w:sz w:val="21"/>
                <w:szCs w:val="21"/>
              </w:rPr>
              <w:t>.5%</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lang w:val="en-US" w:eastAsia="zh-CN"/>
              </w:rPr>
            </w:pPr>
            <w:r>
              <w:rPr>
                <w:rFonts w:hint="eastAsia" w:ascii="宋体" w:eastAsia="宋体" w:cs="宋体"/>
                <w:color w:val="000000"/>
                <w:sz w:val="21"/>
                <w:szCs w:val="21"/>
              </w:rPr>
              <w:t>0.0</w:t>
            </w:r>
            <w:r>
              <w:rPr>
                <w:rFonts w:hint="eastAsia" w:ascii="宋体" w:eastAsia="宋体" w:cs="宋体"/>
                <w:color w:val="000000"/>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安全生产事故善后处置不当引发纠纷</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10</w:t>
            </w:r>
            <w:r>
              <w:rPr>
                <w:rFonts w:hint="eastAsia" w:ascii="宋体" w:eastAsia="宋体" w:cs="宋体"/>
                <w:color w:val="000000"/>
                <w:sz w:val="21"/>
                <w:szCs w:val="21"/>
              </w:rPr>
              <w:t>%</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2.5</w:t>
            </w:r>
            <w:r>
              <w:rPr>
                <w:rFonts w:hint="eastAsia" w:ascii="宋体" w:eastAsia="宋体" w:cs="宋体"/>
                <w:color w:val="000000"/>
                <w:sz w:val="21"/>
                <w:szCs w:val="21"/>
              </w:rPr>
              <w:t>%</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lang w:val="en-US"/>
              </w:rPr>
            </w:pPr>
            <w:r>
              <w:rPr>
                <w:rFonts w:hint="eastAsia" w:ascii="宋体" w:eastAsia="宋体" w:cs="宋体"/>
                <w:color w:val="000000"/>
                <w:sz w:val="21"/>
                <w:szCs w:val="21"/>
              </w:rPr>
              <w:t>0.0</w:t>
            </w:r>
            <w:r>
              <w:rPr>
                <w:rFonts w:hint="eastAsia" w:ascii="宋体" w:eastAsia="宋体" w:cs="宋体"/>
                <w:color w:val="000000"/>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暴力恐怖袭击及自然灾害等各类原因导致电网大面积停电造成突发公共事件</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20%</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lang w:val="en-US" w:eastAsia="zh-CN"/>
              </w:rPr>
              <w:t>3.5</w:t>
            </w:r>
            <w:r>
              <w:rPr>
                <w:rFonts w:hint="eastAsia" w:ascii="宋体" w:eastAsia="宋体" w:cs="宋体"/>
                <w:color w:val="000000"/>
                <w:sz w:val="21"/>
                <w:szCs w:val="21"/>
              </w:rPr>
              <w:t>%</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rPr>
            </w:pPr>
            <w:r>
              <w:rPr>
                <w:rFonts w:hint="eastAsia" w:ascii="宋体" w:eastAsia="宋体" w:cs="宋体"/>
                <w:color w:val="000000"/>
                <w:sz w:val="21"/>
                <w:szCs w:val="21"/>
              </w:rPr>
              <w:t>0.</w:t>
            </w:r>
            <w:r>
              <w:rPr>
                <w:rFonts w:hint="eastAsia" w:ascii="宋体" w:eastAsia="宋体" w:cs="宋体"/>
                <w:color w:val="000000"/>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群众对电磁辐射误解而引发的风险</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5%</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bookmarkStart w:id="195" w:name="OLE_LINK10"/>
            <w:r>
              <w:rPr>
                <w:rFonts w:hint="eastAsia" w:ascii="宋体" w:eastAsia="宋体" w:cs="宋体"/>
                <w:color w:val="000000"/>
                <w:sz w:val="21"/>
                <w:szCs w:val="21"/>
              </w:rPr>
              <w:t>9%</w:t>
            </w:r>
            <w:bookmarkEnd w:id="195"/>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20" w:lineRule="atLeast"/>
              <w:ind w:left="240" w:leftChars="100" w:right="0" w:firstLine="0" w:firstLineChars="0"/>
              <w:jc w:val="both"/>
              <w:textAlignment w:val="auto"/>
              <w:outlineLvl w:val="9"/>
              <w:rPr>
                <w:rFonts w:hint="eastAsia" w:ascii="宋体" w:eastAsia="宋体" w:cs="宋体"/>
                <w:color w:val="000000"/>
                <w:sz w:val="21"/>
                <w:szCs w:val="21"/>
              </w:rPr>
            </w:pPr>
            <w:r>
              <w:rPr>
                <w:rFonts w:hint="eastAsia" w:ascii="宋体" w:eastAsia="宋体" w:cs="宋体"/>
                <w:color w:val="000000"/>
                <w:sz w:val="21"/>
                <w:szCs w:val="21"/>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lang w:eastAsia="zh-CN"/>
              </w:rPr>
            </w:pPr>
            <w:r>
              <w:rPr>
                <w:rFonts w:hint="eastAsia" w:ascii="宋体" w:eastAsia="宋体" w:cs="宋体"/>
                <w:color w:val="000000"/>
                <w:sz w:val="21"/>
                <w:szCs w:val="21"/>
                <w:lang w:eastAsia="zh-CN"/>
              </w:rPr>
              <w:t>突发公共卫生事件引发的社会风险</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lang w:val="en-US" w:eastAsia="zh-CN"/>
              </w:rPr>
            </w:pPr>
            <w:r>
              <w:rPr>
                <w:rFonts w:hint="eastAsia" w:ascii="宋体" w:eastAsia="宋体" w:cs="宋体"/>
                <w:color w:val="000000"/>
                <w:sz w:val="21"/>
                <w:szCs w:val="21"/>
                <w:lang w:val="en-US" w:eastAsia="zh-CN"/>
              </w:rPr>
              <w:t>10%</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lang w:val="en-US" w:eastAsia="zh-CN"/>
              </w:rPr>
            </w:pPr>
            <w:r>
              <w:rPr>
                <w:rFonts w:hint="eastAsia" w:ascii="宋体" w:eastAsia="宋体" w:cs="宋体"/>
                <w:color w:val="000000"/>
                <w:sz w:val="21"/>
                <w:szCs w:val="21"/>
                <w:lang w:val="en-US" w:eastAsia="zh-CN"/>
              </w:rPr>
              <w:t>1.25%</w:t>
            </w: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left="240" w:leftChars="100" w:right="0" w:firstLine="0" w:firstLineChars="0"/>
              <w:jc w:val="both"/>
              <w:textAlignment w:val="center"/>
              <w:outlineLvl w:val="9"/>
              <w:rPr>
                <w:rFonts w:hint="eastAsia" w:ascii="宋体" w:eastAsia="宋体" w:cs="宋体"/>
                <w:color w:val="000000"/>
                <w:sz w:val="21"/>
                <w:szCs w:val="21"/>
                <w:lang w:val="en-US"/>
              </w:rPr>
            </w:pPr>
            <w:r>
              <w:rPr>
                <w:rFonts w:hint="eastAsia" w:ascii="宋体" w:eastAsia="宋体" w:cs="宋体"/>
                <w:i w:val="0"/>
                <w:color w:val="000000"/>
                <w:kern w:val="0"/>
                <w:sz w:val="21"/>
                <w:szCs w:val="21"/>
                <w:u w:val="none"/>
                <w:lang w:val="en-US" w:eastAsia="zh-CN"/>
              </w:rPr>
              <w:t>0.00125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w:t>
            </w:r>
            <w:r>
              <w:rPr>
                <w:rFonts w:hint="eastAsia" w:ascii="宋体" w:eastAsia="宋体" w:cs="宋体"/>
                <w:bCs/>
                <w:color w:val="000000"/>
                <w:sz w:val="21"/>
                <w:szCs w:val="21"/>
              </w:rPr>
              <w:t>I</w:t>
            </w:r>
            <w:r>
              <w:rPr>
                <w:rFonts w:hint="eastAsia" w:ascii="宋体" w:eastAsia="宋体" w:cs="宋体"/>
                <w:color w:val="000000"/>
                <w:sz w:val="21"/>
                <w:szCs w:val="21"/>
              </w:rPr>
              <w:t>×</w:t>
            </w:r>
            <w:r>
              <w:rPr>
                <w:rFonts w:hint="eastAsia" w:ascii="宋体" w:eastAsia="宋体" w:cs="宋体"/>
                <w:bCs/>
                <w:color w:val="000000"/>
                <w:sz w:val="21"/>
                <w:szCs w:val="21"/>
              </w:rPr>
              <w:t>R</w:t>
            </w:r>
          </w:p>
        </w:tc>
        <w:tc>
          <w:tcPr>
            <w:tcW w:w="67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5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77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p>
        </w:tc>
        <w:tc>
          <w:tcPr>
            <w:tcW w:w="138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lang w:val="en-US" w:eastAsia="zh-CN"/>
              </w:rPr>
            </w:pPr>
            <w:r>
              <w:rPr>
                <w:rFonts w:hint="eastAsia" w:ascii="宋体" w:eastAsia="宋体" w:cs="宋体"/>
                <w:color w:val="000000"/>
                <w:sz w:val="21"/>
                <w:szCs w:val="21"/>
                <w:lang w:eastAsia="zh-CN"/>
              </w:rPr>
              <w:t>0.</w:t>
            </w:r>
            <w:r>
              <w:rPr>
                <w:rFonts w:hint="eastAsia" w:ascii="宋体" w:eastAsia="宋体" w:cs="宋体"/>
                <w:color w:val="000000"/>
                <w:sz w:val="21"/>
                <w:szCs w:val="21"/>
                <w:lang w:val="en-US" w:eastAsia="zh-CN"/>
              </w:rPr>
              <w:t>08325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48"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center"/>
              <w:textAlignment w:val="auto"/>
              <w:outlineLvl w:val="9"/>
              <w:rPr>
                <w:rFonts w:hint="eastAsia" w:ascii="宋体" w:eastAsia="宋体" w:cs="宋体"/>
                <w:color w:val="000000"/>
                <w:sz w:val="21"/>
                <w:szCs w:val="21"/>
              </w:rPr>
            </w:pPr>
            <w:r>
              <w:rPr>
                <w:rFonts w:hint="eastAsia" w:ascii="宋体" w:eastAsia="宋体" w:cs="宋体"/>
                <w:color w:val="000000"/>
                <w:sz w:val="21"/>
                <w:szCs w:val="21"/>
              </w:rPr>
              <w:t>备注栏</w:t>
            </w:r>
          </w:p>
        </w:tc>
        <w:tc>
          <w:tcPr>
            <w:tcW w:w="5865" w:type="dxa"/>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snapToGrid/>
              <w:spacing w:line="320" w:lineRule="atLeast"/>
              <w:ind w:left="0" w:right="0" w:firstLine="0" w:firstLineChars="0"/>
              <w:jc w:val="left"/>
              <w:textAlignment w:val="auto"/>
              <w:outlineLvl w:val="9"/>
              <w:rPr>
                <w:rFonts w:hint="eastAsia" w:ascii="宋体" w:eastAsia="宋体" w:cs="宋体"/>
                <w:color w:val="000000"/>
                <w:sz w:val="21"/>
                <w:szCs w:val="21"/>
              </w:rPr>
            </w:pPr>
            <w:r>
              <w:rPr>
                <w:rFonts w:hint="eastAsia" w:ascii="宋体" w:eastAsia="宋体" w:cs="宋体"/>
                <w:color w:val="000000"/>
                <w:sz w:val="21"/>
                <w:szCs w:val="21"/>
              </w:rPr>
              <w:t>风险程度(R)，可分为：重大(定量判断标准为：R=p×q&gt;64%)、较大(R=p×q&gt;36%)、一般(R=p×q&gt;16%)、较小(R=p×q&gt;4%)、微小(定量判断标准为：R=p×q≧0%)五个等级</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left="0" w:right="0" w:firstLine="480" w:firstLineChars="200"/>
        <w:jc w:val="both"/>
        <w:textAlignment w:val="auto"/>
        <w:outlineLvl w:val="9"/>
        <w:rPr>
          <w:rFonts w:hint="eastAsia" w:eastAsia="宋体" w:cs="宋体"/>
          <w:color w:val="000000"/>
          <w:shd w:val="clear" w:color="auto" w:fill="auto"/>
          <w:lang w:eastAsia="zh-CN"/>
        </w:rPr>
      </w:pPr>
      <w:r>
        <w:rPr>
          <w:rFonts w:hint="eastAsia"/>
          <w:color w:val="000000"/>
          <w:shd w:val="clear" w:color="auto" w:fill="auto"/>
          <w:lang w:val="zh-CN"/>
        </w:rPr>
        <w:t>依据</w:t>
      </w:r>
      <w:r>
        <w:rPr>
          <w:rFonts w:hint="eastAsia"/>
          <w:color w:val="000000"/>
          <w:shd w:val="clear" w:color="auto" w:fill="auto"/>
        </w:rPr>
        <w:t>《新疆维吾尔自治区发展改革委重大固定资产投资项目社会稳定风险评估暂行办法》</w:t>
      </w:r>
      <w:r>
        <w:rPr>
          <w:rFonts w:hint="eastAsia"/>
          <w:color w:val="000000"/>
          <w:shd w:val="clear" w:color="auto" w:fill="auto"/>
          <w:lang w:val="zh-CN"/>
        </w:rPr>
        <w:t>(</w:t>
      </w:r>
      <w:r>
        <w:rPr>
          <w:rFonts w:hint="eastAsia"/>
          <w:color w:val="000000"/>
          <w:shd w:val="clear" w:color="auto" w:fill="auto"/>
        </w:rPr>
        <w:t>[2013]3211</w:t>
      </w:r>
      <w:r>
        <w:rPr>
          <w:color w:val="000000"/>
          <w:shd w:val="clear" w:color="auto" w:fill="auto"/>
        </w:rPr>
        <w:t>号</w:t>
      </w:r>
      <w:r>
        <w:rPr>
          <w:rFonts w:hint="eastAsia"/>
          <w:color w:val="000000"/>
          <w:shd w:val="clear" w:color="auto" w:fill="auto"/>
          <w:lang w:val="zh-CN"/>
        </w:rPr>
        <w:t>)文件的精神</w:t>
      </w:r>
      <w:r>
        <w:rPr>
          <w:rFonts w:hint="eastAsia" w:cs="宋体"/>
          <w:color w:val="000000"/>
          <w:shd w:val="clear" w:color="auto" w:fill="auto"/>
        </w:rPr>
        <w:t>，评估单位本着独立、客观、公正的原则，运用重大项目社会稳定风险评估指标体系参考表对本项目进行社会稳定风险评估，评估过程及结论，见表2.5-4。</w:t>
      </w:r>
    </w:p>
    <w:p>
      <w:pPr>
        <w:adjustRightInd w:val="0"/>
        <w:snapToGrid w:val="0"/>
        <w:spacing w:line="240" w:lineRule="atLeast"/>
        <w:ind w:firstLine="718" w:firstLineChars="298"/>
        <w:rPr>
          <w:rFonts w:hint="eastAsia" w:cs="宋体"/>
          <w:b/>
          <w:color w:val="000000"/>
          <w:shd w:val="clear" w:color="auto" w:fill="auto"/>
        </w:rPr>
      </w:pPr>
    </w:p>
    <w:p>
      <w:pPr>
        <w:adjustRightInd w:val="0"/>
        <w:snapToGrid w:val="0"/>
        <w:spacing w:line="240" w:lineRule="atLeast"/>
        <w:ind w:firstLine="718" w:firstLineChars="298"/>
        <w:rPr>
          <w:rFonts w:hint="eastAsia" w:eastAsia="宋体" w:cs="宋体"/>
          <w:b/>
          <w:color w:val="000000"/>
          <w:shd w:val="clear" w:color="auto" w:fill="auto"/>
          <w:lang w:eastAsia="zh-CN"/>
        </w:rPr>
      </w:pPr>
      <w:r>
        <w:rPr>
          <w:rFonts w:hint="eastAsia" w:cs="宋体"/>
          <w:b/>
          <w:color w:val="000000"/>
          <w:shd w:val="clear" w:color="auto" w:fill="auto"/>
        </w:rPr>
        <w:t>表2.5-4</w:t>
      </w:r>
      <w:r>
        <w:rPr>
          <w:rFonts w:hint="eastAsia" w:cs="宋体"/>
          <w:b/>
          <w:color w:val="000000"/>
          <w:shd w:val="clear" w:color="auto" w:fill="auto"/>
          <w:lang w:val="en-US" w:eastAsia="zh-CN"/>
        </w:rPr>
        <w:t xml:space="preserve">     </w:t>
      </w:r>
      <w:r>
        <w:rPr>
          <w:rFonts w:hint="eastAsia" w:cs="宋体"/>
          <w:b/>
          <w:color w:val="000000"/>
          <w:shd w:val="clear" w:color="auto" w:fill="auto"/>
        </w:rPr>
        <w:t>重大项目社会稳定风险评估指标体系评分表</w:t>
      </w:r>
    </w:p>
    <w:tbl>
      <w:tblPr>
        <w:tblStyle w:val="21"/>
        <w:tblW w:w="8516"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099"/>
        <w:gridCol w:w="3451"/>
        <w:gridCol w:w="2440"/>
        <w:gridCol w:w="7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7" w:hRule="atLeast"/>
          <w:jc w:val="center"/>
        </w:trPr>
        <w:tc>
          <w:tcPr>
            <w:tcW w:w="800"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rFonts w:hint="eastAsia"/>
                <w:b/>
                <w:color w:val="000000"/>
                <w:sz w:val="21"/>
                <w:szCs w:val="21"/>
                <w:shd w:val="clear" w:color="auto" w:fill="auto"/>
              </w:rPr>
            </w:pPr>
            <w:r>
              <w:rPr>
                <w:rFonts w:hint="eastAsia"/>
                <w:b/>
                <w:color w:val="000000"/>
                <w:sz w:val="21"/>
                <w:szCs w:val="21"/>
                <w:shd w:val="clear" w:color="auto" w:fill="auto"/>
              </w:rPr>
              <w:t>评</w:t>
            </w:r>
            <w:r>
              <w:rPr>
                <w:b/>
                <w:color w:val="000000"/>
                <w:sz w:val="21"/>
                <w:szCs w:val="21"/>
                <w:shd w:val="clear" w:color="auto" w:fill="auto"/>
              </w:rPr>
              <w:t>估</w:t>
            </w:r>
          </w:p>
          <w:p>
            <w:pPr>
              <w:spacing w:line="240" w:lineRule="auto"/>
              <w:ind w:firstLine="0" w:firstLineChars="0"/>
              <w:jc w:val="center"/>
              <w:rPr>
                <w:b/>
                <w:color w:val="000000"/>
                <w:sz w:val="21"/>
                <w:szCs w:val="21"/>
                <w:shd w:val="clear" w:color="auto" w:fill="auto"/>
              </w:rPr>
            </w:pPr>
            <w:r>
              <w:rPr>
                <w:b/>
                <w:color w:val="000000"/>
                <w:sz w:val="21"/>
                <w:szCs w:val="21"/>
                <w:shd w:val="clear" w:color="auto" w:fill="auto"/>
              </w:rPr>
              <w:t>内容</w:t>
            </w: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b/>
                <w:color w:val="000000"/>
                <w:sz w:val="21"/>
                <w:szCs w:val="21"/>
                <w:shd w:val="clear" w:color="auto" w:fill="auto"/>
              </w:rPr>
            </w:pPr>
            <w:r>
              <w:rPr>
                <w:b/>
                <w:color w:val="000000"/>
                <w:sz w:val="21"/>
                <w:szCs w:val="21"/>
                <w:shd w:val="clear" w:color="auto" w:fill="auto"/>
              </w:rPr>
              <w:t>指标</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b/>
                <w:color w:val="000000"/>
                <w:sz w:val="21"/>
                <w:szCs w:val="21"/>
                <w:shd w:val="clear" w:color="auto" w:fill="auto"/>
              </w:rPr>
            </w:pPr>
            <w:r>
              <w:rPr>
                <w:b/>
                <w:color w:val="000000"/>
                <w:sz w:val="21"/>
                <w:szCs w:val="21"/>
                <w:shd w:val="clear" w:color="auto" w:fill="auto"/>
              </w:rPr>
              <w:t>分值(带●为一票否决)</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jc w:val="center"/>
              <w:rPr>
                <w:b/>
                <w:color w:val="000000"/>
                <w:sz w:val="21"/>
                <w:szCs w:val="21"/>
                <w:shd w:val="clear" w:color="auto" w:fill="auto"/>
              </w:rPr>
            </w:pPr>
            <w:r>
              <w:rPr>
                <w:rFonts w:hint="eastAsia"/>
                <w:b/>
                <w:color w:val="000000"/>
                <w:sz w:val="21"/>
                <w:szCs w:val="21"/>
                <w:shd w:val="clear" w:color="auto" w:fill="auto"/>
              </w:rPr>
              <w:t>本项目评估</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rFonts w:hint="eastAsia"/>
                <w:b/>
                <w:color w:val="000000"/>
                <w:sz w:val="21"/>
                <w:szCs w:val="21"/>
                <w:shd w:val="clear" w:color="auto" w:fill="auto"/>
              </w:rPr>
            </w:pPr>
            <w:r>
              <w:rPr>
                <w:rFonts w:hint="eastAsia"/>
                <w:b/>
                <w:color w:val="000000"/>
                <w:sz w:val="21"/>
                <w:szCs w:val="21"/>
                <w:shd w:val="clear" w:color="auto" w:fill="auto"/>
              </w:rPr>
              <w:t>评估</w:t>
            </w:r>
          </w:p>
          <w:p>
            <w:pPr>
              <w:spacing w:line="240" w:lineRule="auto"/>
              <w:ind w:firstLine="0" w:firstLineChars="0"/>
              <w:jc w:val="center"/>
              <w:rPr>
                <w:rFonts w:hint="eastAsia"/>
                <w:b/>
                <w:color w:val="000000"/>
                <w:sz w:val="21"/>
                <w:szCs w:val="21"/>
                <w:shd w:val="clear" w:color="auto" w:fill="auto"/>
              </w:rPr>
            </w:pPr>
            <w:r>
              <w:rPr>
                <w:rFonts w:hint="eastAsia"/>
                <w:b/>
                <w:color w:val="000000"/>
                <w:sz w:val="21"/>
                <w:szCs w:val="21"/>
                <w:shd w:val="clear" w:color="auto" w:fill="auto"/>
              </w:rPr>
              <w:t>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jc w:val="center"/>
        </w:trPr>
        <w:tc>
          <w:tcPr>
            <w:tcW w:w="800"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bookmarkStart w:id="196" w:name="_Hlk390696378"/>
            <w:r>
              <w:rPr>
                <w:color w:val="000000"/>
                <w:sz w:val="21"/>
                <w:szCs w:val="21"/>
                <w:shd w:val="clear" w:color="auto" w:fill="auto"/>
              </w:rPr>
              <w:t>合法性(15)</w:t>
            </w: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法定前置要件是否齐备</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用地预审、规划选址、环境影响评价等前置审批是否通过(●)</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rFonts w:hint="eastAsia" w:eastAsia="宋体"/>
                <w:color w:val="000000"/>
                <w:sz w:val="21"/>
                <w:szCs w:val="21"/>
                <w:shd w:val="clear" w:color="auto" w:fill="auto"/>
                <w:lang w:eastAsia="zh-CN"/>
              </w:rPr>
            </w:pPr>
            <w:r>
              <w:rPr>
                <w:color w:val="000000"/>
                <w:sz w:val="21"/>
                <w:szCs w:val="21"/>
                <w:shd w:val="clear" w:color="auto" w:fill="auto"/>
              </w:rPr>
              <w:t>用地预审、规划选址等前置审批</w:t>
            </w:r>
            <w:r>
              <w:rPr>
                <w:rFonts w:hint="eastAsia"/>
                <w:color w:val="000000"/>
                <w:sz w:val="21"/>
                <w:szCs w:val="21"/>
                <w:shd w:val="clear" w:color="auto" w:fill="auto"/>
              </w:rPr>
              <w:t>已</w:t>
            </w:r>
            <w:r>
              <w:rPr>
                <w:color w:val="000000"/>
                <w:sz w:val="21"/>
                <w:szCs w:val="21"/>
                <w:shd w:val="clear" w:color="auto" w:fill="auto"/>
              </w:rPr>
              <w:t>通过</w:t>
            </w:r>
            <w:r>
              <w:rPr>
                <w:rFonts w:hint="eastAsia"/>
                <w:color w:val="000000"/>
                <w:sz w:val="21"/>
                <w:szCs w:val="21"/>
                <w:shd w:val="clear" w:color="auto" w:fill="auto"/>
                <w:lang w:eastAsia="zh-CN"/>
              </w:rPr>
              <w:t>，环境影响评价正在同步进行</w:t>
            </w:r>
          </w:p>
        </w:tc>
        <w:tc>
          <w:tcPr>
            <w:tcW w:w="726"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rFonts w:hint="eastAsia"/>
                <w:color w:val="000000"/>
                <w:sz w:val="21"/>
                <w:szCs w:val="21"/>
                <w:shd w:val="clear" w:color="auto" w:fill="auto"/>
              </w:rPr>
            </w:pPr>
            <w:bookmarkStart w:id="197" w:name="OLE_LINK1"/>
            <w:bookmarkStart w:id="198" w:name="OLE_LINK4"/>
            <w:bookmarkStart w:id="199" w:name="OLE_LINK2"/>
            <w:r>
              <w:rPr>
                <w:rFonts w:hint="eastAsia"/>
                <w:color w:val="000000"/>
                <w:sz w:val="21"/>
                <w:szCs w:val="21"/>
                <w:shd w:val="clear" w:color="auto" w:fill="auto"/>
              </w:rPr>
              <w:t>1</w:t>
            </w:r>
            <w:r>
              <w:rPr>
                <w:rFonts w:hint="eastAsia"/>
                <w:color w:val="000000"/>
                <w:sz w:val="21"/>
                <w:szCs w:val="21"/>
                <w:shd w:val="clear" w:color="auto" w:fill="auto"/>
                <w:lang w:val="en-US" w:eastAsia="zh-CN"/>
              </w:rPr>
              <w:t>5</w:t>
            </w:r>
            <w:r>
              <w:rPr>
                <w:rFonts w:hint="eastAsia"/>
                <w:color w:val="000000"/>
                <w:sz w:val="21"/>
                <w:szCs w:val="21"/>
                <w:shd w:val="clear" w:color="auto" w:fill="auto"/>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审批主体合法性</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各前置要件的审批机关、项目审批机关是否具有法定权限(●)</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用地、选址</w:t>
            </w:r>
            <w:r>
              <w:rPr>
                <w:rFonts w:hint="eastAsia"/>
                <w:color w:val="000000"/>
                <w:sz w:val="21"/>
                <w:szCs w:val="21"/>
                <w:shd w:val="clear" w:color="auto" w:fill="auto"/>
                <w:lang w:eastAsia="zh-CN"/>
              </w:rPr>
              <w:t>、</w:t>
            </w:r>
            <w:r>
              <w:rPr>
                <w:rFonts w:hint="eastAsia"/>
                <w:color w:val="000000"/>
                <w:sz w:val="21"/>
                <w:szCs w:val="21"/>
                <w:shd w:val="clear" w:color="auto" w:fill="auto"/>
              </w:rPr>
              <w:t>地灾等各前置要件的</w:t>
            </w:r>
            <w:r>
              <w:rPr>
                <w:color w:val="000000"/>
                <w:sz w:val="21"/>
                <w:szCs w:val="21"/>
                <w:shd w:val="clear" w:color="auto" w:fill="auto"/>
              </w:rPr>
              <w:t>审批机关具有法定权限</w:t>
            </w:r>
          </w:p>
        </w:tc>
        <w:tc>
          <w:tcPr>
            <w:tcW w:w="726" w:type="dxa"/>
            <w:vMerge w:val="continue"/>
            <w:tcBorders>
              <w:top w:val="single" w:color="auto" w:sz="6" w:space="0"/>
              <w:left w:val="single" w:color="auto" w:sz="6" w:space="0"/>
              <w:bottom w:val="single" w:color="auto" w:sz="4" w:space="0"/>
              <w:right w:val="single" w:color="auto" w:sz="6"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7"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审批程序合法性</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审批的内容和程序是否符合法律法规规定(●)</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审批的内容和程序是否符合法律法规规定</w:t>
            </w:r>
          </w:p>
        </w:tc>
        <w:tc>
          <w:tcPr>
            <w:tcW w:w="726" w:type="dxa"/>
            <w:vMerge w:val="continue"/>
            <w:tcBorders>
              <w:top w:val="single" w:color="auto" w:sz="6" w:space="0"/>
              <w:left w:val="single" w:color="auto" w:sz="6" w:space="0"/>
              <w:bottom w:val="single" w:color="auto" w:sz="4" w:space="0"/>
              <w:right w:val="single" w:color="auto" w:sz="6" w:space="0"/>
            </w:tcBorders>
            <w:noWrap/>
            <w:vAlign w:val="center"/>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65" w:hRule="atLeast"/>
          <w:jc w:val="center"/>
        </w:trPr>
        <w:tc>
          <w:tcPr>
            <w:tcW w:w="800"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合理性(30)</w:t>
            </w: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社会</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参与度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受影响居民对项目的了解程度：绝大部分居民有所了解(2)；少部分居民有所了解(1)；只有个别居民了解(0)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进行了公示，</w:t>
            </w:r>
            <w:r>
              <w:rPr>
                <w:color w:val="000000"/>
                <w:sz w:val="21"/>
                <w:szCs w:val="21"/>
                <w:shd w:val="clear" w:color="auto" w:fill="auto"/>
              </w:rPr>
              <w:t>少部分居民有所了解</w:t>
            </w:r>
            <w:r>
              <w:rPr>
                <w:rFonts w:hint="eastAsia"/>
                <w:color w:val="000000"/>
                <w:sz w:val="21"/>
                <w:szCs w:val="21"/>
                <w:shd w:val="clear" w:color="auto" w:fill="auto"/>
              </w:rPr>
              <w:t>。</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lang w:val="en-US" w:eastAsia="zh-CN"/>
              </w:rPr>
              <w:t>1</w:t>
            </w:r>
            <w:r>
              <w:rPr>
                <w:rFonts w:hint="eastAsia"/>
                <w:color w:val="000000"/>
                <w:sz w:val="21"/>
                <w:szCs w:val="21"/>
                <w:shd w:val="clear" w:color="auto" w:fill="auto"/>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1"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项目的</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社会影响</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项目造成的失业人数：未造成或造成极少数居民失业(2)；造成少量居民失业(1)；造成大量居民失业(0)</w:t>
            </w:r>
          </w:p>
        </w:tc>
        <w:tc>
          <w:tcPr>
            <w:tcW w:w="2440"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未造成居民失业</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2分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56"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项目引起的居民收入变化程度：项目引起少量居民收入显著下降(3)；项目引起大量居民收入显著下降(0)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项目</w:t>
            </w:r>
            <w:r>
              <w:rPr>
                <w:rFonts w:hint="eastAsia"/>
                <w:color w:val="000000"/>
                <w:sz w:val="21"/>
                <w:szCs w:val="21"/>
                <w:shd w:val="clear" w:color="auto" w:fill="auto"/>
              </w:rPr>
              <w:t>不会</w:t>
            </w:r>
            <w:r>
              <w:rPr>
                <w:color w:val="000000"/>
                <w:sz w:val="21"/>
                <w:szCs w:val="21"/>
                <w:shd w:val="clear" w:color="auto" w:fill="auto"/>
              </w:rPr>
              <w:t>引起居民收入显著下降</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12"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项目可能造成的交通风险：项目引发交通拥挤或中断的概率低(1)；项目引发交通拥挤或中断的概率高(0)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项目引发交通拥挤或中断的概率低</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项目引起的流动人口增加程度：项目引起少量流动人口增加(1)；项目引起大量流动人口增加(0)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w:t>
            </w:r>
            <w:r>
              <w:rPr>
                <w:color w:val="000000"/>
                <w:sz w:val="21"/>
                <w:szCs w:val="21"/>
                <w:shd w:val="clear" w:color="auto" w:fill="auto"/>
              </w:rPr>
              <w:t>项目引起</w:t>
            </w:r>
            <w:r>
              <w:rPr>
                <w:rFonts w:hint="eastAsia"/>
                <w:color w:val="000000"/>
                <w:sz w:val="21"/>
                <w:szCs w:val="21"/>
                <w:shd w:val="clear" w:color="auto" w:fill="auto"/>
              </w:rPr>
              <w:t>少量</w:t>
            </w:r>
            <w:r>
              <w:rPr>
                <w:color w:val="000000"/>
                <w:sz w:val="21"/>
                <w:szCs w:val="21"/>
                <w:shd w:val="clear" w:color="auto" w:fill="auto"/>
              </w:rPr>
              <w:t>流动人口增加</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公共活动空间满意度：大多数居民满意(2)；少部分居民满意(1)；大多数居民反对(0)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公共活动空间满意度：大多数居民满意</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2分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绿化设施变化满意度：大多数居民满意(2)；少部分居民满意(1)；大多数居民反对(0)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绿化设施变化满意度</w:t>
            </w:r>
            <w:r>
              <w:rPr>
                <w:rFonts w:hint="eastAsia"/>
                <w:color w:val="000000"/>
                <w:sz w:val="21"/>
                <w:szCs w:val="21"/>
                <w:shd w:val="clear" w:color="auto" w:fill="auto"/>
              </w:rPr>
              <w:t>，</w:t>
            </w:r>
            <w:r>
              <w:rPr>
                <w:color w:val="000000"/>
                <w:sz w:val="21"/>
                <w:szCs w:val="21"/>
                <w:shd w:val="clear" w:color="auto" w:fill="auto"/>
              </w:rPr>
              <w:t>少部分居民满意</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8"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废气、噪声、粉尘等污染影响度：大多数居民满意(3)；少部分居民满意(1)；大多数居民反对(0)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废气、噪声、粉尘等污染影响度</w:t>
            </w:r>
            <w:r>
              <w:rPr>
                <w:rFonts w:hint="eastAsia"/>
                <w:color w:val="000000"/>
                <w:sz w:val="21"/>
                <w:szCs w:val="21"/>
                <w:shd w:val="clear" w:color="auto" w:fill="auto"/>
              </w:rPr>
              <w:t>：</w:t>
            </w:r>
            <w:r>
              <w:rPr>
                <w:color w:val="000000"/>
                <w:sz w:val="21"/>
                <w:szCs w:val="21"/>
                <w:shd w:val="clear" w:color="auto" w:fill="auto"/>
              </w:rPr>
              <w:t>大多数居民满意</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7"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补偿标准、安置方案满意度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拆迁方案满意度：大部分居民满意(4)；少部分居民满意(2)；大部分居民反对(0)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拆迁方案满意度</w:t>
            </w:r>
            <w:r>
              <w:rPr>
                <w:rFonts w:hint="eastAsia"/>
                <w:color w:val="000000"/>
                <w:sz w:val="21"/>
                <w:szCs w:val="21"/>
                <w:shd w:val="clear" w:color="auto" w:fill="auto"/>
              </w:rPr>
              <w:t>，本项目不存在拆迁，</w:t>
            </w:r>
            <w:r>
              <w:rPr>
                <w:color w:val="000000"/>
                <w:sz w:val="21"/>
                <w:szCs w:val="21"/>
                <w:shd w:val="clear" w:color="auto" w:fill="auto"/>
              </w:rPr>
              <w:t>大部分居民满意</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4分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20"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补偿标准满意度：大部分居民满意(5)；少部分居民满意(2)；大部分居民反对(0)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本项目不存在拆迁安置</w:t>
            </w:r>
            <w:r>
              <w:rPr>
                <w:color w:val="000000"/>
                <w:sz w:val="21"/>
                <w:szCs w:val="21"/>
                <w:shd w:val="clear" w:color="auto" w:fill="auto"/>
              </w:rPr>
              <w:t>补偿</w:t>
            </w:r>
            <w:r>
              <w:rPr>
                <w:rFonts w:hint="eastAsia"/>
                <w:color w:val="000000"/>
                <w:sz w:val="21"/>
                <w:szCs w:val="21"/>
                <w:shd w:val="clear" w:color="auto" w:fill="auto"/>
              </w:rPr>
              <w:t>，对</w:t>
            </w:r>
            <w:r>
              <w:rPr>
                <w:color w:val="000000"/>
                <w:sz w:val="21"/>
                <w:szCs w:val="21"/>
                <w:shd w:val="clear" w:color="auto" w:fill="auto"/>
              </w:rPr>
              <w:t>补偿标准</w:t>
            </w:r>
            <w:r>
              <w:rPr>
                <w:rFonts w:hint="eastAsia"/>
                <w:color w:val="000000"/>
                <w:sz w:val="21"/>
                <w:szCs w:val="21"/>
                <w:shd w:val="clear" w:color="auto" w:fill="auto"/>
              </w:rPr>
              <w:t>，大部分居民是满意的</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5分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补偿资金到位情况满意度：大部分居民满意(5)；少部分居民满意(2)；大部分居民不满意(0)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rFonts w:hint="eastAsia" w:eastAsia="宋体"/>
                <w:color w:val="000000"/>
                <w:sz w:val="21"/>
                <w:szCs w:val="21"/>
                <w:shd w:val="clear" w:color="auto" w:fill="auto"/>
                <w:lang w:eastAsia="zh-CN"/>
              </w:rPr>
            </w:pPr>
            <w:r>
              <w:rPr>
                <w:rFonts w:hint="eastAsia"/>
                <w:color w:val="000000"/>
                <w:sz w:val="21"/>
                <w:szCs w:val="21"/>
                <w:shd w:val="clear" w:color="auto" w:fill="auto"/>
              </w:rPr>
              <w:t>本项目不存在拆迁安置补偿，对补偿标准，大部分居民是满意的</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5分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可行性(25)</w:t>
            </w: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项目与</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当地经济社会发展</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水平的</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适应度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适应程度高(3)；适应程度低(1)；基本不适应(0)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w:t>
            </w:r>
            <w:r>
              <w:rPr>
                <w:color w:val="000000"/>
                <w:sz w:val="21"/>
                <w:szCs w:val="21"/>
                <w:shd w:val="clear" w:color="auto" w:fill="auto"/>
              </w:rPr>
              <w:t>与当地经济社会发展水平的适应度</w:t>
            </w:r>
            <w:r>
              <w:rPr>
                <w:rFonts w:hint="eastAsia"/>
                <w:color w:val="000000"/>
                <w:sz w:val="21"/>
                <w:szCs w:val="21"/>
                <w:shd w:val="clear" w:color="auto" w:fill="auto"/>
              </w:rPr>
              <w:t>高</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资金筹措和保障</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方案</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资金筹措和保障方案的可行性：完全可行(3)；基本可行(1)；不可行(0)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rFonts w:hint="eastAsia" w:eastAsia="宋体"/>
                <w:color w:val="000000"/>
                <w:sz w:val="21"/>
                <w:szCs w:val="21"/>
                <w:shd w:val="clear" w:color="auto" w:fill="auto"/>
                <w:lang w:eastAsia="zh-CN"/>
              </w:rPr>
            </w:pPr>
            <w:r>
              <w:rPr>
                <w:rFonts w:hint="eastAsia"/>
                <w:color w:val="000000"/>
                <w:sz w:val="21"/>
                <w:szCs w:val="21"/>
                <w:shd w:val="clear" w:color="auto" w:fill="auto"/>
              </w:rPr>
              <w:t>本项目资金来源为企业自筹。</w:t>
            </w:r>
            <w:r>
              <w:rPr>
                <w:color w:val="000000"/>
                <w:sz w:val="21"/>
                <w:szCs w:val="21"/>
                <w:shd w:val="clear" w:color="auto" w:fill="auto"/>
              </w:rPr>
              <w:t>资金筹措和保障方案基本可行</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项目</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支持度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部门支持度：完全支持(2)；有部分部门不支持(1)；大多数部门不支持(0)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根据本次评估会议，</w:t>
            </w:r>
            <w:r>
              <w:rPr>
                <w:color w:val="000000"/>
                <w:sz w:val="21"/>
                <w:szCs w:val="21"/>
                <w:shd w:val="clear" w:color="auto" w:fill="auto"/>
              </w:rPr>
              <w:t>部门</w:t>
            </w:r>
            <w:r>
              <w:rPr>
                <w:rFonts w:hint="eastAsia"/>
                <w:color w:val="000000"/>
                <w:sz w:val="21"/>
                <w:szCs w:val="21"/>
                <w:shd w:val="clear" w:color="auto" w:fill="auto"/>
              </w:rPr>
              <w:t>对项目的</w:t>
            </w:r>
            <w:r>
              <w:rPr>
                <w:color w:val="000000"/>
                <w:sz w:val="21"/>
                <w:szCs w:val="21"/>
                <w:shd w:val="clear" w:color="auto" w:fill="auto"/>
              </w:rPr>
              <w:t>支持度</w:t>
            </w:r>
            <w:r>
              <w:rPr>
                <w:rFonts w:hint="eastAsia"/>
                <w:color w:val="000000"/>
                <w:sz w:val="21"/>
                <w:szCs w:val="21"/>
                <w:shd w:val="clear" w:color="auto" w:fill="auto"/>
              </w:rPr>
              <w:t>完全支持的</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2分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基层支持度：完全支持(4)；有部门不支持(2)；大多数不支持(0)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通过走访，基层对项目的</w:t>
            </w:r>
            <w:r>
              <w:rPr>
                <w:color w:val="000000"/>
                <w:sz w:val="21"/>
                <w:szCs w:val="21"/>
                <w:shd w:val="clear" w:color="auto" w:fill="auto"/>
              </w:rPr>
              <w:t>支持度</w:t>
            </w:r>
            <w:r>
              <w:rPr>
                <w:rFonts w:hint="eastAsia"/>
                <w:color w:val="000000"/>
                <w:sz w:val="21"/>
                <w:szCs w:val="21"/>
                <w:shd w:val="clear" w:color="auto" w:fill="auto"/>
              </w:rPr>
              <w:t>完全支持</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lang w:val="en-US" w:eastAsia="zh-CN"/>
              </w:rPr>
              <w:t>4</w:t>
            </w:r>
            <w:r>
              <w:rPr>
                <w:rFonts w:hint="eastAsia"/>
                <w:color w:val="000000"/>
                <w:sz w:val="21"/>
                <w:szCs w:val="21"/>
                <w:shd w:val="clear" w:color="auto" w:fill="auto"/>
              </w:rPr>
              <w:t>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rFonts w:hint="eastAsia" w:eastAsia="宋体"/>
                <w:color w:val="000000"/>
                <w:sz w:val="21"/>
                <w:szCs w:val="21"/>
                <w:shd w:val="clear" w:color="auto" w:fill="auto"/>
                <w:lang w:eastAsia="zh-CN"/>
              </w:rPr>
            </w:pPr>
            <w:r>
              <w:rPr>
                <w:color w:val="000000"/>
                <w:sz w:val="21"/>
                <w:szCs w:val="21"/>
                <w:shd w:val="clear" w:color="auto" w:fill="auto"/>
              </w:rPr>
              <w:t>居民支持度：大部分居民理解支持(5)；少部分居民理解支持(2)；大部分居民反对(0)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通过对走访，基层对项目的</w:t>
            </w:r>
            <w:r>
              <w:rPr>
                <w:color w:val="000000"/>
                <w:sz w:val="21"/>
                <w:szCs w:val="21"/>
                <w:shd w:val="clear" w:color="auto" w:fill="auto"/>
              </w:rPr>
              <w:t>支持度</w:t>
            </w:r>
            <w:r>
              <w:rPr>
                <w:rFonts w:hint="eastAsia"/>
                <w:color w:val="000000"/>
                <w:sz w:val="21"/>
                <w:szCs w:val="21"/>
                <w:shd w:val="clear" w:color="auto" w:fill="auto"/>
              </w:rPr>
              <w:t>完全支持。</w:t>
            </w:r>
            <w:r>
              <w:rPr>
                <w:color w:val="000000"/>
                <w:sz w:val="21"/>
                <w:szCs w:val="21"/>
                <w:shd w:val="clear" w:color="auto" w:fill="auto"/>
              </w:rPr>
              <w:t>居民</w:t>
            </w:r>
            <w:r>
              <w:rPr>
                <w:rFonts w:hint="eastAsia"/>
                <w:color w:val="000000"/>
                <w:sz w:val="21"/>
                <w:szCs w:val="21"/>
                <w:shd w:val="clear" w:color="auto" w:fill="auto"/>
              </w:rPr>
              <w:t>对项目的</w:t>
            </w:r>
            <w:r>
              <w:rPr>
                <w:color w:val="000000"/>
                <w:sz w:val="21"/>
                <w:szCs w:val="21"/>
                <w:shd w:val="clear" w:color="auto" w:fill="auto"/>
              </w:rPr>
              <w:t>支持度：大部分居民理解支持</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5分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03"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公共</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配套服务</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满意度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商业设施满意度：大部分居民满意(2)；少部分居民满意(1)；大部分居民反对(0)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本项目不存在</w:t>
            </w:r>
            <w:r>
              <w:rPr>
                <w:color w:val="000000"/>
                <w:sz w:val="21"/>
                <w:szCs w:val="21"/>
                <w:shd w:val="clear" w:color="auto" w:fill="auto"/>
              </w:rPr>
              <w:t>公共配套商业设施</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6"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教育设施满意度：大部分居民满意(2)；少部分居民满意(1)；大部分居民反对(0)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本项目不存在</w:t>
            </w:r>
            <w:r>
              <w:rPr>
                <w:color w:val="000000"/>
                <w:sz w:val="21"/>
                <w:szCs w:val="21"/>
                <w:shd w:val="clear" w:color="auto" w:fill="auto"/>
              </w:rPr>
              <w:t>公共配套</w:t>
            </w:r>
            <w:r>
              <w:rPr>
                <w:rFonts w:hint="eastAsia"/>
                <w:color w:val="000000"/>
                <w:sz w:val="21"/>
                <w:szCs w:val="21"/>
                <w:shd w:val="clear" w:color="auto" w:fill="auto"/>
              </w:rPr>
              <w:t>教育</w:t>
            </w:r>
            <w:r>
              <w:rPr>
                <w:color w:val="000000"/>
                <w:sz w:val="21"/>
                <w:szCs w:val="21"/>
                <w:shd w:val="clear" w:color="auto" w:fill="auto"/>
              </w:rPr>
              <w:t>设施</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34"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医疗设施满意度：大部分居民满意(2)；少部分居民满意(1)；大部分居民反对(0)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本项目不存在</w:t>
            </w:r>
            <w:r>
              <w:rPr>
                <w:color w:val="000000"/>
                <w:sz w:val="21"/>
                <w:szCs w:val="21"/>
                <w:shd w:val="clear" w:color="auto" w:fill="auto"/>
              </w:rPr>
              <w:t>公共配套</w:t>
            </w:r>
            <w:r>
              <w:rPr>
                <w:rFonts w:hint="eastAsia"/>
                <w:color w:val="000000"/>
                <w:sz w:val="21"/>
                <w:szCs w:val="21"/>
                <w:shd w:val="clear" w:color="auto" w:fill="auto"/>
              </w:rPr>
              <w:t>医疗</w:t>
            </w:r>
            <w:r>
              <w:rPr>
                <w:color w:val="000000"/>
                <w:sz w:val="21"/>
                <w:szCs w:val="21"/>
                <w:shd w:val="clear" w:color="auto" w:fill="auto"/>
              </w:rPr>
              <w:t>设施</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社区建设满意度：大部分居民满意(2)；少部分居民满意(1)；大部分居民反对(0)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本项目不存在</w:t>
            </w:r>
            <w:r>
              <w:rPr>
                <w:color w:val="000000"/>
                <w:sz w:val="21"/>
                <w:szCs w:val="21"/>
                <w:shd w:val="clear" w:color="auto" w:fill="auto"/>
              </w:rPr>
              <w:t>公共配套</w:t>
            </w:r>
            <w:r>
              <w:rPr>
                <w:rFonts w:hint="eastAsia"/>
                <w:color w:val="000000"/>
                <w:sz w:val="21"/>
                <w:szCs w:val="21"/>
                <w:shd w:val="clear" w:color="auto" w:fill="auto"/>
              </w:rPr>
              <w:t>社区建设</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800"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可控性(30)</w:t>
            </w: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社会</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反应度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信访发生程度：未发生(8)；发生零星上访(4)；发生大规模上访、集访(●)</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rFonts w:hint="eastAsia"/>
                <w:color w:val="000000"/>
                <w:sz w:val="21"/>
                <w:szCs w:val="21"/>
                <w:shd w:val="clear" w:color="auto" w:fill="auto"/>
              </w:rPr>
              <w:t>未</w:t>
            </w:r>
            <w:r>
              <w:rPr>
                <w:color w:val="000000"/>
                <w:sz w:val="21"/>
                <w:szCs w:val="21"/>
                <w:shd w:val="clear" w:color="auto" w:fill="auto"/>
              </w:rPr>
              <w:t>发生上访</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4分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群体性事件发生情况：未发生(8)；发生小规模群体性事件(3)；发生重大、特大群体性事件(●)</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群体性事件发生情况：未发生</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8分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舆论</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反应度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社会民意调查情况：社会民意支持度高(3)；社会民意支持度低(1)；引发大规模社会负面影响(0)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社会民意调查情况</w:t>
            </w:r>
            <w:r>
              <w:rPr>
                <w:rFonts w:hint="eastAsia"/>
                <w:color w:val="000000"/>
                <w:sz w:val="21"/>
                <w:szCs w:val="21"/>
                <w:shd w:val="clear" w:color="auto" w:fill="auto"/>
              </w:rPr>
              <w:t>支持度高。</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互联网反应度：基本没有负面舆论(3)；引发少量负面舆论(2)；引发大量负面舆论(0)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互联网反应度：基本没有负面舆论</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2"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restart"/>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color w:val="000000"/>
                <w:sz w:val="21"/>
                <w:szCs w:val="21"/>
                <w:shd w:val="clear" w:color="auto" w:fill="auto"/>
              </w:rPr>
              <w:t>风险</w:t>
            </w:r>
          </w:p>
          <w:p>
            <w:pPr>
              <w:spacing w:line="240" w:lineRule="auto"/>
              <w:ind w:firstLine="0" w:firstLineChars="0"/>
              <w:jc w:val="center"/>
              <w:rPr>
                <w:color w:val="000000"/>
                <w:sz w:val="21"/>
                <w:szCs w:val="21"/>
                <w:shd w:val="clear" w:color="auto" w:fill="auto"/>
              </w:rPr>
            </w:pPr>
            <w:r>
              <w:rPr>
                <w:color w:val="000000"/>
                <w:sz w:val="21"/>
                <w:szCs w:val="21"/>
                <w:shd w:val="clear" w:color="auto" w:fill="auto"/>
              </w:rPr>
              <w:t>可控度</w:t>
            </w: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社会风险预防和化解工作充分度：制定了社会矛盾预防和化解措施以及应急处置预案(5)；未制定相关措施和预案(●)</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制定了社会矛盾预防和化解措施以及应急处置预案</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5分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00" w:type="dxa"/>
            <w:vMerge w:val="continue"/>
            <w:tcBorders>
              <w:top w:val="single" w:color="auto" w:sz="6" w:space="0"/>
              <w:left w:val="single" w:color="auto" w:sz="6" w:space="0"/>
              <w:bottom w:val="single" w:color="auto" w:sz="4" w:space="0"/>
              <w:right w:val="single" w:color="auto" w:sz="6" w:space="0"/>
            </w:tcBorders>
            <w:noWrap/>
            <w:vAlign w:val="center"/>
          </w:tcPr>
          <w:p/>
        </w:tc>
        <w:tc>
          <w:tcPr>
            <w:tcW w:w="1099" w:type="dxa"/>
            <w:vMerge w:val="continue"/>
            <w:tcBorders>
              <w:top w:val="single" w:color="auto" w:sz="6" w:space="0"/>
              <w:left w:val="single" w:color="auto" w:sz="6" w:space="0"/>
              <w:bottom w:val="single" w:color="auto" w:sz="4" w:space="0"/>
              <w:right w:val="single" w:color="auto" w:sz="6" w:space="0"/>
            </w:tcBorders>
            <w:noWrap/>
            <w:vAlign w:val="center"/>
          </w:tcPr>
          <w:p/>
        </w:tc>
        <w:tc>
          <w:tcPr>
            <w:tcW w:w="3451"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宣传解释工作充分度：宣传解释和舆论引导工作充分(3)；未开展宣传解释和舆论引导工作(0)</w:t>
            </w:r>
          </w:p>
        </w:tc>
        <w:tc>
          <w:tcPr>
            <w:tcW w:w="2440" w:type="dxa"/>
            <w:tcBorders>
              <w:top w:val="single" w:color="auto" w:sz="6" w:space="0"/>
              <w:left w:val="single" w:color="auto" w:sz="6" w:space="0"/>
              <w:bottom w:val="single" w:color="auto" w:sz="4" w:space="0"/>
              <w:right w:val="single" w:color="auto" w:sz="6" w:space="0"/>
            </w:tcBorders>
            <w:noWrap/>
          </w:tcPr>
          <w:p>
            <w:pPr>
              <w:spacing w:line="240" w:lineRule="auto"/>
              <w:ind w:firstLine="0" w:firstLineChars="0"/>
              <w:rPr>
                <w:color w:val="000000"/>
                <w:sz w:val="21"/>
                <w:szCs w:val="21"/>
                <w:shd w:val="clear" w:color="auto" w:fill="auto"/>
              </w:rPr>
            </w:pPr>
            <w:r>
              <w:rPr>
                <w:color w:val="000000"/>
                <w:sz w:val="21"/>
                <w:szCs w:val="21"/>
                <w:shd w:val="clear" w:color="auto" w:fill="auto"/>
              </w:rPr>
              <w:t>宣传解释工作充分度</w:t>
            </w:r>
            <w:r>
              <w:rPr>
                <w:rFonts w:hint="eastAsia"/>
                <w:color w:val="000000"/>
                <w:sz w:val="21"/>
                <w:szCs w:val="21"/>
                <w:shd w:val="clear" w:color="auto" w:fill="auto"/>
              </w:rPr>
              <w:t>为较充分</w:t>
            </w: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3分</w:t>
            </w:r>
          </w:p>
          <w:bookmarkEnd w:id="197"/>
          <w:bookmarkEnd w:id="198"/>
          <w:bookmarkEnd w:id="199"/>
        </w:tc>
      </w:tr>
      <w:bookmarkEnd w:id="196"/>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899" w:type="dxa"/>
            <w:gridSpan w:val="2"/>
            <w:tcBorders>
              <w:top w:val="single" w:color="auto" w:sz="6" w:space="0"/>
              <w:left w:val="single" w:color="auto" w:sz="6" w:space="0"/>
              <w:bottom w:val="single" w:color="auto" w:sz="4" w:space="0"/>
              <w:right w:val="single" w:color="auto" w:sz="6" w:space="0"/>
            </w:tcBorders>
            <w:noWrap/>
            <w:vAlign w:val="center"/>
          </w:tcPr>
          <w:p>
            <w:pPr>
              <w:widowControl/>
              <w:spacing w:line="240" w:lineRule="auto"/>
              <w:ind w:firstLine="0" w:firstLineChars="0"/>
              <w:jc w:val="center"/>
              <w:rPr>
                <w:color w:val="000000"/>
                <w:sz w:val="21"/>
                <w:szCs w:val="21"/>
                <w:shd w:val="clear" w:color="auto" w:fill="auto"/>
              </w:rPr>
            </w:pPr>
            <w:r>
              <w:rPr>
                <w:rFonts w:hint="eastAsia"/>
                <w:color w:val="000000"/>
                <w:sz w:val="21"/>
                <w:szCs w:val="21"/>
                <w:shd w:val="clear" w:color="auto" w:fill="auto"/>
              </w:rPr>
              <w:t>评估得分</w:t>
            </w:r>
          </w:p>
        </w:tc>
        <w:tc>
          <w:tcPr>
            <w:tcW w:w="5891" w:type="dxa"/>
            <w:gridSpan w:val="2"/>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p>
        </w:tc>
        <w:tc>
          <w:tcPr>
            <w:tcW w:w="726" w:type="dxa"/>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jc w:val="center"/>
              <w:rPr>
                <w:rFonts w:eastAsia="宋体"/>
                <w:b/>
                <w:color w:val="000000"/>
                <w:sz w:val="21"/>
                <w:szCs w:val="21"/>
                <w:shd w:val="clear" w:color="auto" w:fill="auto"/>
                <w:lang w:val="en-US" w:eastAsia="zh-CN"/>
              </w:rPr>
            </w:pPr>
            <w:r>
              <w:rPr>
                <w:rFonts w:hint="eastAsia" w:eastAsia="宋体"/>
                <w:b/>
                <w:color w:val="000000"/>
                <w:sz w:val="21"/>
                <w:szCs w:val="21"/>
                <w:shd w:val="clear" w:color="auto" w:fill="auto"/>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1899" w:type="dxa"/>
            <w:gridSpan w:val="2"/>
            <w:tcBorders>
              <w:top w:val="single" w:color="auto" w:sz="6" w:space="0"/>
              <w:left w:val="single" w:color="auto" w:sz="6" w:space="0"/>
              <w:bottom w:val="single" w:color="auto" w:sz="4" w:space="0"/>
              <w:right w:val="single" w:color="auto" w:sz="6" w:space="0"/>
            </w:tcBorders>
            <w:noWrap/>
            <w:vAlign w:val="center"/>
          </w:tcPr>
          <w:p>
            <w:pPr>
              <w:widowControl/>
              <w:spacing w:line="240" w:lineRule="auto"/>
              <w:ind w:firstLine="0" w:firstLineChars="0"/>
              <w:jc w:val="center"/>
              <w:rPr>
                <w:rFonts w:hint="eastAsia"/>
                <w:color w:val="000000"/>
                <w:sz w:val="21"/>
                <w:szCs w:val="21"/>
                <w:shd w:val="clear" w:color="auto" w:fill="auto"/>
              </w:rPr>
            </w:pPr>
            <w:r>
              <w:rPr>
                <w:rFonts w:hint="eastAsia"/>
                <w:color w:val="000000"/>
                <w:sz w:val="21"/>
                <w:szCs w:val="21"/>
                <w:shd w:val="clear" w:color="auto" w:fill="auto"/>
              </w:rPr>
              <w:t>备注</w:t>
            </w:r>
          </w:p>
        </w:tc>
        <w:tc>
          <w:tcPr>
            <w:tcW w:w="6617" w:type="dxa"/>
            <w:gridSpan w:val="3"/>
            <w:tcBorders>
              <w:top w:val="single" w:color="auto" w:sz="6" w:space="0"/>
              <w:left w:val="single" w:color="auto" w:sz="6" w:space="0"/>
              <w:bottom w:val="single" w:color="auto" w:sz="4" w:space="0"/>
              <w:right w:val="single" w:color="auto" w:sz="6" w:space="0"/>
            </w:tcBorders>
            <w:noWrap/>
            <w:vAlign w:val="center"/>
          </w:tcPr>
          <w:p>
            <w:pPr>
              <w:spacing w:line="240" w:lineRule="auto"/>
              <w:ind w:firstLine="0" w:firstLineChars="0"/>
              <w:rPr>
                <w:color w:val="000000"/>
                <w:sz w:val="21"/>
                <w:szCs w:val="21"/>
                <w:shd w:val="clear" w:color="auto" w:fill="auto"/>
              </w:rPr>
            </w:pPr>
            <w:r>
              <w:rPr>
                <w:color w:val="000000"/>
                <w:sz w:val="21"/>
                <w:szCs w:val="21"/>
                <w:shd w:val="clear" w:color="auto" w:fill="auto"/>
              </w:rPr>
              <w:t>1、本指标体系表为参考表，评估单位可根据项目的实际情况进行调整；</w:t>
            </w:r>
          </w:p>
          <w:p>
            <w:pPr>
              <w:spacing w:line="240" w:lineRule="auto"/>
              <w:ind w:firstLine="0" w:firstLineChars="0"/>
              <w:rPr>
                <w:color w:val="000000"/>
                <w:sz w:val="21"/>
                <w:szCs w:val="21"/>
                <w:shd w:val="clear" w:color="auto" w:fill="auto"/>
              </w:rPr>
            </w:pPr>
            <w:r>
              <w:rPr>
                <w:color w:val="000000"/>
                <w:sz w:val="21"/>
                <w:szCs w:val="21"/>
                <w:shd w:val="clear" w:color="auto" w:fill="auto"/>
              </w:rPr>
              <w:t>2、指标中做标记的指标为一票否决，即只要该指标不合格即认为存在高风险；</w:t>
            </w:r>
          </w:p>
          <w:p>
            <w:pPr>
              <w:spacing w:line="240" w:lineRule="auto"/>
              <w:ind w:firstLine="0" w:firstLineChars="0"/>
              <w:rPr>
                <w:color w:val="000000"/>
                <w:sz w:val="21"/>
                <w:szCs w:val="21"/>
                <w:shd w:val="clear" w:color="auto" w:fill="auto"/>
              </w:rPr>
            </w:pPr>
            <w:bookmarkStart w:id="200" w:name="_Toc386536145"/>
            <w:bookmarkStart w:id="201" w:name="_Toc384056539"/>
            <w:bookmarkStart w:id="202" w:name="_Toc386536240"/>
            <w:bookmarkStart w:id="203" w:name="_Toc383447000"/>
            <w:r>
              <w:rPr>
                <w:color w:val="000000"/>
                <w:sz w:val="21"/>
                <w:szCs w:val="21"/>
                <w:shd w:val="clear" w:color="auto" w:fill="auto"/>
              </w:rPr>
              <w:t>3、本指标体系采用得分法计分，分值越高说明风险越小；</w:t>
            </w:r>
            <w:bookmarkEnd w:id="200"/>
            <w:bookmarkEnd w:id="201"/>
            <w:bookmarkEnd w:id="202"/>
            <w:bookmarkEnd w:id="203"/>
          </w:p>
          <w:p>
            <w:pPr>
              <w:spacing w:line="240" w:lineRule="auto"/>
              <w:ind w:firstLine="0" w:firstLineChars="0"/>
              <w:rPr>
                <w:rFonts w:hint="eastAsia"/>
                <w:color w:val="000000"/>
                <w:sz w:val="21"/>
                <w:szCs w:val="21"/>
                <w:shd w:val="clear" w:color="auto" w:fill="auto"/>
              </w:rPr>
            </w:pPr>
            <w:r>
              <w:rPr>
                <w:color w:val="000000"/>
                <w:sz w:val="21"/>
                <w:szCs w:val="21"/>
                <w:shd w:val="clear" w:color="auto" w:fill="auto"/>
              </w:rPr>
              <w:t>4、采用本指标体系的得分风险等级划分建议为：80分以上为低风险；60-79分为中风险；60分以下为高风险。</w:t>
            </w:r>
          </w:p>
        </w:tc>
      </w:tr>
    </w:tbl>
    <w:p>
      <w:pPr>
        <w:snapToGrid w:val="0"/>
        <w:spacing w:before="156" w:beforeLines="50"/>
        <w:jc w:val="left"/>
        <w:rPr>
          <w:rFonts w:hint="eastAsia" w:cs="宋体"/>
          <w:color w:val="000000"/>
          <w:szCs w:val="24"/>
          <w:shd w:val="clear" w:color="auto" w:fill="auto"/>
        </w:rPr>
      </w:pPr>
      <w:r>
        <w:rPr>
          <w:rFonts w:hint="eastAsia" w:cs="宋体"/>
          <w:color w:val="000000"/>
          <w:szCs w:val="24"/>
          <w:shd w:val="clear" w:color="auto" w:fill="auto"/>
        </w:rPr>
        <w:t>通过以上评估，可以得知，本项目无一票否决项，总得分为</w:t>
      </w:r>
      <w:r>
        <w:rPr>
          <w:rFonts w:hint="eastAsia" w:cs="宋体"/>
          <w:color w:val="000000"/>
          <w:szCs w:val="24"/>
          <w:shd w:val="clear" w:color="auto" w:fill="auto"/>
          <w:lang w:val="en-US" w:eastAsia="zh-CN"/>
        </w:rPr>
        <w:t>90</w:t>
      </w:r>
      <w:r>
        <w:rPr>
          <w:rFonts w:hint="eastAsia" w:cs="宋体"/>
          <w:color w:val="000000"/>
          <w:szCs w:val="24"/>
          <w:shd w:val="clear" w:color="auto" w:fill="auto"/>
        </w:rPr>
        <w:t>分，超过80分，评判为低风险，本项目主要失分项在于本项目的特殊性，因岗位定员人数少，新增当地就业人数有限，设计中公共配套服务设施</w:t>
      </w:r>
      <w:r>
        <w:rPr>
          <w:rFonts w:hint="eastAsia" w:cs="宋体"/>
          <w:color w:val="000000"/>
          <w:szCs w:val="24"/>
          <w:shd w:val="clear" w:color="auto" w:fill="auto"/>
          <w:lang w:val="en-US" w:eastAsia="zh-CN"/>
        </w:rPr>
        <w:t>惠及</w:t>
      </w:r>
      <w:r>
        <w:rPr>
          <w:rFonts w:hint="eastAsia" w:cs="宋体"/>
          <w:color w:val="000000"/>
          <w:szCs w:val="24"/>
          <w:shd w:val="clear" w:color="auto" w:fill="auto"/>
        </w:rPr>
        <w:t>当地群众的公共服务相对较弱。</w:t>
      </w:r>
    </w:p>
    <w:p>
      <w:pPr>
        <w:widowControl/>
        <w:snapToGrid w:val="0"/>
        <w:jc w:val="left"/>
        <w:rPr>
          <w:rFonts w:hint="eastAsia"/>
          <w:b/>
          <w:color w:val="000000"/>
          <w:shd w:val="clear" w:color="auto" w:fill="auto"/>
          <w:lang w:eastAsia="zh-CN"/>
        </w:rPr>
      </w:pPr>
      <w:r>
        <w:rPr>
          <w:rFonts w:hint="eastAsia"/>
          <w:b/>
          <w:color w:val="000000"/>
          <w:shd w:val="clear" w:color="auto" w:fill="auto"/>
        </w:rPr>
        <w:t>通过以上评估，本项目在严格落实风险防范措施后整体风险等级为低风险</w:t>
      </w:r>
      <w:r>
        <w:rPr>
          <w:rFonts w:hint="eastAsia"/>
          <w:b/>
          <w:color w:val="000000"/>
          <w:shd w:val="clear" w:color="auto" w:fill="auto"/>
          <w:lang w:eastAsia="zh-CN"/>
        </w:rPr>
        <w:t>。</w:t>
      </w:r>
    </w:p>
    <w:p>
      <w:pPr>
        <w:pStyle w:val="11"/>
        <w:rPr>
          <w:rFonts w:hint="eastAsia"/>
          <w:b/>
          <w:color w:val="000000"/>
          <w:shd w:val="clear" w:color="auto" w:fill="auto"/>
          <w:lang w:eastAsia="zh-CN"/>
        </w:rPr>
      </w:pPr>
    </w:p>
    <w:p>
      <w:pPr>
        <w:pStyle w:val="2"/>
        <w:rPr>
          <w:rFonts w:hint="eastAsia" w:eastAsia="宋体"/>
          <w:color w:val="000000"/>
          <w:shd w:val="clear" w:color="auto" w:fill="auto"/>
          <w:lang w:eastAsia="zh-CN"/>
        </w:rPr>
      </w:pPr>
      <w:r>
        <w:rPr>
          <w:rFonts w:hint="eastAsia"/>
          <w:color w:val="000000"/>
          <w:shd w:val="clear" w:color="auto" w:fill="auto"/>
        </w:rPr>
        <w:br w:type="page"/>
      </w:r>
      <w:bookmarkStart w:id="204" w:name="_Toc7887"/>
      <w:bookmarkStart w:id="205" w:name="_Toc21387"/>
      <w:r>
        <w:rPr>
          <w:rFonts w:hint="eastAsia"/>
          <w:color w:val="000000"/>
          <w:shd w:val="clear" w:color="auto" w:fill="auto"/>
        </w:rPr>
        <w:t>3评估结论</w:t>
      </w:r>
      <w:bookmarkEnd w:id="204"/>
      <w:bookmarkEnd w:id="205"/>
    </w:p>
    <w:p>
      <w:pPr>
        <w:pStyle w:val="3"/>
        <w:keepNext/>
        <w:keepLines/>
        <w:pageBreakBefore w:val="0"/>
        <w:widowControl w:val="0"/>
        <w:kinsoku/>
        <w:wordWrap/>
        <w:overflowPunct/>
        <w:topLinePunct w:val="0"/>
        <w:autoSpaceDE/>
        <w:autoSpaceDN/>
        <w:bidi w:val="0"/>
        <w:snapToGrid w:val="0"/>
        <w:rPr>
          <w:rFonts w:hint="eastAsia"/>
          <w:color w:val="000000"/>
          <w:shd w:val="clear" w:color="auto" w:fill="auto"/>
        </w:rPr>
      </w:pPr>
      <w:bookmarkStart w:id="206" w:name="_Toc14221"/>
      <w:bookmarkStart w:id="207" w:name="_Toc5978"/>
      <w:r>
        <w:rPr>
          <w:rFonts w:hint="eastAsia"/>
          <w:color w:val="000000"/>
          <w:shd w:val="clear" w:color="auto" w:fill="auto"/>
        </w:rPr>
        <w:t>3.1拟建项目主要风险因素</w:t>
      </w:r>
      <w:bookmarkEnd w:id="206"/>
      <w:bookmarkEnd w:id="207"/>
    </w:p>
    <w:p>
      <w:pPr>
        <w:pStyle w:val="29"/>
        <w:pageBreakBefore w:val="0"/>
        <w:widowControl w:val="0"/>
        <w:kinsoku/>
        <w:wordWrap/>
        <w:overflowPunct/>
        <w:topLinePunct w:val="0"/>
        <w:autoSpaceDE/>
        <w:autoSpaceDN/>
        <w:bidi w:val="0"/>
        <w:snapToGrid w:val="0"/>
        <w:rPr>
          <w:rFonts w:hint="eastAsia"/>
          <w:color w:val="000000"/>
          <w:shd w:val="clear" w:color="auto" w:fill="auto"/>
        </w:rPr>
      </w:pPr>
      <w:r>
        <w:rPr>
          <w:color w:val="000000"/>
          <w:shd w:val="clear" w:color="auto" w:fill="auto"/>
        </w:rPr>
        <w:t>根据《</w:t>
      </w:r>
      <w:r>
        <w:rPr>
          <w:rFonts w:hint="eastAsia"/>
          <w:color w:val="000000"/>
          <w:shd w:val="clear" w:color="auto" w:fill="auto"/>
        </w:rPr>
        <w:t>国家发展改革委重大固定资产投资项目社会稳定风险评估暂行办法</w:t>
      </w:r>
      <w:r>
        <w:rPr>
          <w:color w:val="000000"/>
          <w:shd w:val="clear" w:color="auto" w:fill="auto"/>
        </w:rPr>
        <w:t>》(</w:t>
      </w:r>
      <w:r>
        <w:rPr>
          <w:rFonts w:hint="eastAsia"/>
          <w:color w:val="000000"/>
          <w:shd w:val="clear" w:color="auto" w:fill="auto"/>
        </w:rPr>
        <w:t>发改投资</w:t>
      </w:r>
      <w:r>
        <w:rPr>
          <w:color w:val="000000"/>
          <w:shd w:val="clear" w:color="auto" w:fill="auto"/>
        </w:rPr>
        <w:t>[20</w:t>
      </w:r>
      <w:r>
        <w:rPr>
          <w:rFonts w:hint="eastAsia"/>
          <w:color w:val="000000"/>
          <w:shd w:val="clear" w:color="auto" w:fill="auto"/>
        </w:rPr>
        <w:t>12</w:t>
      </w:r>
      <w:r>
        <w:rPr>
          <w:color w:val="000000"/>
          <w:shd w:val="clear" w:color="auto" w:fill="auto"/>
        </w:rPr>
        <w:t>]2</w:t>
      </w:r>
      <w:r>
        <w:rPr>
          <w:rFonts w:hint="eastAsia"/>
          <w:color w:val="000000"/>
          <w:shd w:val="clear" w:color="auto" w:fill="auto"/>
        </w:rPr>
        <w:t>492</w:t>
      </w:r>
      <w:r>
        <w:rPr>
          <w:color w:val="000000"/>
          <w:shd w:val="clear" w:color="auto" w:fill="auto"/>
        </w:rPr>
        <w:t>号)</w:t>
      </w:r>
      <w:r>
        <w:rPr>
          <w:rFonts w:hint="eastAsia"/>
          <w:color w:val="000000"/>
          <w:shd w:val="clear" w:color="auto" w:fill="auto"/>
        </w:rPr>
        <w:t>和新疆维吾尔自治区发展改革委关于印发《新疆维吾尔自治区发展改革委重大固定资产投资项目社会稳定风险评估暂行办法》的通知([2013]3211</w:t>
      </w:r>
      <w:r>
        <w:rPr>
          <w:color w:val="000000"/>
          <w:shd w:val="clear" w:color="auto" w:fill="auto"/>
        </w:rPr>
        <w:t>号</w:t>
      </w:r>
      <w:r>
        <w:rPr>
          <w:rFonts w:hint="eastAsia"/>
          <w:color w:val="000000"/>
          <w:shd w:val="clear" w:color="auto" w:fill="auto"/>
        </w:rPr>
        <w:t>)，分析拟建项目社会稳定风险主要因素为：</w:t>
      </w:r>
    </w:p>
    <w:p>
      <w:pPr>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b/>
          <w:color w:val="000000"/>
        </w:rPr>
        <w:t>(1)土地及地面附着物征用及跨越补偿不到位风险；</w:t>
      </w:r>
    </w:p>
    <w:p>
      <w:pPr>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b/>
          <w:color w:val="000000"/>
        </w:rPr>
        <w:t>(2)碾压农作物及生态破坏引发公众抱怨；</w:t>
      </w:r>
    </w:p>
    <w:p>
      <w:pPr>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b/>
          <w:color w:val="000000"/>
        </w:rPr>
        <w:t>(3)</w:t>
      </w:r>
      <w:r>
        <w:rPr>
          <w:rFonts w:hint="eastAsia" w:ascii="宋体" w:eastAsia="宋体" w:cs="宋体"/>
          <w:b/>
          <w:color w:val="000000"/>
          <w:lang w:eastAsia="zh-CN"/>
        </w:rPr>
        <w:t>暴力恐怖袭击及自然灾害等各类原因导致电网大面积停电造成突发公共事件</w:t>
      </w:r>
      <w:r>
        <w:rPr>
          <w:rFonts w:hint="eastAsia" w:ascii="宋体" w:eastAsia="宋体" w:cs="宋体"/>
          <w:b/>
          <w:color w:val="000000"/>
        </w:rPr>
        <w:t>；</w:t>
      </w:r>
    </w:p>
    <w:p>
      <w:pPr>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b/>
          <w:color w:val="000000"/>
        </w:rPr>
        <w:t>(4)施工人员薪资纠纷所引发的群体性事件；</w:t>
      </w:r>
    </w:p>
    <w:p>
      <w:pPr>
        <w:pageBreakBefore w:val="0"/>
        <w:widowControl w:val="0"/>
        <w:kinsoku/>
        <w:wordWrap/>
        <w:overflowPunct/>
        <w:topLinePunct w:val="0"/>
        <w:autoSpaceDE/>
        <w:autoSpaceDN/>
        <w:bidi w:val="0"/>
        <w:snapToGrid w:val="0"/>
        <w:ind w:firstLine="477" w:firstLineChars="198"/>
        <w:rPr>
          <w:rFonts w:hint="eastAsia" w:ascii="宋体" w:eastAsia="宋体" w:cs="宋体"/>
          <w:b/>
          <w:color w:val="000000"/>
        </w:rPr>
      </w:pPr>
      <w:r>
        <w:rPr>
          <w:rFonts w:hint="eastAsia" w:ascii="宋体" w:eastAsia="宋体" w:cs="宋体"/>
          <w:b/>
          <w:color w:val="000000"/>
        </w:rPr>
        <w:t>(5)安全生产事故善后处置不当引发纠纷；</w:t>
      </w:r>
    </w:p>
    <w:p>
      <w:pPr>
        <w:pStyle w:val="29"/>
        <w:pageBreakBefore w:val="0"/>
        <w:widowControl w:val="0"/>
        <w:kinsoku/>
        <w:wordWrap/>
        <w:overflowPunct/>
        <w:topLinePunct w:val="0"/>
        <w:autoSpaceDE/>
        <w:autoSpaceDN/>
        <w:bidi w:val="0"/>
        <w:snapToGrid w:val="0"/>
        <w:spacing w:line="360" w:lineRule="auto"/>
        <w:ind w:firstLine="479" w:firstLineChars="199"/>
        <w:rPr>
          <w:rFonts w:hint="eastAsia" w:ascii="宋体" w:eastAsia="宋体" w:cs="宋体"/>
          <w:b/>
          <w:color w:val="000000"/>
          <w:lang w:eastAsia="zh-CN"/>
        </w:rPr>
      </w:pPr>
      <w:r>
        <w:rPr>
          <w:rFonts w:hint="eastAsia" w:ascii="宋体" w:eastAsia="宋体" w:cs="宋体"/>
          <w:b/>
          <w:color w:val="000000"/>
          <w:lang w:eastAsia="zh-CN"/>
        </w:rPr>
        <w:t>(6)群众对电磁辐射误解而引发的风险；</w:t>
      </w:r>
    </w:p>
    <w:p>
      <w:pPr>
        <w:pStyle w:val="29"/>
        <w:pageBreakBefore w:val="0"/>
        <w:widowControl w:val="0"/>
        <w:kinsoku/>
        <w:wordWrap/>
        <w:overflowPunct/>
        <w:topLinePunct w:val="0"/>
        <w:autoSpaceDE/>
        <w:autoSpaceDN/>
        <w:bidi w:val="0"/>
        <w:snapToGrid w:val="0"/>
        <w:spacing w:line="360" w:lineRule="auto"/>
        <w:ind w:firstLine="479" w:firstLineChars="199"/>
        <w:rPr>
          <w:rFonts w:hint="eastAsia" w:ascii="宋体" w:eastAsia="宋体" w:cs="宋体"/>
          <w:b/>
          <w:color w:val="000000"/>
          <w:lang w:eastAsia="zh-CN"/>
        </w:rPr>
      </w:pPr>
      <w:r>
        <w:rPr>
          <w:rFonts w:hint="eastAsia" w:ascii="宋体" w:eastAsia="宋体" w:cs="宋体"/>
          <w:b/>
          <w:color w:val="000000"/>
          <w:lang w:eastAsia="zh-CN"/>
        </w:rPr>
        <w:t>(</w:t>
      </w:r>
      <w:r>
        <w:rPr>
          <w:rFonts w:hint="eastAsia" w:cs="宋体"/>
          <w:b/>
          <w:color w:val="000000"/>
          <w:lang w:val="en-US" w:eastAsia="zh-CN"/>
        </w:rPr>
        <w:t>7</w:t>
      </w:r>
      <w:r>
        <w:rPr>
          <w:rFonts w:hint="eastAsia" w:ascii="宋体" w:eastAsia="宋体" w:cs="宋体"/>
          <w:b/>
          <w:color w:val="000000"/>
          <w:lang w:eastAsia="zh-CN"/>
        </w:rPr>
        <w:t>)突发公共卫生事件引发的社会风险。</w:t>
      </w:r>
    </w:p>
    <w:p>
      <w:pPr>
        <w:pStyle w:val="3"/>
        <w:keepNext/>
        <w:keepLines/>
        <w:pageBreakBefore w:val="0"/>
        <w:widowControl w:val="0"/>
        <w:kinsoku/>
        <w:wordWrap/>
        <w:overflowPunct/>
        <w:topLinePunct w:val="0"/>
        <w:autoSpaceDE/>
        <w:autoSpaceDN/>
        <w:bidi w:val="0"/>
        <w:snapToGrid w:val="0"/>
        <w:rPr>
          <w:rFonts w:hint="eastAsia"/>
          <w:color w:val="000000"/>
          <w:shd w:val="clear" w:color="auto" w:fill="auto"/>
        </w:rPr>
      </w:pPr>
      <w:bookmarkStart w:id="208" w:name="_Toc26640"/>
      <w:bookmarkStart w:id="209" w:name="_Toc8077"/>
      <w:r>
        <w:rPr>
          <w:rFonts w:hint="eastAsia"/>
          <w:color w:val="000000"/>
          <w:shd w:val="clear" w:color="auto" w:fill="auto"/>
        </w:rPr>
        <w:t>3.2拟建项目合法性、合理性、可行性、可控性</w:t>
      </w:r>
      <w:bookmarkEnd w:id="24"/>
      <w:bookmarkEnd w:id="208"/>
      <w:bookmarkEnd w:id="209"/>
    </w:p>
    <w:p>
      <w:pPr>
        <w:pageBreakBefore w:val="0"/>
        <w:widowControl w:val="0"/>
        <w:kinsoku/>
        <w:wordWrap/>
        <w:overflowPunct/>
        <w:topLinePunct w:val="0"/>
        <w:autoSpaceDE/>
        <w:autoSpaceDN/>
        <w:bidi w:val="0"/>
        <w:snapToGrid w:val="0"/>
        <w:ind w:firstLine="0" w:firstLineChars="0"/>
        <w:rPr>
          <w:rFonts w:hint="eastAsia" w:cs="宋体"/>
          <w:b/>
          <w:color w:val="000000"/>
          <w:shd w:val="clear" w:color="auto" w:fill="auto"/>
        </w:rPr>
      </w:pPr>
      <w:r>
        <w:rPr>
          <w:rFonts w:hint="eastAsia" w:cs="宋体"/>
          <w:b/>
          <w:color w:val="000000"/>
          <w:shd w:val="clear" w:color="auto" w:fill="auto"/>
        </w:rPr>
        <w:t>3.2.1拟建项目合法性</w:t>
      </w:r>
    </w:p>
    <w:p>
      <w:pPr>
        <w:keepNext w:val="0"/>
        <w:keepLines w:val="0"/>
        <w:pageBreakBefore w:val="0"/>
        <w:widowControl w:val="0"/>
        <w:tabs>
          <w:tab w:val="left" w:pos="5250"/>
        </w:tabs>
        <w:kinsoku/>
        <w:wordWrap/>
        <w:overflowPunct/>
        <w:topLinePunct w:val="0"/>
        <w:autoSpaceDE/>
        <w:autoSpaceDN/>
        <w:bidi w:val="0"/>
        <w:adjustRightInd/>
        <w:snapToGrid w:val="0"/>
        <w:textAlignment w:val="auto"/>
        <w:rPr>
          <w:rFonts w:hint="eastAsia" w:eastAsia="宋体"/>
          <w:color w:val="000000"/>
          <w:shd w:val="clear" w:color="auto" w:fill="auto"/>
          <w:lang w:eastAsia="zh-CN"/>
        </w:rPr>
      </w:pPr>
      <w:r>
        <w:rPr>
          <w:rFonts w:hint="eastAsia"/>
          <w:color w:val="000000"/>
          <w:shd w:val="clear" w:color="auto" w:fill="auto"/>
          <w:lang w:eastAsia="zh-CN"/>
        </w:rPr>
        <w:t>该工程</w:t>
      </w:r>
      <w:r>
        <w:rPr>
          <w:rFonts w:hint="eastAsia" w:eastAsia="宋体" w:cs="Times New Roman"/>
          <w:color w:val="000000"/>
          <w:shd w:val="clear" w:color="auto" w:fill="auto"/>
        </w:rPr>
        <w:t>属于</w:t>
      </w:r>
      <w:r>
        <w:rPr>
          <w:rFonts w:hint="eastAsia" w:cs="Times New Roman"/>
          <w:color w:val="000000"/>
          <w:shd w:val="clear" w:color="auto" w:fill="auto"/>
          <w:lang w:eastAsia="zh-CN"/>
        </w:rPr>
        <w:t>库尔勒市</w:t>
      </w:r>
      <w:r>
        <w:rPr>
          <w:rFonts w:hint="eastAsia" w:eastAsia="宋体" w:cs="Times New Roman"/>
          <w:color w:val="000000"/>
          <w:shd w:val="clear" w:color="auto" w:fill="auto"/>
          <w:lang w:val="en-US" w:eastAsia="zh-CN"/>
        </w:rPr>
        <w:t>电网中的一部分，项目</w:t>
      </w:r>
      <w:r>
        <w:rPr>
          <w:rFonts w:hint="eastAsia" w:eastAsia="宋体" w:cs="宋体"/>
          <w:color w:val="000000"/>
          <w:lang w:val="en-US" w:eastAsia="zh-CN"/>
        </w:rPr>
        <w:t>保障了</w:t>
      </w:r>
      <w:r>
        <w:rPr>
          <w:rFonts w:hint="eastAsia" w:cs="宋体"/>
          <w:color w:val="000000"/>
          <w:lang w:val="en-US" w:eastAsia="zh-CN"/>
        </w:rPr>
        <w:t>库尔勒市</w:t>
      </w:r>
      <w:r>
        <w:rPr>
          <w:rFonts w:hint="eastAsia" w:eastAsia="宋体" w:cs="宋体"/>
          <w:color w:val="000000"/>
          <w:lang w:val="en-US" w:eastAsia="zh-CN"/>
        </w:rPr>
        <w:t>周边地区“十四五”负荷增长的用电需求；实现</w:t>
      </w:r>
      <w:r>
        <w:rPr>
          <w:rFonts w:hint="eastAsia" w:cs="宋体"/>
          <w:color w:val="000000"/>
          <w:lang w:val="en-US" w:eastAsia="zh-CN"/>
        </w:rPr>
        <w:t>库尔勒市电网</w:t>
      </w:r>
      <w:r>
        <w:rPr>
          <w:rFonts w:hint="eastAsia" w:eastAsia="宋体" w:cs="宋体"/>
          <w:color w:val="000000"/>
          <w:lang w:val="en-US" w:eastAsia="zh-CN"/>
        </w:rPr>
        <w:t>网升级，提升</w:t>
      </w:r>
      <w:r>
        <w:rPr>
          <w:rFonts w:hint="eastAsia" w:cs="宋体"/>
          <w:color w:val="000000"/>
          <w:lang w:val="en-US" w:eastAsia="zh-CN"/>
        </w:rPr>
        <w:t>库尔勒市电网</w:t>
      </w:r>
      <w:r>
        <w:rPr>
          <w:rFonts w:hint="eastAsia" w:eastAsia="宋体" w:cs="宋体"/>
          <w:color w:val="000000"/>
          <w:lang w:val="en-US" w:eastAsia="zh-CN"/>
        </w:rPr>
        <w:t>供电能力。</w:t>
      </w:r>
    </w:p>
    <w:p>
      <w:pPr>
        <w:keepNext w:val="0"/>
        <w:keepLines w:val="0"/>
        <w:pageBreakBefore w:val="0"/>
        <w:widowControl w:val="0"/>
        <w:tabs>
          <w:tab w:val="left" w:pos="5250"/>
        </w:tabs>
        <w:kinsoku/>
        <w:wordWrap/>
        <w:overflowPunct/>
        <w:topLinePunct w:val="0"/>
        <w:autoSpaceDE/>
        <w:autoSpaceDN/>
        <w:bidi w:val="0"/>
        <w:adjustRightInd/>
        <w:snapToGrid w:val="0"/>
        <w:textAlignment w:val="auto"/>
        <w:rPr>
          <w:rFonts w:hint="eastAsia"/>
          <w:color w:val="000000"/>
          <w:shd w:val="clear" w:color="auto" w:fill="auto"/>
          <w:lang w:val="en-US" w:eastAsia="zh-CN"/>
        </w:rPr>
      </w:pPr>
      <w:r>
        <w:rPr>
          <w:rFonts w:hint="eastAsia"/>
          <w:color w:val="000000"/>
          <w:shd w:val="clear" w:color="auto" w:fill="auto"/>
          <w:lang w:val="en-US" w:eastAsia="zh-CN"/>
        </w:rPr>
        <w:t>本项目为输</w:t>
      </w:r>
      <w:r>
        <w:rPr>
          <w:rFonts w:hint="eastAsia" w:eastAsia="宋体" w:cs="Times New Roman"/>
          <w:color w:val="000000"/>
          <w:shd w:val="clear" w:color="auto" w:fill="auto"/>
          <w:lang w:val="en-US" w:eastAsia="zh-CN"/>
        </w:rPr>
        <w:t>变电工程，属于国家发展和改革委员会《产业结构调整指导目录(</w:t>
      </w:r>
      <w:r>
        <w:rPr>
          <w:rFonts w:hint="eastAsia" w:eastAsia="宋体" w:cs="Times New Roman"/>
          <w:color w:val="000000"/>
          <w:shd w:val="clear" w:color="auto" w:fill="auto"/>
          <w:lang w:val="zh-CN" w:eastAsia="zh-CN"/>
        </w:rPr>
        <w:t>20</w:t>
      </w:r>
      <w:r>
        <w:rPr>
          <w:rFonts w:hint="eastAsia" w:cs="Times New Roman"/>
          <w:color w:val="000000"/>
          <w:shd w:val="clear" w:color="auto" w:fill="auto"/>
          <w:lang w:val="en-US" w:eastAsia="zh-CN"/>
        </w:rPr>
        <w:t>24</w:t>
      </w:r>
      <w:r>
        <w:rPr>
          <w:rFonts w:hint="eastAsia" w:eastAsia="宋体" w:cs="Times New Roman"/>
          <w:color w:val="000000"/>
          <w:shd w:val="clear" w:color="auto" w:fill="auto"/>
          <w:lang w:val="zh-CN" w:eastAsia="zh-CN"/>
        </w:rPr>
        <w:t>年本</w:t>
      </w:r>
      <w:r>
        <w:rPr>
          <w:rFonts w:hint="eastAsia" w:eastAsia="宋体" w:cs="Times New Roman"/>
          <w:color w:val="000000"/>
          <w:shd w:val="clear" w:color="auto" w:fill="auto"/>
          <w:lang w:val="en-US" w:eastAsia="zh-CN"/>
        </w:rPr>
        <w:t>)》中的“第一类鼓励类”，是</w:t>
      </w:r>
      <w:r>
        <w:rPr>
          <w:rFonts w:hint="eastAsia" w:eastAsia="宋体" w:cs="Times New Roman"/>
          <w:color w:val="000000"/>
          <w:shd w:val="clear" w:color="auto" w:fill="auto"/>
          <w:lang w:val="zh-CN" w:eastAsia="zh-CN"/>
        </w:rPr>
        <w:t>《</w:t>
      </w:r>
      <w:r>
        <w:rPr>
          <w:rFonts w:hint="eastAsia" w:cs="Times New Roman"/>
          <w:color w:val="000000"/>
          <w:shd w:val="clear" w:color="auto" w:fill="auto"/>
          <w:lang w:val="en-US" w:eastAsia="zh-CN"/>
        </w:rPr>
        <w:t>巴州</w:t>
      </w:r>
      <w:r>
        <w:rPr>
          <w:rFonts w:hint="eastAsia" w:eastAsia="宋体" w:cs="Times New Roman"/>
          <w:color w:val="000000"/>
          <w:shd w:val="clear" w:color="auto" w:fill="auto"/>
          <w:lang w:val="zh-CN" w:eastAsia="zh-CN"/>
        </w:rPr>
        <w:t>地区国民经济和社会发展第十四个五年规划和</w:t>
      </w:r>
      <w:r>
        <w:rPr>
          <w:rFonts w:hint="eastAsia" w:eastAsia="宋体" w:cs="Times New Roman"/>
          <w:color w:val="000000"/>
          <w:shd w:val="clear" w:color="auto" w:fill="auto"/>
          <w:lang w:val="en-US" w:eastAsia="zh-CN"/>
        </w:rPr>
        <w:t>2035年远景目标纲要</w:t>
      </w:r>
      <w:r>
        <w:rPr>
          <w:rFonts w:hint="eastAsia" w:eastAsia="宋体" w:cs="Times New Roman"/>
          <w:color w:val="000000"/>
          <w:shd w:val="clear" w:color="auto" w:fill="auto"/>
          <w:lang w:val="zh-CN" w:eastAsia="zh-CN"/>
        </w:rPr>
        <w:t>》中的“</w:t>
      </w:r>
      <w:r>
        <w:rPr>
          <w:rFonts w:hint="eastAsia" w:eastAsia="宋体" w:cs="Times New Roman"/>
          <w:color w:val="000000"/>
          <w:shd w:val="clear" w:color="auto" w:fill="auto"/>
          <w:lang w:val="en-US" w:eastAsia="zh-CN"/>
        </w:rPr>
        <w:t>电力基础设施建设重大项目”，符合国家、地区产业政</w:t>
      </w:r>
      <w:r>
        <w:rPr>
          <w:rFonts w:hint="eastAsia"/>
          <w:color w:val="000000"/>
          <w:shd w:val="clear" w:color="auto" w:fill="auto"/>
          <w:lang w:val="en-US" w:eastAsia="zh-CN"/>
        </w:rPr>
        <w:t>策。</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s="宋体"/>
          <w:color w:val="000000"/>
          <w:shd w:val="clear" w:color="auto" w:fill="auto"/>
        </w:rPr>
      </w:pPr>
      <w:r>
        <w:rPr>
          <w:rFonts w:hint="eastAsia" w:cs="宋体"/>
          <w:color w:val="000000"/>
          <w:shd w:val="clear" w:color="auto" w:fill="auto"/>
        </w:rPr>
        <w:t>因此，从项目立项来讲，本项目是合法、合规的。</w:t>
      </w:r>
    </w:p>
    <w:p>
      <w:pPr>
        <w:pageBreakBefore w:val="0"/>
        <w:widowControl w:val="0"/>
        <w:kinsoku/>
        <w:wordWrap/>
        <w:overflowPunct/>
        <w:topLinePunct w:val="0"/>
        <w:autoSpaceDE/>
        <w:autoSpaceDN/>
        <w:bidi w:val="0"/>
        <w:snapToGrid w:val="0"/>
        <w:ind w:firstLine="0" w:firstLineChars="0"/>
        <w:rPr>
          <w:rFonts w:hint="eastAsia"/>
          <w:b/>
          <w:color w:val="000000"/>
          <w:shd w:val="clear" w:color="auto" w:fill="auto"/>
        </w:rPr>
      </w:pPr>
      <w:r>
        <w:rPr>
          <w:rFonts w:hint="eastAsia"/>
          <w:b/>
          <w:color w:val="000000"/>
          <w:shd w:val="clear" w:color="auto" w:fill="auto"/>
        </w:rPr>
        <w:t>3.2.2拟建项目合理性、可行性</w:t>
      </w:r>
    </w:p>
    <w:p>
      <w:pPr>
        <w:pageBreakBefore w:val="0"/>
        <w:widowControl w:val="0"/>
        <w:tabs>
          <w:tab w:val="left" w:pos="5250"/>
        </w:tabs>
        <w:kinsoku/>
        <w:wordWrap/>
        <w:overflowPunct/>
        <w:topLinePunct w:val="0"/>
        <w:autoSpaceDE/>
        <w:autoSpaceDN/>
        <w:bidi w:val="0"/>
        <w:snapToGrid w:val="0"/>
        <w:rPr>
          <w:color w:val="000000"/>
          <w:shd w:val="clear" w:color="auto" w:fill="auto"/>
        </w:rPr>
      </w:pPr>
      <w:r>
        <w:rPr>
          <w:rFonts w:hint="eastAsia"/>
          <w:color w:val="000000"/>
          <w:shd w:val="clear" w:color="auto" w:fill="auto"/>
        </w:rPr>
        <w:t>本项目选址合理，符合规划要求。从项目选址和社会稳定风险预防角度来讲，在严格落实各项风险防范措施的前提下，项目是合理、可行的</w:t>
      </w:r>
      <w:r>
        <w:rPr>
          <w:color w:val="000000"/>
          <w:shd w:val="clear" w:color="auto" w:fill="auto"/>
        </w:rPr>
        <w:t>。</w:t>
      </w:r>
    </w:p>
    <w:p>
      <w:pPr>
        <w:pageBreakBefore w:val="0"/>
        <w:widowControl w:val="0"/>
        <w:tabs>
          <w:tab w:val="left" w:pos="5250"/>
        </w:tabs>
        <w:kinsoku/>
        <w:wordWrap/>
        <w:overflowPunct/>
        <w:topLinePunct w:val="0"/>
        <w:autoSpaceDE/>
        <w:autoSpaceDN/>
        <w:bidi w:val="0"/>
        <w:snapToGrid w:val="0"/>
        <w:ind w:firstLine="0" w:firstLineChars="0"/>
        <w:rPr>
          <w:rFonts w:hint="eastAsia"/>
          <w:b/>
          <w:color w:val="000000"/>
          <w:shd w:val="clear" w:color="auto" w:fill="auto"/>
        </w:rPr>
      </w:pPr>
      <w:r>
        <w:rPr>
          <w:rFonts w:hint="eastAsia"/>
          <w:b/>
          <w:color w:val="000000"/>
          <w:shd w:val="clear" w:color="auto" w:fill="auto"/>
        </w:rPr>
        <w:t>3.2.3拟建项目可控性</w:t>
      </w:r>
    </w:p>
    <w:p>
      <w:pPr>
        <w:pageBreakBefore w:val="0"/>
        <w:widowControl w:val="0"/>
        <w:kinsoku/>
        <w:wordWrap/>
        <w:overflowPunct/>
        <w:topLinePunct w:val="0"/>
        <w:autoSpaceDE/>
        <w:autoSpaceDN/>
        <w:bidi w:val="0"/>
        <w:snapToGrid w:val="0"/>
        <w:rPr>
          <w:rFonts w:hint="eastAsia"/>
          <w:color w:val="000000"/>
          <w:szCs w:val="24"/>
          <w:shd w:val="clear" w:color="auto" w:fill="auto"/>
        </w:rPr>
      </w:pPr>
      <w:r>
        <w:rPr>
          <w:rFonts w:hint="eastAsia"/>
          <w:color w:val="000000"/>
          <w:szCs w:val="24"/>
          <w:shd w:val="clear" w:color="auto" w:fill="auto"/>
        </w:rPr>
        <w:t>在整体设计、施工管理方案中统筹考虑拟建项目所涉及的群体合理诉求，如保护当地生态环境，少占草场，不随便开设道路，减少扬尘，加强施工</w:t>
      </w:r>
      <w:r>
        <w:rPr>
          <w:rFonts w:hint="eastAsia"/>
          <w:color w:val="000000"/>
          <w:szCs w:val="24"/>
          <w:shd w:val="clear" w:color="auto" w:fill="auto"/>
          <w:lang w:val="en-US" w:eastAsia="zh-CN"/>
        </w:rPr>
        <w:t>流动</w:t>
      </w:r>
      <w:r>
        <w:rPr>
          <w:rFonts w:hint="eastAsia"/>
          <w:color w:val="000000"/>
          <w:szCs w:val="24"/>
          <w:shd w:val="clear" w:color="auto" w:fill="auto"/>
        </w:rPr>
        <w:t>人员</w:t>
      </w:r>
      <w:r>
        <w:rPr>
          <w:rFonts w:hint="eastAsia"/>
          <w:color w:val="000000"/>
          <w:szCs w:val="24"/>
          <w:shd w:val="clear" w:color="auto" w:fill="auto"/>
          <w:lang w:val="en-US" w:eastAsia="zh-CN"/>
        </w:rPr>
        <w:t>的</w:t>
      </w:r>
      <w:r>
        <w:rPr>
          <w:rFonts w:hint="eastAsia"/>
          <w:color w:val="000000"/>
          <w:szCs w:val="24"/>
          <w:shd w:val="clear" w:color="auto" w:fill="auto"/>
        </w:rPr>
        <w:t>管理，</w:t>
      </w:r>
      <w:r>
        <w:rPr>
          <w:rFonts w:hint="eastAsia"/>
          <w:color w:val="000000"/>
          <w:szCs w:val="24"/>
          <w:shd w:val="clear" w:color="auto" w:fill="auto"/>
          <w:lang w:val="en-US" w:eastAsia="zh-CN"/>
        </w:rPr>
        <w:t>遵章守纪，文明施工，</w:t>
      </w:r>
      <w:r>
        <w:rPr>
          <w:rFonts w:hint="eastAsia"/>
          <w:color w:val="000000"/>
          <w:szCs w:val="24"/>
          <w:shd w:val="clear" w:color="auto" w:fill="auto"/>
        </w:rPr>
        <w:t>安全施工，及时发放工人工资等，风险防范提前考虑了公众诉求，项目社会稳定风险管理措施是可行的。</w:t>
      </w:r>
    </w:p>
    <w:p>
      <w:pPr>
        <w:pageBreakBefore w:val="0"/>
        <w:widowControl w:val="0"/>
        <w:kinsoku/>
        <w:wordWrap/>
        <w:overflowPunct/>
        <w:topLinePunct w:val="0"/>
        <w:autoSpaceDE/>
        <w:autoSpaceDN/>
        <w:bidi w:val="0"/>
        <w:snapToGrid w:val="0"/>
        <w:rPr>
          <w:rFonts w:hint="eastAsia" w:eastAsia="宋体"/>
          <w:color w:val="000000"/>
          <w:shd w:val="clear" w:color="auto" w:fill="auto"/>
          <w:lang w:eastAsia="zh-CN"/>
        </w:rPr>
      </w:pPr>
      <w:r>
        <w:rPr>
          <w:rFonts w:hint="eastAsia"/>
          <w:color w:val="000000"/>
          <w:shd w:val="clear" w:color="auto" w:fill="auto"/>
        </w:rPr>
        <w:t>拟建项目所提出的风险对策措施与现行法规、政策是相符的，具有合法性和有效性。通过对每条措施明确责任主体、完成时间节点，具有可行性。此外，不仅制定了风险预防措施，体现源头治理，还明确了发生风险事件后的化解措施、应急预案，最大程度地减弱风险事件的影响程度和后果，所以从预防、化解两个角度来评估，风险应对措施具有可控性。</w:t>
      </w:r>
    </w:p>
    <w:p>
      <w:pPr>
        <w:pageBreakBefore w:val="0"/>
        <w:widowControl w:val="0"/>
        <w:kinsoku/>
        <w:wordWrap/>
        <w:overflowPunct/>
        <w:topLinePunct w:val="0"/>
        <w:autoSpaceDE/>
        <w:autoSpaceDN/>
        <w:bidi w:val="0"/>
        <w:snapToGrid w:val="0"/>
        <w:rPr>
          <w:rFonts w:hint="eastAsia"/>
          <w:color w:val="000000"/>
          <w:shd w:val="clear" w:color="auto" w:fill="auto"/>
        </w:rPr>
      </w:pPr>
      <w:r>
        <w:rPr>
          <w:rFonts w:hint="eastAsia"/>
          <w:color w:val="000000"/>
          <w:shd w:val="clear" w:color="auto" w:fill="auto"/>
        </w:rPr>
        <w:t>评估认为本项目的建设</w:t>
      </w:r>
      <w:r>
        <w:rPr>
          <w:rFonts w:hint="eastAsia"/>
          <w:color w:val="000000"/>
          <w:szCs w:val="24"/>
          <w:shd w:val="clear" w:color="auto" w:fill="auto"/>
        </w:rPr>
        <w:t>有利于推动</w:t>
      </w:r>
      <w:r>
        <w:rPr>
          <w:rFonts w:hint="eastAsia"/>
          <w:color w:val="000000"/>
          <w:szCs w:val="24"/>
          <w:shd w:val="clear" w:color="auto" w:fill="auto"/>
          <w:lang w:eastAsia="zh-CN"/>
        </w:rPr>
        <w:t>巴州地区</w:t>
      </w:r>
      <w:r>
        <w:rPr>
          <w:rFonts w:hint="eastAsia"/>
          <w:color w:val="000000"/>
          <w:szCs w:val="24"/>
          <w:shd w:val="clear" w:color="auto" w:fill="auto"/>
          <w:lang w:val="en-US" w:eastAsia="zh-CN"/>
        </w:rPr>
        <w:t>库尔勒市的</w:t>
      </w:r>
      <w:r>
        <w:rPr>
          <w:rFonts w:hint="eastAsia"/>
          <w:color w:val="000000"/>
          <w:szCs w:val="24"/>
          <w:shd w:val="clear" w:color="auto" w:fill="auto"/>
        </w:rPr>
        <w:t>经济发展</w:t>
      </w:r>
      <w:r>
        <w:rPr>
          <w:rFonts w:hint="eastAsia"/>
          <w:color w:val="000000"/>
          <w:szCs w:val="24"/>
          <w:shd w:val="clear" w:color="auto" w:fill="auto"/>
          <w:lang w:val="en-US" w:eastAsia="zh-CN"/>
        </w:rPr>
        <w:t>和民生改善</w:t>
      </w:r>
      <w:r>
        <w:rPr>
          <w:rFonts w:hint="eastAsia"/>
          <w:color w:val="000000"/>
          <w:shd w:val="clear" w:color="auto" w:fill="auto"/>
        </w:rPr>
        <w:t>。因此，本项目的建设具有重要意义。本项目是合法、合理的，在社会稳定风险防范方面具备可行性和可控性。</w:t>
      </w:r>
    </w:p>
    <w:p>
      <w:pPr>
        <w:pStyle w:val="29"/>
        <w:pageBreakBefore w:val="0"/>
        <w:widowControl w:val="0"/>
        <w:tabs>
          <w:tab w:val="center" w:pos="4273"/>
        </w:tabs>
        <w:kinsoku/>
        <w:wordWrap/>
        <w:overflowPunct/>
        <w:topLinePunct w:val="0"/>
        <w:autoSpaceDE/>
        <w:autoSpaceDN/>
        <w:bidi w:val="0"/>
        <w:snapToGrid w:val="0"/>
        <w:ind w:firstLine="0" w:firstLineChars="0"/>
        <w:outlineLvl w:val="1"/>
        <w:rPr>
          <w:rFonts w:hint="eastAsia" w:eastAsia="宋体"/>
          <w:color w:val="000000"/>
          <w:shd w:val="clear" w:color="auto" w:fill="auto"/>
          <w:lang w:eastAsia="zh-CN"/>
        </w:rPr>
      </w:pPr>
      <w:bookmarkStart w:id="210" w:name="_Toc347780808"/>
      <w:bookmarkStart w:id="211" w:name="_Toc8708"/>
      <w:bookmarkStart w:id="212" w:name="_Toc1090"/>
      <w:bookmarkStart w:id="213" w:name="_Toc342908382"/>
      <w:r>
        <w:rPr>
          <w:rStyle w:val="25"/>
          <w:rFonts w:hint="eastAsia"/>
          <w:color w:val="000000"/>
          <w:shd w:val="clear" w:color="auto" w:fill="auto"/>
        </w:rPr>
        <w:t>3.3社会稳定风险主要防范及化解措施</w:t>
      </w:r>
      <w:bookmarkEnd w:id="210"/>
      <w:bookmarkEnd w:id="211"/>
      <w:bookmarkEnd w:id="212"/>
      <w:bookmarkEnd w:id="213"/>
      <w:r>
        <w:rPr>
          <w:color w:val="000000"/>
          <w:shd w:val="clear" w:color="auto" w:fill="auto"/>
        </w:rPr>
        <w:tab/>
      </w:r>
    </w:p>
    <w:p>
      <w:pPr>
        <w:pageBreakBefore w:val="0"/>
        <w:widowControl w:val="0"/>
        <w:kinsoku/>
        <w:wordWrap/>
        <w:overflowPunct/>
        <w:topLinePunct w:val="0"/>
        <w:autoSpaceDE/>
        <w:autoSpaceDN/>
        <w:bidi w:val="0"/>
        <w:snapToGrid w:val="0"/>
        <w:jc w:val="left"/>
        <w:rPr>
          <w:rFonts w:hint="eastAsia"/>
          <w:color w:val="000000"/>
          <w:shd w:val="clear" w:color="auto" w:fill="auto"/>
        </w:rPr>
      </w:pPr>
      <w:r>
        <w:rPr>
          <w:rFonts w:hint="eastAsia"/>
          <w:color w:val="000000"/>
          <w:shd w:val="clear" w:color="auto" w:fill="auto"/>
        </w:rPr>
        <w:t>中央新疆工作座谈会精神，吸纳当地人员就业。在同等条件下，各类施工人员优先录用当地大中专毕业生和当地劳动力。尽可能采购当地蔬菜、瓜果、粮油等生活物质，间接促进就业。同时，在条件允许的情况下，相关企业可以参与当地的公益性活动，在带动</w:t>
      </w:r>
      <w:r>
        <w:rPr>
          <w:rFonts w:hint="eastAsia"/>
          <w:color w:val="000000"/>
          <w:shd w:val="clear" w:color="auto" w:fill="auto"/>
          <w:lang w:val="en-US" w:eastAsia="zh-CN"/>
        </w:rPr>
        <w:t>当地</w:t>
      </w:r>
      <w:r>
        <w:rPr>
          <w:rFonts w:hint="eastAsia"/>
          <w:color w:val="000000"/>
          <w:shd w:val="clear" w:color="auto" w:fill="auto"/>
        </w:rPr>
        <w:t>经济效益的同时，也</w:t>
      </w:r>
      <w:r>
        <w:rPr>
          <w:rFonts w:hint="eastAsia"/>
          <w:color w:val="000000"/>
          <w:shd w:val="clear" w:color="auto" w:fill="auto"/>
          <w:lang w:val="en-US" w:eastAsia="zh-CN"/>
        </w:rPr>
        <w:t>促进当地</w:t>
      </w:r>
      <w:r>
        <w:rPr>
          <w:rFonts w:hint="eastAsia"/>
          <w:color w:val="000000"/>
          <w:shd w:val="clear" w:color="auto" w:fill="auto"/>
        </w:rPr>
        <w:t>的社会效益，树立企业良好形象。</w:t>
      </w:r>
    </w:p>
    <w:p>
      <w:pPr>
        <w:pageBreakBefore w:val="0"/>
        <w:widowControl w:val="0"/>
        <w:kinsoku/>
        <w:wordWrap/>
        <w:overflowPunct/>
        <w:topLinePunct w:val="0"/>
        <w:autoSpaceDE/>
        <w:autoSpaceDN/>
        <w:bidi w:val="0"/>
        <w:snapToGrid w:val="0"/>
        <w:ind w:left="0" w:firstLine="0" w:firstLineChars="0"/>
        <w:outlineLvl w:val="2"/>
        <w:rPr>
          <w:rFonts w:hint="eastAsia" w:ascii="宋体" w:eastAsia="宋体" w:cs="宋体"/>
          <w:b/>
          <w:bCs/>
          <w:color w:val="000000"/>
        </w:rPr>
      </w:pPr>
      <w:bookmarkStart w:id="214" w:name="_Toc372727928"/>
      <w:bookmarkStart w:id="215" w:name="_Toc374959896"/>
      <w:bookmarkStart w:id="216" w:name="_Toc355218759"/>
      <w:bookmarkStart w:id="217" w:name="_Toc352669274"/>
      <w:bookmarkStart w:id="218" w:name="_Toc355124150"/>
      <w:r>
        <w:rPr>
          <w:rFonts w:hint="eastAsia" w:eastAsia="宋体" w:cs="宋体"/>
          <w:b/>
          <w:bCs/>
          <w:color w:val="000000"/>
          <w:lang w:eastAsia="zh-CN"/>
        </w:rPr>
        <w:t>3.3</w:t>
      </w:r>
      <w:r>
        <w:rPr>
          <w:rFonts w:hint="eastAsia" w:ascii="宋体" w:eastAsia="宋体" w:cs="宋体"/>
          <w:b/>
          <w:bCs/>
          <w:color w:val="000000"/>
        </w:rPr>
        <w:t>.1“土地及地面附着物征用及跨越补偿不到位风险”防范措施</w:t>
      </w:r>
    </w:p>
    <w:p>
      <w:pPr>
        <w:pageBreakBefore w:val="0"/>
        <w:widowControl w:val="0"/>
        <w:kinsoku/>
        <w:wordWrap/>
        <w:overflowPunct/>
        <w:topLinePunct w:val="0"/>
        <w:autoSpaceDE/>
        <w:autoSpaceDN/>
        <w:bidi w:val="0"/>
        <w:snapToGrid w:val="0"/>
        <w:rPr>
          <w:rFonts w:hint="eastAsia" w:ascii="宋体" w:eastAsia="宋体" w:cs="宋体"/>
          <w:b/>
          <w:bCs/>
          <w:color w:val="000000"/>
          <w:szCs w:val="21"/>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选择有资质且双方认可的单位，对征用土地面积进行丈量。</w:t>
      </w:r>
      <w:r>
        <w:rPr>
          <w:rFonts w:hint="eastAsia" w:ascii="宋体" w:eastAsia="宋体" w:cs="宋体"/>
          <w:color w:val="000000"/>
          <w:szCs w:val="21"/>
        </w:rPr>
        <w:t>临时占用的农用地补偿额度和面积可适当提高，便于施工操作和防止纠纷发生。</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cs="宋体"/>
          <w:color w:val="000000"/>
          <w:lang w:val="en-US" w:eastAsia="zh-CN"/>
        </w:rPr>
        <w:t>2</w:t>
      </w:r>
      <w:r>
        <w:rPr>
          <w:rFonts w:hint="eastAsia" w:ascii="宋体" w:eastAsia="宋体" w:cs="宋体"/>
          <w:color w:val="000000"/>
          <w:lang w:eastAsia="zh-CN"/>
        </w:rPr>
        <w:t>)</w:t>
      </w:r>
      <w:r>
        <w:rPr>
          <w:rFonts w:hint="eastAsia" w:ascii="宋体" w:eastAsia="宋体" w:cs="宋体"/>
          <w:color w:val="000000"/>
        </w:rPr>
        <w:t>保持信息对称，征地补偿方案应书面发给每一个被征地对象，公示时间不得低于规定，公示地点应选在当地村委会、乡政府公示栏处，采用便于群众获取信息的途径。</w:t>
      </w:r>
    </w:p>
    <w:p>
      <w:pPr>
        <w:pageBreakBefore w:val="0"/>
        <w:widowControl w:val="0"/>
        <w:tabs>
          <w:tab w:val="left" w:pos="0"/>
        </w:tabs>
        <w:kinsoku/>
        <w:wordWrap/>
        <w:overflowPunct/>
        <w:topLinePunct w:val="0"/>
        <w:autoSpaceDE/>
        <w:autoSpaceDN/>
        <w:bidi w:val="0"/>
        <w:snapToGrid w:val="0"/>
        <w:rPr>
          <w:rFonts w:hint="eastAsia" w:ascii="宋体" w:eastAsia="宋体" w:cs="宋体"/>
          <w:b/>
          <w:bCs/>
          <w:color w:val="000000"/>
          <w:szCs w:val="21"/>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color w:val="000000"/>
        </w:rPr>
        <w:t>督促当地基层乡镇和村委会，严格按补偿方案及时足额将补偿费用直接发至被征用对象手中。</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发挥当地村委会、农业及土地管理部门的作用，依据《中华人民共和国土地管理法》征用、占用土地，对土地补偿费、安置补助费、地上附着物及青苗补偿费准确计量核算。同时做好宣传解释工作，必要时，按程序采取法律手段。</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6</w:t>
      </w:r>
      <w:r>
        <w:rPr>
          <w:rFonts w:hint="eastAsia" w:ascii="宋体" w:eastAsia="宋体" w:cs="宋体"/>
          <w:color w:val="000000"/>
          <w:lang w:eastAsia="zh-CN"/>
        </w:rPr>
        <w:t>)</w:t>
      </w:r>
      <w:r>
        <w:rPr>
          <w:rFonts w:hint="eastAsia" w:ascii="宋体" w:eastAsia="宋体" w:cs="宋体"/>
          <w:color w:val="000000"/>
        </w:rPr>
        <w:t>征用补偿方案应广泛征求民意、信息公开、程序正当、宣传解释到位，双方应公平公正地签订协议，及时足额支付补偿，教育当地群众不要传谣、信谣。</w:t>
      </w:r>
    </w:p>
    <w:p>
      <w:pPr>
        <w:pageBreakBefore w:val="0"/>
        <w:widowControl w:val="0"/>
        <w:kinsoku/>
        <w:wordWrap/>
        <w:overflowPunct/>
        <w:topLinePunct w:val="0"/>
        <w:autoSpaceDE/>
        <w:autoSpaceDN/>
        <w:bidi w:val="0"/>
        <w:snapToGrid w:val="0"/>
        <w:rPr>
          <w:rFonts w:hint="eastAsia" w:ascii="宋体" w:eastAsia="宋体" w:cs="宋体"/>
          <w:color w:val="000000"/>
          <w:lang w:eastAsia="zh-CN"/>
        </w:rPr>
      </w:pPr>
      <w:r>
        <w:rPr>
          <w:rFonts w:hint="eastAsia" w:ascii="宋体" w:eastAsia="宋体" w:cs="宋体"/>
          <w:color w:val="000000"/>
          <w:lang w:eastAsia="zh-CN"/>
        </w:rPr>
        <w:t>(</w:t>
      </w:r>
      <w:r>
        <w:rPr>
          <w:rFonts w:hint="eastAsia" w:ascii="宋体" w:eastAsia="宋体" w:cs="宋体"/>
          <w:color w:val="000000"/>
        </w:rPr>
        <w:t>7</w:t>
      </w:r>
      <w:r>
        <w:rPr>
          <w:rFonts w:hint="eastAsia" w:ascii="宋体" w:eastAsia="宋体" w:cs="宋体"/>
          <w:color w:val="000000"/>
          <w:lang w:eastAsia="zh-CN"/>
        </w:rPr>
        <w:t>)</w:t>
      </w:r>
      <w:r>
        <w:rPr>
          <w:rFonts w:hint="eastAsia" w:ascii="宋体" w:eastAsia="宋体" w:cs="宋体"/>
          <w:color w:val="000000"/>
        </w:rPr>
        <w:t>严格按程序组织实施征地，重点落实好拟征地前的公告、确认、登记和实施中的“两公告一登记”制度。</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8</w:t>
      </w:r>
      <w:r>
        <w:rPr>
          <w:rFonts w:hint="eastAsia" w:ascii="宋体" w:eastAsia="宋体" w:cs="宋体"/>
          <w:color w:val="000000"/>
          <w:lang w:eastAsia="zh-CN"/>
        </w:rPr>
        <w:t>)</w:t>
      </w:r>
      <w:r>
        <w:rPr>
          <w:rFonts w:hint="eastAsia" w:ascii="宋体" w:eastAsia="宋体" w:cs="宋体"/>
          <w:color w:val="000000"/>
          <w:szCs w:val="21"/>
        </w:rPr>
        <w:t>项目施工前必须依据项目区域城乡规划局出具的规划蓝线，做好土地补偿工作后方可开工建设。</w:t>
      </w:r>
      <w:r>
        <w:rPr>
          <w:rFonts w:hint="eastAsia" w:ascii="宋体" w:eastAsia="宋体" w:cs="宋体"/>
          <w:color w:val="000000"/>
        </w:rPr>
        <w:t>如在具体施工过程中因无法避让而涉及到的零星房屋征收，应严格按《国有土地上房屋征收与补偿条例》和《自治区重点建设项目征地拆迁补偿标准》做好补偿安置。</w:t>
      </w:r>
    </w:p>
    <w:p>
      <w:pPr>
        <w:pageBreakBefore w:val="0"/>
        <w:widowControl w:val="0"/>
        <w:tabs>
          <w:tab w:val="left" w:pos="0"/>
        </w:tabs>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9</w:t>
      </w:r>
      <w:r>
        <w:rPr>
          <w:rFonts w:hint="eastAsia" w:ascii="宋体" w:eastAsia="宋体" w:cs="宋体"/>
          <w:color w:val="000000"/>
          <w:lang w:eastAsia="zh-CN"/>
        </w:rPr>
        <w:t>)</w:t>
      </w:r>
      <w:r>
        <w:rPr>
          <w:rFonts w:hint="eastAsia" w:ascii="宋体" w:eastAsia="宋体" w:cs="宋体"/>
          <w:color w:val="000000"/>
        </w:rPr>
        <w:t>项目所征占用的土地、林木等应按国家规定制定补偿方案，要做到先补偿，后施工，避免当地农牧民阻挡施工，影响工程建设。</w:t>
      </w:r>
    </w:p>
    <w:p>
      <w:pPr>
        <w:pageBreakBefore w:val="0"/>
        <w:widowControl w:val="0"/>
        <w:kinsoku/>
        <w:wordWrap/>
        <w:overflowPunct/>
        <w:topLinePunct w:val="0"/>
        <w:autoSpaceDE/>
        <w:autoSpaceDN/>
        <w:bidi w:val="0"/>
        <w:snapToGrid w:val="0"/>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.2“项目碾压农作物及生态破坏引发公众抱怨”防范措施</w:t>
      </w:r>
    </w:p>
    <w:p>
      <w:pPr>
        <w:pageBreakBefore w:val="0"/>
        <w:widowControl w:val="0"/>
        <w:kinsoku/>
        <w:wordWrap/>
        <w:overflowPunct/>
        <w:topLinePunct w:val="0"/>
        <w:autoSpaceDE/>
        <w:autoSpaceDN/>
        <w:bidi w:val="0"/>
        <w:snapToGrid w:val="0"/>
        <w:rPr>
          <w:rFonts w:hint="eastAsia" w:ascii="宋体" w:eastAsia="宋体" w:cs="宋体"/>
          <w:snapToGrid w:val="0"/>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snapToGrid w:val="0"/>
          <w:color w:val="000000"/>
        </w:rPr>
        <w:t>人员行为规范</w:t>
      </w:r>
    </w:p>
    <w:p>
      <w:pPr>
        <w:pageBreakBefore w:val="0"/>
        <w:widowControl w:val="0"/>
        <w:kinsoku/>
        <w:wordWrap/>
        <w:overflowPunct/>
        <w:topLinePunct w:val="0"/>
        <w:autoSpaceDE/>
        <w:autoSpaceDN/>
        <w:bidi w:val="0"/>
        <w:snapToGrid w:val="0"/>
        <w:rPr>
          <w:rFonts w:hint="eastAsia" w:ascii="宋体" w:eastAsia="宋体" w:cs="宋体"/>
          <w:snapToGrid w:val="0"/>
          <w:color w:val="000000"/>
        </w:rPr>
      </w:pPr>
      <w:r>
        <w:rPr>
          <w:rFonts w:hint="eastAsia" w:ascii="宋体" w:eastAsia="宋体" w:cs="宋体"/>
          <w:snapToGrid w:val="0"/>
          <w:color w:val="000000"/>
        </w:rPr>
        <w:t>1)成立专门环保</w:t>
      </w:r>
      <w:r>
        <w:rPr>
          <w:rFonts w:hint="eastAsia" w:ascii="宋体" w:eastAsia="宋体" w:cs="宋体"/>
          <w:snapToGrid w:val="0"/>
          <w:color w:val="000000"/>
          <w:lang w:val="en-US" w:eastAsia="zh-CN"/>
        </w:rPr>
        <w:t>管理</w:t>
      </w:r>
      <w:r>
        <w:rPr>
          <w:rFonts w:hint="eastAsia" w:ascii="宋体" w:eastAsia="宋体" w:cs="宋体"/>
          <w:snapToGrid w:val="0"/>
          <w:color w:val="000000"/>
        </w:rPr>
        <w:t>组织体系，对施工人员进行文明施工和环境保护知识培训，加强施工期环境管理及环境监控工作。</w:t>
      </w:r>
    </w:p>
    <w:p>
      <w:pPr>
        <w:pageBreakBefore w:val="0"/>
        <w:widowControl w:val="0"/>
        <w:kinsoku/>
        <w:wordWrap/>
        <w:overflowPunct/>
        <w:topLinePunct w:val="0"/>
        <w:autoSpaceDE/>
        <w:autoSpaceDN/>
        <w:bidi w:val="0"/>
        <w:snapToGrid w:val="0"/>
        <w:rPr>
          <w:rFonts w:hint="eastAsia" w:ascii="宋体" w:eastAsia="宋体" w:cs="宋体"/>
          <w:snapToGrid w:val="0"/>
          <w:color w:val="000000"/>
        </w:rPr>
      </w:pPr>
      <w:r>
        <w:rPr>
          <w:rFonts w:hint="eastAsia" w:ascii="宋体" w:eastAsia="宋体" w:cs="宋体"/>
          <w:snapToGrid w:val="0"/>
          <w:color w:val="000000"/>
        </w:rPr>
        <w:t>2)按照环境保护部环办[2012]131号《关于进一步加强输变电类建设项目环境保护监管工作的通知》，委托有相应资质的单位开展环境监理注意保护植被。</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snapToGrid w:val="0"/>
          <w:color w:val="000000"/>
        </w:rPr>
        <w:t>3)在施工合同中约定</w:t>
      </w:r>
      <w:r>
        <w:rPr>
          <w:rFonts w:hint="eastAsia" w:ascii="宋体" w:eastAsia="宋体" w:cs="宋体"/>
          <w:color w:val="000000"/>
        </w:rPr>
        <w:t>，施工单位必须做到文明施工，</w:t>
      </w:r>
      <w:r>
        <w:rPr>
          <w:rFonts w:hint="eastAsia" w:ascii="宋体" w:eastAsia="宋体" w:cs="宋体"/>
          <w:snapToGrid w:val="0"/>
          <w:color w:val="000000"/>
        </w:rPr>
        <w:t>施工人员和施工机械不得在规定区域范围外随意活动和行驶，禁止超占乱占土地。</w:t>
      </w:r>
    </w:p>
    <w:p>
      <w:pPr>
        <w:pStyle w:val="29"/>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snapToGrid w:val="0"/>
          <w:color w:val="000000"/>
        </w:rPr>
        <w:t>4)</w:t>
      </w:r>
      <w:r>
        <w:rPr>
          <w:rFonts w:hint="eastAsia" w:ascii="宋体" w:eastAsia="宋体" w:cs="宋体"/>
          <w:color w:val="000000"/>
        </w:rPr>
        <w:t>教育施工单位，</w:t>
      </w:r>
      <w:r>
        <w:rPr>
          <w:rFonts w:hint="eastAsia" w:ascii="宋体" w:eastAsia="宋体" w:cs="宋体"/>
          <w:snapToGrid w:val="0"/>
          <w:color w:val="000000"/>
        </w:rPr>
        <w:t>禁止随意砍伐灌木、割草等活动，不得偷猎、伤害、恐吓、袭击野生动物。</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snapToGrid w:val="0"/>
          <w:color w:val="000000"/>
        </w:rPr>
        <w:t>5)</w:t>
      </w:r>
      <w:r>
        <w:rPr>
          <w:rFonts w:hint="eastAsia" w:ascii="宋体" w:eastAsia="宋体" w:cs="宋体"/>
          <w:color w:val="000000"/>
        </w:rPr>
        <w:t>在施工中，尽量减少对表层土的扰动、对地表植被的破坏，避免重车碾压。施工完毕后，对土地进行平整。</w:t>
      </w:r>
    </w:p>
    <w:p>
      <w:pPr>
        <w:pageBreakBefore w:val="0"/>
        <w:widowControl w:val="0"/>
        <w:kinsoku/>
        <w:wordWrap/>
        <w:overflowPunct/>
        <w:topLinePunct w:val="0"/>
        <w:autoSpaceDE/>
        <w:autoSpaceDN/>
        <w:bidi w:val="0"/>
        <w:snapToGrid w:val="0"/>
        <w:ind w:left="137" w:leftChars="57" w:firstLine="360" w:firstLineChars="150"/>
        <w:rPr>
          <w:rFonts w:hint="eastAsia" w:ascii="宋体" w:eastAsia="宋体" w:cs="宋体"/>
          <w:color w:val="000000"/>
        </w:rPr>
      </w:pPr>
      <w:r>
        <w:rPr>
          <w:rFonts w:hint="eastAsia" w:ascii="宋体" w:eastAsia="宋体" w:cs="宋体"/>
          <w:color w:val="000000"/>
        </w:rPr>
        <w:t>6</w:t>
      </w:r>
      <w:r>
        <w:rPr>
          <w:rFonts w:hint="eastAsia" w:ascii="宋体" w:eastAsia="宋体" w:cs="宋体"/>
          <w:color w:val="000000"/>
          <w:lang w:eastAsia="zh-CN"/>
        </w:rPr>
        <w:t>)</w:t>
      </w:r>
      <w:r>
        <w:rPr>
          <w:rFonts w:hint="eastAsia" w:ascii="宋体" w:eastAsia="宋体" w:cs="宋体"/>
          <w:color w:val="000000"/>
        </w:rPr>
        <w:t>在施工及监理合同中，明确监理、施工单位保护生态、文明施工的责任，明确谁侵犯牧民的利益，由谁来补偿。项目单位及监理应加强施工监督检查。</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rPr>
        <w:t>7</w:t>
      </w:r>
      <w:r>
        <w:rPr>
          <w:rFonts w:hint="eastAsia" w:ascii="宋体" w:eastAsia="宋体" w:cs="宋体"/>
          <w:color w:val="000000"/>
          <w:lang w:eastAsia="zh-CN"/>
        </w:rPr>
        <w:t>)</w:t>
      </w:r>
      <w:r>
        <w:rPr>
          <w:rFonts w:hint="eastAsia" w:ascii="宋体" w:eastAsia="宋体" w:cs="宋体"/>
          <w:color w:val="000000"/>
        </w:rPr>
        <w:t>监督管理施工单位做到工完料净场地清，对弃土弃渣、建筑施工及生活垃圾集中堆放处理，保护环境。</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rPr>
        <w:t>8</w:t>
      </w:r>
      <w:r>
        <w:rPr>
          <w:rFonts w:hint="eastAsia" w:ascii="宋体" w:eastAsia="宋体" w:cs="宋体"/>
          <w:color w:val="000000"/>
          <w:lang w:eastAsia="zh-CN"/>
        </w:rPr>
        <w:t>)</w:t>
      </w:r>
      <w:r>
        <w:rPr>
          <w:rFonts w:hint="eastAsia" w:ascii="宋体" w:eastAsia="宋体" w:cs="宋体"/>
          <w:color w:val="000000"/>
        </w:rPr>
        <w:t>在工程监理、施工合同中，明确监理、施工单位保护生态环境、文明施工的责任，实施环保监理。</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snapToGrid w:val="0"/>
          <w:color w:val="000000"/>
        </w:rPr>
        <w:t>植被保护措施</w:t>
      </w:r>
    </w:p>
    <w:p>
      <w:pPr>
        <w:pageBreakBefore w:val="0"/>
        <w:widowControl w:val="0"/>
        <w:kinsoku/>
        <w:wordWrap/>
        <w:overflowPunct/>
        <w:topLinePunct w:val="0"/>
        <w:autoSpaceDE/>
        <w:autoSpaceDN/>
        <w:bidi w:val="0"/>
        <w:adjustRightInd w:val="0"/>
        <w:snapToGrid w:val="0"/>
        <w:rPr>
          <w:rFonts w:hint="eastAsia" w:ascii="宋体" w:eastAsia="宋体" w:cs="宋体"/>
          <w:color w:val="000000"/>
        </w:rPr>
      </w:pPr>
      <w:r>
        <w:rPr>
          <w:rFonts w:hint="eastAsia" w:ascii="宋体" w:eastAsia="宋体" w:cs="宋体"/>
          <w:snapToGrid w:val="0"/>
          <w:color w:val="000000"/>
        </w:rPr>
        <w:t>1)严格</w:t>
      </w:r>
      <w:r>
        <w:rPr>
          <w:rFonts w:hint="eastAsia" w:ascii="宋体" w:eastAsia="宋体" w:cs="宋体"/>
          <w:color w:val="000000"/>
        </w:rPr>
        <w:t>按照水土保持方案的要求、环评批复的要求，对临时、永久占用的土地、植被，恢复原有土地功能和植被形态，不能恢复的，应给予补偿。</w:t>
      </w:r>
    </w:p>
    <w:p>
      <w:pPr>
        <w:pStyle w:val="29"/>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snapToGrid w:val="0"/>
          <w:color w:val="000000"/>
        </w:rPr>
        <w:t>2)合理规划、设计施工便道及场地，机械施工便道宽度不得大于3m，并要求各种机械和车辆固定行车路线，不能随意下道行驶或另开辟便道，以保证周围地表和植被不受破坏，施工便道尽量避开灌木植株多的区域。</w:t>
      </w:r>
    </w:p>
    <w:p>
      <w:pPr>
        <w:pStyle w:val="29"/>
        <w:pageBreakBefore w:val="0"/>
        <w:widowControl w:val="0"/>
        <w:kinsoku/>
        <w:wordWrap/>
        <w:overflowPunct/>
        <w:topLinePunct w:val="0"/>
        <w:autoSpaceDE/>
        <w:autoSpaceDN/>
        <w:bidi w:val="0"/>
        <w:snapToGrid w:val="0"/>
        <w:rPr>
          <w:rFonts w:hint="eastAsia" w:ascii="宋体" w:eastAsia="宋体" w:cs="宋体"/>
          <w:b/>
          <w:color w:val="000000"/>
        </w:rPr>
      </w:pPr>
      <w:r>
        <w:rPr>
          <w:rFonts w:hint="eastAsia" w:ascii="宋体" w:eastAsia="宋体" w:cs="宋体"/>
          <w:snapToGrid w:val="0"/>
          <w:color w:val="000000"/>
        </w:rPr>
        <w:t>3)</w:t>
      </w:r>
      <w:r>
        <w:rPr>
          <w:rFonts w:hint="eastAsia" w:ascii="宋体" w:eastAsia="宋体" w:cs="宋体"/>
          <w:color w:val="000000"/>
        </w:rPr>
        <w:t>本项目区生态环境脆弱，应加强对原始地貌、植被的保护，提高土地利用率。</w:t>
      </w:r>
      <w:r>
        <w:rPr>
          <w:rFonts w:hint="eastAsia" w:ascii="宋体" w:eastAsia="宋体" w:cs="宋体"/>
          <w:snapToGrid w:val="0"/>
          <w:color w:val="000000"/>
        </w:rPr>
        <w:t>施工运输道路一般为单行道，避免在植被完好的地段进行道路修筑工作。对运至塔位的塔材，选择合适的位置进行堆放，减少场地的占用。</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4)施工时应在工期安排上合理有序，先设置围栏措施，后进行工程建设，尽量减少对地表和植被的破坏，除施工必须不得不铲除或碾压植被外，不允许以其它任何理由铲除植被，以减少对生态环境的破坏。</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5)基坑开挖尽量保持坑壁成型完好，坑壁采取支模方式，减少放坡。</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6)采取高跨方式通过农田防风林区，避免输电廊道对树木高度的限制。</w:t>
      </w:r>
    </w:p>
    <w:p>
      <w:pPr>
        <w:pageBreakBefore w:val="0"/>
        <w:widowControl w:val="0"/>
        <w:kinsoku/>
        <w:wordWrap/>
        <w:overflowPunct/>
        <w:topLinePunct w:val="0"/>
        <w:autoSpaceDE/>
        <w:autoSpaceDN/>
        <w:bidi w:val="0"/>
        <w:adjustRightInd w:val="0"/>
        <w:snapToGrid w:val="0"/>
        <w:rPr>
          <w:rFonts w:hint="eastAsia" w:ascii="宋体" w:eastAsia="宋体" w:cs="宋体"/>
          <w:bCs/>
          <w:color w:val="000000"/>
        </w:rPr>
      </w:pPr>
      <w:r>
        <w:rPr>
          <w:rFonts w:hint="eastAsia" w:ascii="宋体" w:eastAsia="宋体" w:cs="宋体"/>
          <w:snapToGrid w:val="0"/>
          <w:color w:val="000000"/>
        </w:rPr>
        <w:t>7)严格控制施工范围，应尽量控制作业面，</w:t>
      </w:r>
      <w:r>
        <w:rPr>
          <w:rFonts w:hint="eastAsia" w:ascii="宋体" w:eastAsia="宋体" w:cs="宋体"/>
          <w:bCs/>
          <w:color w:val="000000"/>
        </w:rPr>
        <w:t>施工后期对各类站场及除留作检修道路的施工便道予以土地整治，宜林宜草地段采取土地整治种草恢复植被。</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)占用</w:t>
      </w:r>
      <w:r>
        <w:rPr>
          <w:rFonts w:hint="eastAsia" w:ascii="宋体" w:eastAsia="宋体" w:cs="宋体"/>
          <w:snapToGrid w:val="0"/>
          <w:color w:val="000000"/>
        </w:rPr>
        <w:t>农田保护措施</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spacing w:val="-4"/>
          <w:lang w:eastAsia="zh-CN"/>
        </w:rPr>
      </w:pPr>
      <w:r>
        <w:rPr>
          <w:rFonts w:hint="eastAsia" w:ascii="宋体" w:eastAsia="宋体" w:cs="宋体"/>
          <w:snapToGrid w:val="0"/>
          <w:color w:val="000000"/>
        </w:rPr>
        <w:t>1)</w:t>
      </w:r>
      <w:r>
        <w:rPr>
          <w:rFonts w:hint="eastAsia" w:ascii="宋体" w:eastAsia="宋体" w:cs="宋体"/>
          <w:snapToGrid w:val="0"/>
          <w:color w:val="000000"/>
          <w:spacing w:val="-4"/>
        </w:rPr>
        <w:t>项目在设计阶段，</w:t>
      </w:r>
      <w:r>
        <w:rPr>
          <w:rFonts w:hint="eastAsia" w:ascii="宋体" w:eastAsia="宋体" w:cs="宋体"/>
          <w:color w:val="000000"/>
        </w:rPr>
        <w:t>尽可能优化塔形设计，减少线路走廊宽度，减少永久占地。优化线路路径，避让成片的农业生产区，无法避让时尽量缩短跨越农田的长度。</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2)在基础开挖阶段，若在耕地中作业时，应将农田的表层熟土和生土分别堆放，回填时按照生土、表层土的顺序进行，可便于农民恢复生产。施工中要严格控制临时占地，减少破坏原地貌、植被的面积。</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3)在农田区施工尽量选择秋收后。</w:t>
      </w:r>
    </w:p>
    <w:p>
      <w:pPr>
        <w:pageBreakBefore w:val="0"/>
        <w:widowControl w:val="0"/>
        <w:kinsoku/>
        <w:wordWrap/>
        <w:overflowPunct/>
        <w:topLinePunct w:val="0"/>
        <w:autoSpaceDE/>
        <w:autoSpaceDN/>
        <w:bidi w:val="0"/>
        <w:adjustRightInd w:val="0"/>
        <w:snapToGrid w:val="0"/>
        <w:rPr>
          <w:rFonts w:hint="eastAsia" w:ascii="宋体" w:eastAsia="宋体" w:cs="宋体"/>
          <w:snapToGrid w:val="0"/>
          <w:color w:val="000000"/>
        </w:rPr>
      </w:pPr>
      <w:r>
        <w:rPr>
          <w:rFonts w:hint="eastAsia" w:ascii="宋体" w:eastAsia="宋体" w:cs="宋体"/>
          <w:snapToGrid w:val="0"/>
          <w:color w:val="000000"/>
        </w:rPr>
        <w:t>4)施工过程结束时，及时清理现场，尽可能恢复原状地貌，将余土和施工废弃物运出现场，做到“工完、料尽、场清、整洁”，保持原有生态。</w:t>
      </w:r>
    </w:p>
    <w:p>
      <w:pPr>
        <w:pageBreakBefore w:val="0"/>
        <w:widowControl w:val="0"/>
        <w:kinsoku/>
        <w:wordWrap/>
        <w:overflowPunct/>
        <w:topLinePunct w:val="0"/>
        <w:autoSpaceDE/>
        <w:autoSpaceDN/>
        <w:bidi w:val="0"/>
        <w:adjustRightInd w:val="0"/>
        <w:snapToGrid w:val="0"/>
        <w:rPr>
          <w:rFonts w:hint="eastAsia" w:ascii="宋体" w:eastAsia="宋体" w:cs="宋体"/>
          <w:color w:val="000000"/>
        </w:rPr>
      </w:pPr>
      <w:r>
        <w:rPr>
          <w:rFonts w:hint="eastAsia" w:ascii="宋体" w:eastAsia="宋体" w:cs="宋体"/>
          <w:snapToGrid w:val="0"/>
          <w:color w:val="000000"/>
        </w:rPr>
        <w:t>5)</w:t>
      </w:r>
      <w:r>
        <w:rPr>
          <w:rFonts w:hint="eastAsia" w:cs="宋体"/>
          <w:snapToGrid w:val="0"/>
          <w:color w:val="000000"/>
          <w:lang w:eastAsia="zh-CN"/>
        </w:rPr>
        <w:t>该工程</w:t>
      </w:r>
      <w:r>
        <w:rPr>
          <w:rFonts w:hint="eastAsia" w:ascii="宋体" w:eastAsia="宋体" w:cs="宋体"/>
          <w:snapToGrid w:val="0"/>
          <w:color w:val="000000"/>
        </w:rPr>
        <w:t>施工前需按国家有关征占用农用地程序办理相关手续。</w:t>
      </w:r>
    </w:p>
    <w:p>
      <w:pPr>
        <w:pageBreakBefore w:val="0"/>
        <w:widowControl w:val="0"/>
        <w:kinsoku/>
        <w:wordWrap/>
        <w:overflowPunct/>
        <w:topLinePunct w:val="0"/>
        <w:autoSpaceDE/>
        <w:autoSpaceDN/>
        <w:bidi w:val="0"/>
        <w:adjustRightInd w:val="0"/>
        <w:snapToGrid w:val="0"/>
        <w:rPr>
          <w:rFonts w:hint="eastAsia" w:ascii="宋体" w:eastAsia="宋体" w:cs="宋体"/>
          <w:color w:val="000000"/>
        </w:rPr>
      </w:pPr>
      <w:r>
        <w:rPr>
          <w:rFonts w:hint="eastAsia" w:ascii="宋体" w:eastAsia="宋体" w:cs="宋体"/>
          <w:snapToGrid w:val="0"/>
          <w:color w:val="000000"/>
        </w:rPr>
        <w:t>6)</w:t>
      </w:r>
      <w:r>
        <w:rPr>
          <w:rFonts w:hint="eastAsia" w:ascii="宋体" w:eastAsia="宋体" w:cs="宋体"/>
          <w:color w:val="000000"/>
        </w:rPr>
        <w:t>现场实际情况，合理布置铁塔位置，将塔基布置在农田</w:t>
      </w:r>
      <w:r>
        <w:rPr>
          <w:rFonts w:hint="eastAsia" w:ascii="宋体" w:eastAsia="宋体" w:cs="宋体"/>
          <w:color w:val="000000"/>
          <w:lang w:eastAsia="zh-CN"/>
        </w:rPr>
        <w:t>、</w:t>
      </w:r>
      <w:r>
        <w:rPr>
          <w:rFonts w:hint="eastAsia" w:ascii="宋体" w:eastAsia="宋体" w:cs="宋体"/>
          <w:color w:val="000000"/>
        </w:rPr>
        <w:t>植被较少地区。</w:t>
      </w:r>
    </w:p>
    <w:p>
      <w:pPr>
        <w:pageBreakBefore w:val="0"/>
        <w:widowControl w:val="0"/>
        <w:kinsoku/>
        <w:wordWrap/>
        <w:overflowPunct/>
        <w:topLinePunct w:val="0"/>
        <w:autoSpaceDE/>
        <w:autoSpaceDN/>
        <w:bidi w:val="0"/>
        <w:snapToGrid w:val="0"/>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.3“</w:t>
      </w:r>
      <w:r>
        <w:rPr>
          <w:rFonts w:hint="eastAsia" w:ascii="宋体" w:eastAsia="宋体" w:cs="宋体"/>
          <w:b/>
          <w:color w:val="000000"/>
          <w:lang w:eastAsia="zh-CN"/>
        </w:rPr>
        <w:t>暴力恐怖袭击及自然灾害等各类原因导致电网大面积停电造成突发公共事件</w:t>
      </w:r>
      <w:r>
        <w:rPr>
          <w:rFonts w:hint="eastAsia" w:ascii="宋体" w:eastAsia="宋体" w:cs="宋体"/>
          <w:b/>
          <w:color w:val="000000"/>
        </w:rPr>
        <w:t>”防范措施</w:t>
      </w:r>
    </w:p>
    <w:p>
      <w:pPr>
        <w:pStyle w:val="29"/>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在施工、运行过程中，加强与输电线路沿线</w:t>
      </w:r>
      <w:r>
        <w:rPr>
          <w:rFonts w:hint="eastAsia" w:cs="宋体"/>
          <w:color w:val="000000"/>
          <w:lang w:eastAsia="zh-CN"/>
        </w:rPr>
        <w:t>各市、县、区</w:t>
      </w:r>
      <w:r>
        <w:rPr>
          <w:rFonts w:hint="eastAsia" w:ascii="宋体" w:eastAsia="宋体" w:cs="宋体"/>
          <w:color w:val="000000"/>
        </w:rPr>
        <w:t>、乡镇的综治管理部门、派出所等维稳机构的联系，对流动人口、外来务工人员进行严格核查、登记、备案，以防暴恐份子袭击工人、破坏电力设施，影响</w:t>
      </w:r>
      <w:r>
        <w:rPr>
          <w:rFonts w:hint="eastAsia" w:cs="宋体"/>
          <w:color w:val="000000"/>
          <w:lang w:eastAsia="zh-CN"/>
        </w:rPr>
        <w:t>该工程</w:t>
      </w:r>
      <w:r>
        <w:rPr>
          <w:rFonts w:hint="eastAsia" w:ascii="宋体" w:eastAsia="宋体" w:cs="宋体"/>
          <w:color w:val="000000"/>
        </w:rPr>
        <w:t>的施工、运行。同时，加强民族团结教育、安全教育。</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高度重视输变电设备反恐工作，落实</w:t>
      </w:r>
      <w:r>
        <w:rPr>
          <w:rFonts w:hint="eastAsia" w:ascii="宋体" w:eastAsia="宋体" w:cs="宋体"/>
          <w:color w:val="000000"/>
          <w:lang w:eastAsia="zh-CN"/>
        </w:rPr>
        <w:t>人防、物防、技防</w:t>
      </w:r>
      <w:r>
        <w:rPr>
          <w:rFonts w:hint="eastAsia" w:ascii="宋体" w:eastAsia="宋体" w:cs="宋体"/>
          <w:color w:val="000000"/>
        </w:rPr>
        <w:t>措施，加强巡检巡逻，加强对高压配电室的监控和要害部位出入管理。</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在设计阶段，系统安装“五防”装置，符合25项反措要求，做到本质安全化。严格执行《电力工程气象勘测技术规程》、《中重冰区架空送电线路设计技术规定》等设计规范，设计与施工中，采用“避、改、抗、防”等措施，避开高山冰区、风口、山洪冲沟，提高线路抗冰、抗风、抗洪能力。</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color w:val="000000"/>
        </w:rPr>
        <w:t>制定停电专项应急预案。做好应急资源的配置，加强应急演练，提高应对突发事故的操作技能。做好事故件的识别和储备。提前掌握备品备件的货源供应商。</w:t>
      </w:r>
    </w:p>
    <w:p>
      <w:pPr>
        <w:pStyle w:val="29"/>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实施预防式维修，加强设备及线路点巡检，密切关注气象变化和灾害预警，运用各类新技术及时清冰、防风，消除自然灾害带来的运行隐患。做好设备日常维护保养，及时查处隐患。统一电力系统运行方式，对电网、电厂、用户建立统一调度。严格工艺纪律，加强工艺操作技能的培训，杜绝三违。充实应急资源，提高抢修效率。</w:t>
      </w:r>
    </w:p>
    <w:p>
      <w:pPr>
        <w:pageBreakBefore w:val="0"/>
        <w:widowControl w:val="0"/>
        <w:kinsoku/>
        <w:wordWrap/>
        <w:overflowPunct/>
        <w:topLinePunct w:val="0"/>
        <w:autoSpaceDE/>
        <w:autoSpaceDN/>
        <w:bidi w:val="0"/>
        <w:snapToGrid w:val="0"/>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.4“施工人员薪资纠纷所引发的群体性事件”防范措施</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严格执行工程发承包、招投标、建筑合同管理等相关法律法规，禁止工程层层转包、分包。</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督促施工单位严格按照《新疆维吾尔自治区农民工工资保证金管理暂行办法》</w:t>
      </w:r>
      <w:r>
        <w:rPr>
          <w:rFonts w:hint="eastAsia" w:ascii="宋体" w:eastAsia="宋体" w:cs="宋体"/>
          <w:color w:val="000000"/>
          <w:lang w:eastAsia="zh-CN"/>
        </w:rPr>
        <w:t>(</w:t>
      </w:r>
      <w:r>
        <w:rPr>
          <w:rFonts w:hint="eastAsia" w:ascii="宋体" w:eastAsia="宋体" w:cs="宋体"/>
          <w:color w:val="000000"/>
        </w:rPr>
        <w:t>新政办发[2007]114号</w:t>
      </w:r>
      <w:r>
        <w:rPr>
          <w:rFonts w:hint="eastAsia" w:ascii="宋体" w:eastAsia="宋体" w:cs="宋体"/>
          <w:color w:val="000000"/>
          <w:lang w:eastAsia="zh-CN"/>
        </w:rPr>
        <w:t>)</w:t>
      </w:r>
      <w:r>
        <w:rPr>
          <w:rFonts w:hint="eastAsia" w:ascii="宋体" w:eastAsia="宋体" w:cs="宋体"/>
          <w:color w:val="000000"/>
        </w:rPr>
        <w:t>的要求缴纳农民工工资保证金。</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监督检查施工单位执行好农民工劳动合同及分包方施工合同的签订。</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color w:val="000000"/>
        </w:rPr>
        <w:t>确保项目资金到位，按合同要求支付工程进度款。</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建立调解机构。</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6</w:t>
      </w:r>
      <w:r>
        <w:rPr>
          <w:rFonts w:hint="eastAsia" w:ascii="宋体" w:eastAsia="宋体" w:cs="宋体"/>
          <w:color w:val="000000"/>
          <w:lang w:eastAsia="zh-CN"/>
        </w:rPr>
        <w:t>)</w:t>
      </w:r>
      <w:r>
        <w:rPr>
          <w:rFonts w:hint="eastAsia" w:ascii="宋体" w:eastAsia="宋体" w:cs="宋体"/>
          <w:color w:val="000000"/>
        </w:rPr>
        <w:t>及时解决工程量计量及工程质量异议，加强施工质量过程控制、进度控制，减少因工期、质量异议及处罚责任分担不清而引发的工程款纠纷。</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7</w:t>
      </w:r>
      <w:r>
        <w:rPr>
          <w:rFonts w:hint="eastAsia" w:ascii="宋体" w:eastAsia="宋体" w:cs="宋体"/>
          <w:color w:val="000000"/>
          <w:lang w:eastAsia="zh-CN"/>
        </w:rPr>
        <w:t>)</w:t>
      </w:r>
      <w:r>
        <w:rPr>
          <w:rFonts w:hint="eastAsia" w:ascii="宋体" w:eastAsia="宋体" w:cs="宋体"/>
          <w:color w:val="000000"/>
        </w:rPr>
        <w:t>对计日工出工情况应要求施工单位公示，对计件工，必须有书面的双方确认的单价和工程量计算规则，质量标准要求。</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8</w:t>
      </w:r>
      <w:r>
        <w:rPr>
          <w:rFonts w:hint="eastAsia" w:ascii="宋体" w:eastAsia="宋体" w:cs="宋体"/>
          <w:color w:val="000000"/>
          <w:lang w:eastAsia="zh-CN"/>
        </w:rPr>
        <w:t>)</w:t>
      </w:r>
      <w:r>
        <w:rPr>
          <w:rFonts w:hint="eastAsia" w:ascii="宋体" w:eastAsia="宋体" w:cs="宋体"/>
          <w:color w:val="000000"/>
        </w:rPr>
        <w:t>监督承包方对农民工工资公示，推行农民工工资打卡制，监督承包方将公示工资发放至个人。禁止将工资发放给包工头，以防包工头携款潜逃。</w:t>
      </w:r>
    </w:p>
    <w:p>
      <w:pPr>
        <w:pageBreakBefore w:val="0"/>
        <w:widowControl w:val="0"/>
        <w:kinsoku/>
        <w:wordWrap/>
        <w:overflowPunct/>
        <w:topLinePunct w:val="0"/>
        <w:autoSpaceDE/>
        <w:autoSpaceDN/>
        <w:bidi w:val="0"/>
        <w:snapToGrid w:val="0"/>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.5“安全生产事故善后处置不当引发纠纷”防范措施</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建设单位应落实安全生产责任制，推进电力安全标准化，消除安全隐患。</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按照《工伤保险条例》的要求为单位全部职工或者雇工缴纳工伤保险费。保证财务现金流充沛，为安全生产事故善后处置预留应急备用金。</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建立健全安全生产应急救援预案并定期演练，发生事故后，应急指挥部迅速发挥职能，及时全力开展搜救、救治，最大限度减少人员伤亡。</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color w:val="000000"/>
        </w:rPr>
        <w:t>发生</w:t>
      </w:r>
      <w:r>
        <w:rPr>
          <w:rFonts w:hint="eastAsia" w:ascii="宋体" w:eastAsia="宋体" w:cs="宋体"/>
          <w:color w:val="000000"/>
          <w:szCs w:val="21"/>
        </w:rPr>
        <w:t>安全生产事故及时救援，尽最大努力抢救伤员</w:t>
      </w:r>
      <w:r>
        <w:rPr>
          <w:rFonts w:hint="eastAsia" w:ascii="宋体" w:eastAsia="宋体" w:cs="宋体"/>
          <w:color w:val="000000"/>
        </w:rPr>
        <w:t>，尽最大可能减轻家属人伤痛，在细节上、程序上做到位。</w:t>
      </w:r>
    </w:p>
    <w:p>
      <w:pPr>
        <w:pStyle w:val="29"/>
        <w:pageBreakBefore w:val="0"/>
        <w:widowControl w:val="0"/>
        <w:kinsoku/>
        <w:wordWrap/>
        <w:overflowPunct/>
        <w:topLinePunct w:val="0"/>
        <w:autoSpaceDE/>
        <w:autoSpaceDN/>
        <w:bidi w:val="0"/>
        <w:snapToGrid w:val="0"/>
        <w:rPr>
          <w:rFonts w:hint="eastAsia" w:ascii="宋体" w:eastAsia="宋体" w:cs="宋体"/>
          <w:color w:val="000000"/>
          <w:lang w:eastAsia="zh-CN"/>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与当事人供养直系亲属签订赔偿协议，严格按国家标准及时足额赔偿到位。成立善后工作组，对工伤、工亡人员严格按法律政策处理善后，对伤亡员工家属耐心进行精神抚慰，对生活困难的因工伤亡人员家庭实施救济，对部分伤亡人员家属就医、孩子上学等方面提供帮助。</w:t>
      </w:r>
    </w:p>
    <w:p>
      <w:pPr>
        <w:pStyle w:val="29"/>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6</w:t>
      </w:r>
      <w:r>
        <w:rPr>
          <w:rFonts w:hint="eastAsia" w:ascii="宋体" w:eastAsia="宋体" w:cs="宋体"/>
          <w:color w:val="000000"/>
          <w:lang w:eastAsia="zh-CN"/>
        </w:rPr>
        <w:t>)</w:t>
      </w:r>
      <w:r>
        <w:rPr>
          <w:rFonts w:hint="eastAsia" w:ascii="宋体" w:eastAsia="宋体" w:cs="宋体"/>
          <w:color w:val="000000"/>
        </w:rPr>
        <w:t>严格按“四不放过”的要求查清事故原因，追究责任，并将真实信息及时反馈给当事人亲属。</w:t>
      </w:r>
    </w:p>
    <w:p>
      <w:pPr>
        <w:pageBreakBefore w:val="0"/>
        <w:widowControl w:val="0"/>
        <w:kinsoku/>
        <w:wordWrap/>
        <w:overflowPunct/>
        <w:topLinePunct w:val="0"/>
        <w:autoSpaceDE/>
        <w:autoSpaceDN/>
        <w:bidi w:val="0"/>
        <w:snapToGrid w:val="0"/>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.6“群众对电磁辐射误解而引发的风险”防范措施</w:t>
      </w:r>
    </w:p>
    <w:p>
      <w:pPr>
        <w:pageBreakBefore w:val="0"/>
        <w:widowControl w:val="0"/>
        <w:tabs>
          <w:tab w:val="left" w:pos="0"/>
        </w:tabs>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项目选址选线尽量避开对电磁辐射敏感保护目标，尽可能减少土地占用和对植被的破坏，尤其是在施工图设计阶段对线路进一步优化，通过增加转角塔、调整杆塔高度、调整杆塔档距等对环境保护敏感点进行局部避让。</w:t>
      </w:r>
    </w:p>
    <w:p>
      <w:pPr>
        <w:pageBreakBefore w:val="0"/>
        <w:widowControl w:val="0"/>
        <w:tabs>
          <w:tab w:val="left" w:pos="0"/>
        </w:tabs>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增加线路距民居距离，降低电磁辐射及噪声对居民的影响。</w:t>
      </w:r>
    </w:p>
    <w:p>
      <w:pPr>
        <w:pageBreakBefore w:val="0"/>
        <w:widowControl w:val="0"/>
        <w:tabs>
          <w:tab w:val="left" w:pos="0"/>
        </w:tabs>
        <w:kinsoku/>
        <w:wordWrap/>
        <w:overflowPunct/>
        <w:topLinePunct w:val="0"/>
        <w:autoSpaceDE/>
        <w:autoSpaceDN/>
        <w:bidi w:val="0"/>
        <w:snapToGrid w:val="0"/>
        <w:rPr>
          <w:rFonts w:hint="eastAsia" w:ascii="宋体" w:eastAsia="宋体" w:cs="宋体"/>
          <w:snapToGrid w:val="0"/>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对电磁辐射认识误解，应通过常态机制，加大宣传力度，科学解释疏导。同时按照环评报告的要求，严格执行电磁辐射保护措施。</w:t>
      </w:r>
    </w:p>
    <w:p>
      <w:pPr>
        <w:pageBreakBefore w:val="0"/>
        <w:widowControl w:val="0"/>
        <w:kinsoku/>
        <w:wordWrap/>
        <w:overflowPunct/>
        <w:topLinePunct w:val="0"/>
        <w:autoSpaceDE/>
        <w:autoSpaceDN/>
        <w:bidi w:val="0"/>
        <w:snapToGrid w:val="0"/>
        <w:ind w:firstLine="0" w:firstLineChars="0"/>
        <w:outlineLvl w:val="2"/>
        <w:rPr>
          <w:rFonts w:hint="eastAsia"/>
          <w:b/>
          <w:color w:val="000000"/>
        </w:rPr>
      </w:pPr>
      <w:r>
        <w:rPr>
          <w:rFonts w:hint="eastAsia" w:cs="宋体"/>
          <w:b/>
          <w:bCs/>
          <w:snapToGrid w:val="0"/>
          <w:color w:val="000000"/>
          <w:lang w:val="en-US" w:eastAsia="zh-CN"/>
        </w:rPr>
        <w:t>3.3.7</w:t>
      </w:r>
      <w:r>
        <w:rPr>
          <w:rFonts w:hint="eastAsia"/>
          <w:b/>
          <w:color w:val="000000"/>
        </w:rPr>
        <w:t>“</w:t>
      </w:r>
      <w:r>
        <w:rPr>
          <w:rFonts w:hint="eastAsia"/>
          <w:b/>
          <w:color w:val="000000"/>
          <w:lang w:val="en-US" w:eastAsia="zh-CN"/>
        </w:rPr>
        <w:t>突发公共卫生事件</w:t>
      </w:r>
      <w:r>
        <w:rPr>
          <w:rFonts w:hint="eastAsia" w:ascii="宋体" w:eastAsia="宋体" w:cs="宋体"/>
          <w:b/>
          <w:color w:val="000000"/>
          <w:lang w:eastAsia="zh-CN"/>
        </w:rPr>
        <w:t>引发的社会风险</w:t>
      </w:r>
      <w:r>
        <w:rPr>
          <w:rFonts w:hint="eastAsia"/>
          <w:b/>
          <w:color w:val="000000"/>
        </w:rPr>
        <w:t>”防范措施</w:t>
      </w:r>
    </w:p>
    <w:p>
      <w:pPr>
        <w:pStyle w:val="29"/>
        <w:pageBreakBefore w:val="0"/>
        <w:widowControl w:val="0"/>
        <w:kinsoku/>
        <w:wordWrap/>
        <w:overflowPunct/>
        <w:topLinePunct w:val="0"/>
        <w:autoSpaceDE/>
        <w:autoSpaceDN/>
        <w:bidi w:val="0"/>
        <w:snapToGrid w:val="0"/>
        <w:rPr>
          <w:rFonts w:hint="eastAsia"/>
          <w:snapToGrid w:val="0"/>
          <w:color w:val="000000"/>
        </w:rPr>
      </w:pPr>
      <w:r>
        <w:rPr>
          <w:rFonts w:hint="eastAsia"/>
          <w:snapToGrid w:val="0"/>
          <w:color w:val="000000"/>
        </w:rPr>
        <w:t>(1)建设单位应当根据疾病预防控制机构的意见，采取必要的传染病预防、控制措施。施工期间，建设单位应当设专人负责工地上的卫生防疫工作。工程竣工后，疾病预防控制机构应当对可能发生的传染病进行监测。</w:t>
      </w:r>
    </w:p>
    <w:p>
      <w:pPr>
        <w:pStyle w:val="29"/>
        <w:pageBreakBefore w:val="0"/>
        <w:widowControl w:val="0"/>
        <w:kinsoku/>
        <w:wordWrap/>
        <w:overflowPunct/>
        <w:topLinePunct w:val="0"/>
        <w:autoSpaceDE/>
        <w:autoSpaceDN/>
        <w:bidi w:val="0"/>
        <w:snapToGrid w:val="0"/>
        <w:rPr>
          <w:rFonts w:hint="eastAsia"/>
          <w:snapToGrid w:val="0"/>
          <w:color w:val="000000"/>
        </w:rPr>
      </w:pPr>
      <w:r>
        <w:rPr>
          <w:rFonts w:hint="eastAsia"/>
          <w:snapToGrid w:val="0"/>
          <w:color w:val="000000"/>
        </w:rPr>
        <w:t>(2)必须在疾病预防控制机构的指导下或者按照其提出的卫生要求，进行严格消毒处理。</w:t>
      </w:r>
    </w:p>
    <w:p>
      <w:pPr>
        <w:pStyle w:val="29"/>
        <w:pageBreakBefore w:val="0"/>
        <w:widowControl w:val="0"/>
        <w:kinsoku/>
        <w:wordWrap/>
        <w:overflowPunct/>
        <w:topLinePunct w:val="0"/>
        <w:autoSpaceDE/>
        <w:autoSpaceDN/>
        <w:bidi w:val="0"/>
        <w:snapToGrid w:val="0"/>
        <w:spacing w:line="360" w:lineRule="auto"/>
        <w:rPr>
          <w:rFonts w:hint="eastAsia"/>
          <w:snapToGrid w:val="0"/>
          <w:color w:val="000000"/>
        </w:rPr>
      </w:pPr>
      <w:r>
        <w:rPr>
          <w:rFonts w:hint="eastAsia"/>
          <w:snapToGrid w:val="0"/>
          <w:color w:val="000000"/>
        </w:rPr>
        <w:t>(3)发现传染病病人或者疑似传染病病人时，及时向附近的疾病预防控制机构或者医疗机构报告，做到早发现、早报告、早隔离、早治疗，其密切接触者应接受医学观察。</w:t>
      </w:r>
    </w:p>
    <w:p>
      <w:pPr>
        <w:pStyle w:val="29"/>
        <w:pageBreakBefore w:val="0"/>
        <w:widowControl w:val="0"/>
        <w:kinsoku/>
        <w:wordWrap/>
        <w:overflowPunct/>
        <w:topLinePunct w:val="0"/>
        <w:autoSpaceDE/>
        <w:autoSpaceDN/>
        <w:bidi w:val="0"/>
        <w:snapToGrid w:val="0"/>
        <w:spacing w:line="360" w:lineRule="auto"/>
        <w:rPr>
          <w:rFonts w:hint="eastAsia"/>
          <w:snapToGrid w:val="0"/>
          <w:color w:val="000000"/>
        </w:rPr>
      </w:pPr>
      <w:r>
        <w:rPr>
          <w:rFonts w:hint="eastAsia"/>
          <w:snapToGrid w:val="0"/>
          <w:color w:val="000000"/>
        </w:rPr>
        <w:t>(4)员工必须佩戴口罩上班，保持办公室、会议室、餐厅的通风，勤洗手。</w:t>
      </w:r>
    </w:p>
    <w:p>
      <w:pPr>
        <w:pStyle w:val="29"/>
        <w:pageBreakBefore w:val="0"/>
        <w:widowControl w:val="0"/>
        <w:kinsoku/>
        <w:wordWrap/>
        <w:overflowPunct/>
        <w:topLinePunct w:val="0"/>
        <w:autoSpaceDE/>
        <w:autoSpaceDN/>
        <w:bidi w:val="0"/>
        <w:snapToGrid w:val="0"/>
        <w:spacing w:line="360" w:lineRule="auto"/>
        <w:rPr>
          <w:rFonts w:hint="eastAsia"/>
          <w:snapToGrid w:val="0"/>
          <w:color w:val="000000"/>
        </w:rPr>
      </w:pPr>
      <w:r>
        <w:rPr>
          <w:rFonts w:hint="eastAsia"/>
          <w:snapToGrid w:val="0"/>
          <w:color w:val="000000"/>
        </w:rPr>
        <w:t>(5)停止或减少使用中央空调，并清洗消毒，定期用消毒水为办公室设备、门把手和电梯按钮进行消毒。</w:t>
      </w:r>
    </w:p>
    <w:p>
      <w:pPr>
        <w:pStyle w:val="29"/>
        <w:pageBreakBefore w:val="0"/>
        <w:widowControl w:val="0"/>
        <w:kinsoku/>
        <w:wordWrap/>
        <w:overflowPunct/>
        <w:topLinePunct w:val="0"/>
        <w:autoSpaceDE/>
        <w:autoSpaceDN/>
        <w:bidi w:val="0"/>
        <w:snapToGrid w:val="0"/>
        <w:spacing w:line="360" w:lineRule="auto"/>
        <w:rPr>
          <w:rFonts w:hint="eastAsia"/>
          <w:snapToGrid w:val="0"/>
          <w:color w:val="000000"/>
        </w:rPr>
      </w:pPr>
      <w:r>
        <w:rPr>
          <w:rFonts w:hint="eastAsia"/>
          <w:snapToGrid w:val="0"/>
          <w:color w:val="000000"/>
        </w:rPr>
        <w:t>(6)可实行轮休制度、休假等减少人员密集的措施。</w:t>
      </w:r>
    </w:p>
    <w:p>
      <w:pPr>
        <w:pStyle w:val="11"/>
        <w:pageBreakBefore w:val="0"/>
        <w:widowControl w:val="0"/>
        <w:kinsoku/>
        <w:wordWrap/>
        <w:overflowPunct/>
        <w:topLinePunct w:val="0"/>
        <w:autoSpaceDE/>
        <w:autoSpaceDN/>
        <w:bidi w:val="0"/>
        <w:adjustRightInd w:val="0"/>
        <w:snapToGrid w:val="0"/>
        <w:spacing w:line="360" w:lineRule="auto"/>
        <w:rPr>
          <w:rFonts w:hint="eastAsia"/>
          <w:color w:val="000000"/>
        </w:rPr>
      </w:pPr>
      <w:r>
        <w:rPr>
          <w:rFonts w:hint="eastAsia"/>
          <w:snapToGrid w:val="0"/>
          <w:color w:val="000000"/>
        </w:rPr>
        <w:t>(7)出入职工食堂的人员应全程佩戴口罩，配合食堂工作人员做好出入登记，为减少就餐人员聚集，降低传染的可能性，可采取供应饭盒</w:t>
      </w:r>
      <w:r>
        <w:rPr>
          <w:rFonts w:hint="eastAsia"/>
          <w:snapToGrid w:val="0"/>
          <w:color w:val="000000"/>
          <w:lang w:eastAsia="zh-CN"/>
        </w:rPr>
        <w:t>。</w:t>
      </w:r>
    </w:p>
    <w:p>
      <w:pPr>
        <w:pageBreakBefore w:val="0"/>
        <w:widowControl w:val="0"/>
        <w:kinsoku/>
        <w:wordWrap/>
        <w:overflowPunct/>
        <w:topLinePunct w:val="0"/>
        <w:autoSpaceDE/>
        <w:autoSpaceDN/>
        <w:bidi w:val="0"/>
        <w:adjustRightInd w:val="0"/>
        <w:snapToGrid w:val="0"/>
        <w:spacing w:line="360" w:lineRule="auto"/>
        <w:ind w:firstLine="0" w:firstLineChars="0"/>
        <w:outlineLvl w:val="2"/>
        <w:rPr>
          <w:rFonts w:hint="eastAsia" w:ascii="宋体" w:eastAsia="宋体" w:cs="宋体"/>
          <w:b/>
          <w:color w:val="000000"/>
        </w:rPr>
      </w:pPr>
      <w:r>
        <w:rPr>
          <w:rFonts w:hint="eastAsia" w:eastAsia="宋体" w:cs="宋体"/>
          <w:b/>
          <w:color w:val="000000"/>
          <w:lang w:eastAsia="zh-CN"/>
        </w:rPr>
        <w:t>3.3</w:t>
      </w:r>
      <w:r>
        <w:rPr>
          <w:rFonts w:hint="eastAsia" w:ascii="宋体" w:eastAsia="宋体" w:cs="宋体"/>
          <w:b/>
          <w:color w:val="000000"/>
        </w:rPr>
        <w:t>.</w:t>
      </w:r>
      <w:r>
        <w:rPr>
          <w:rFonts w:hint="eastAsia" w:cs="宋体"/>
          <w:b/>
          <w:color w:val="000000"/>
          <w:lang w:val="en-US" w:eastAsia="zh-CN"/>
        </w:rPr>
        <w:t>8</w:t>
      </w:r>
      <w:r>
        <w:rPr>
          <w:rFonts w:hint="eastAsia" w:ascii="宋体" w:eastAsia="宋体" w:cs="宋体"/>
          <w:b/>
          <w:color w:val="000000"/>
        </w:rPr>
        <w:t>“其他风险防范措施”</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1</w:t>
      </w:r>
      <w:r>
        <w:rPr>
          <w:rFonts w:hint="eastAsia" w:ascii="宋体" w:eastAsia="宋体" w:cs="宋体"/>
          <w:color w:val="000000"/>
          <w:lang w:eastAsia="zh-CN"/>
        </w:rPr>
        <w:t>)</w:t>
      </w:r>
      <w:r>
        <w:rPr>
          <w:rFonts w:hint="eastAsia" w:ascii="宋体" w:eastAsia="宋体" w:cs="宋体"/>
          <w:color w:val="000000"/>
        </w:rPr>
        <w:t>要督促施工单位加强对施工人员的法制教育、民族团结教育，遵纪守法，尊重当地少数民族风俗习惯。</w:t>
      </w:r>
    </w:p>
    <w:p>
      <w:pPr>
        <w:pageBreakBefore w:val="0"/>
        <w:widowControl w:val="0"/>
        <w:kinsoku/>
        <w:wordWrap/>
        <w:overflowPunct/>
        <w:topLinePunct w:val="0"/>
        <w:autoSpaceDE/>
        <w:autoSpaceDN/>
        <w:bidi w:val="0"/>
        <w:snapToGrid w:val="0"/>
        <w:jc w:val="left"/>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2</w:t>
      </w:r>
      <w:r>
        <w:rPr>
          <w:rFonts w:hint="eastAsia" w:ascii="宋体" w:eastAsia="宋体" w:cs="宋体"/>
          <w:color w:val="000000"/>
          <w:lang w:eastAsia="zh-CN"/>
        </w:rPr>
        <w:t>)</w:t>
      </w:r>
      <w:r>
        <w:rPr>
          <w:rFonts w:hint="eastAsia" w:ascii="宋体" w:eastAsia="宋体" w:cs="宋体"/>
          <w:color w:val="000000"/>
        </w:rPr>
        <w:t>严格要求项目各方人员，遵守交通规则，尊重少数民族风俗习惯，文明施工，不影响当地企业、居民正常生产、生活秩序。</w:t>
      </w:r>
    </w:p>
    <w:p>
      <w:pPr>
        <w:pageBreakBefore w:val="0"/>
        <w:widowControl w:val="0"/>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3</w:t>
      </w:r>
      <w:r>
        <w:rPr>
          <w:rFonts w:hint="eastAsia" w:ascii="宋体" w:eastAsia="宋体" w:cs="宋体"/>
          <w:color w:val="000000"/>
          <w:lang w:eastAsia="zh-CN"/>
        </w:rPr>
        <w:t>)</w:t>
      </w:r>
      <w:r>
        <w:rPr>
          <w:rFonts w:hint="eastAsia" w:ascii="宋体" w:eastAsia="宋体" w:cs="宋体"/>
          <w:color w:val="000000"/>
        </w:rPr>
        <w:t>项目施工前，应按相关文物保护规定办理文物手续，在施工中若发现文物遗存，应立即停止施工并及时通知有关文物部门，待文物得到保护后，方可施工。</w:t>
      </w:r>
    </w:p>
    <w:p>
      <w:pPr>
        <w:pageBreakBefore w:val="0"/>
        <w:widowControl w:val="0"/>
        <w:tabs>
          <w:tab w:val="left" w:pos="0"/>
        </w:tabs>
        <w:kinsoku/>
        <w:wordWrap/>
        <w:overflowPunct/>
        <w:topLinePunct w:val="0"/>
        <w:autoSpaceDE/>
        <w:autoSpaceDN/>
        <w:bidi w:val="0"/>
        <w:snapToGrid w:val="0"/>
        <w:rPr>
          <w:rFonts w:hint="eastAsia" w:ascii="宋体" w:eastAsia="宋体" w:cs="宋体"/>
          <w:b/>
          <w:bCs/>
          <w:color w:val="000000"/>
          <w:szCs w:val="21"/>
        </w:rPr>
      </w:pPr>
      <w:r>
        <w:rPr>
          <w:rFonts w:hint="eastAsia" w:ascii="宋体" w:eastAsia="宋体" w:cs="宋体"/>
          <w:color w:val="000000"/>
          <w:lang w:eastAsia="zh-CN"/>
        </w:rPr>
        <w:t>(</w:t>
      </w:r>
      <w:r>
        <w:rPr>
          <w:rFonts w:hint="eastAsia" w:ascii="宋体" w:eastAsia="宋体" w:cs="宋体"/>
          <w:color w:val="000000"/>
        </w:rPr>
        <w:t>4</w:t>
      </w:r>
      <w:r>
        <w:rPr>
          <w:rFonts w:hint="eastAsia" w:ascii="宋体" w:eastAsia="宋体" w:cs="宋体"/>
          <w:color w:val="000000"/>
          <w:lang w:eastAsia="zh-CN"/>
        </w:rPr>
        <w:t>)</w:t>
      </w:r>
      <w:r>
        <w:rPr>
          <w:rFonts w:hint="eastAsia" w:ascii="宋体" w:eastAsia="宋体" w:cs="宋体"/>
          <w:bCs/>
          <w:color w:val="000000"/>
          <w:szCs w:val="21"/>
        </w:rPr>
        <w:t>对塔基基坑应进行围护，设置显著标识，防止人畜跌入后造成伤害。</w:t>
      </w:r>
    </w:p>
    <w:p>
      <w:pPr>
        <w:pageBreakBefore w:val="0"/>
        <w:widowControl w:val="0"/>
        <w:tabs>
          <w:tab w:val="left" w:pos="0"/>
        </w:tabs>
        <w:kinsoku/>
        <w:wordWrap/>
        <w:overflowPunct/>
        <w:topLinePunct w:val="0"/>
        <w:autoSpaceDE/>
        <w:autoSpaceDN/>
        <w:bidi w:val="0"/>
        <w:snapToGrid w:val="0"/>
        <w:rPr>
          <w:rFonts w:hint="eastAsia" w:ascii="宋体" w:eastAsia="宋体" w:cs="宋体"/>
          <w:color w:val="000000"/>
        </w:rPr>
      </w:pPr>
      <w:r>
        <w:rPr>
          <w:rFonts w:hint="eastAsia" w:ascii="宋体" w:eastAsia="宋体" w:cs="宋体"/>
          <w:color w:val="000000"/>
          <w:lang w:eastAsia="zh-CN"/>
        </w:rPr>
        <w:t>(</w:t>
      </w:r>
      <w:r>
        <w:rPr>
          <w:rFonts w:hint="eastAsia" w:ascii="宋体" w:eastAsia="宋体" w:cs="宋体"/>
          <w:color w:val="000000"/>
        </w:rPr>
        <w:t>5</w:t>
      </w:r>
      <w:r>
        <w:rPr>
          <w:rFonts w:hint="eastAsia" w:ascii="宋体" w:eastAsia="宋体" w:cs="宋体"/>
          <w:color w:val="000000"/>
          <w:lang w:eastAsia="zh-CN"/>
        </w:rPr>
        <w:t>)</w:t>
      </w:r>
      <w:r>
        <w:rPr>
          <w:rFonts w:hint="eastAsia" w:ascii="宋体" w:eastAsia="宋体" w:cs="宋体"/>
          <w:color w:val="000000"/>
        </w:rPr>
        <w:t>尽可能采购当地蔬菜、瓜果、粮油等生活物质，间接促进就业。同时，在条件允许的情况下，相关企业可以参与当地的公益性活动，在带动当地经济效益的同时，也推动当地的社会效益，树立企业良好形象。</w:t>
      </w:r>
    </w:p>
    <w:p>
      <w:pPr>
        <w:pageBreakBefore w:val="0"/>
        <w:widowControl w:val="0"/>
        <w:kinsoku/>
        <w:wordWrap/>
        <w:overflowPunct/>
        <w:topLinePunct w:val="0"/>
        <w:autoSpaceDE/>
        <w:autoSpaceDN/>
        <w:bidi w:val="0"/>
        <w:snapToGrid w:val="0"/>
        <w:jc w:val="left"/>
        <w:rPr>
          <w:rFonts w:hint="eastAsia"/>
          <w:color w:val="000000"/>
        </w:rPr>
      </w:pPr>
      <w:r>
        <w:rPr>
          <w:rFonts w:hint="eastAsia" w:ascii="宋体" w:eastAsia="宋体" w:cs="宋体"/>
          <w:color w:val="000000"/>
          <w:lang w:val="en-US" w:eastAsia="zh-CN"/>
        </w:rPr>
        <w:t>(6)</w:t>
      </w:r>
      <w:r>
        <w:rPr>
          <w:rFonts w:hint="eastAsia"/>
          <w:color w:val="000000"/>
        </w:rPr>
        <w:t>生态环境保护措施</w:t>
      </w:r>
      <w:r>
        <w:rPr>
          <w:rFonts w:hint="eastAsia"/>
          <w:snapToGrid w:val="0"/>
          <w:color w:val="000000"/>
        </w:rPr>
        <w:t>：</w:t>
      </w:r>
    </w:p>
    <w:p>
      <w:pPr>
        <w:pageBreakBefore w:val="0"/>
        <w:widowControl w:val="0"/>
        <w:kinsoku/>
        <w:wordWrap/>
        <w:overflowPunct/>
        <w:topLinePunct w:val="0"/>
        <w:autoSpaceDE/>
        <w:autoSpaceDN/>
        <w:bidi w:val="0"/>
        <w:snapToGrid w:val="0"/>
        <w:jc w:val="left"/>
        <w:rPr>
          <w:rFonts w:hint="eastAsia"/>
          <w:color w:val="000000"/>
        </w:rPr>
      </w:pPr>
      <w:r>
        <w:rPr>
          <w:rFonts w:hint="eastAsia"/>
          <w:color w:val="000000"/>
        </w:rPr>
        <w:t>施工</w:t>
      </w:r>
      <w:r>
        <w:rPr>
          <w:snapToGrid w:val="0"/>
          <w:color w:val="000000"/>
        </w:rPr>
        <w:t>人员行为规范</w:t>
      </w:r>
      <w:r>
        <w:rPr>
          <w:rFonts w:hint="eastAsia"/>
          <w:snapToGrid w:val="0"/>
          <w:color w:val="000000"/>
        </w:rPr>
        <w:t>：成立专门的环保组织体系，对施工人员进行文明施工和环境保护知识培训，加强施工期的环境管理及环境监控工作；按照</w:t>
      </w:r>
      <w:r>
        <w:rPr>
          <w:rFonts w:hint="eastAsia"/>
          <w:snapToGrid w:val="0"/>
          <w:color w:val="000000"/>
          <w:lang w:val="en-US" w:eastAsia="zh-CN"/>
        </w:rPr>
        <w:t>原</w:t>
      </w:r>
      <w:r>
        <w:rPr>
          <w:rFonts w:hint="eastAsia"/>
          <w:snapToGrid w:val="0"/>
          <w:color w:val="000000"/>
        </w:rPr>
        <w:t>环境保护部环办[2012]131号《关于进一步加强输变电类建设项目环境保护监管工作的通知》，委托有相应资质的单位开展环境监理</w:t>
      </w:r>
      <w:r>
        <w:rPr>
          <w:snapToGrid w:val="0"/>
          <w:color w:val="000000"/>
        </w:rPr>
        <w:t>注意保护植被</w:t>
      </w:r>
      <w:r>
        <w:rPr>
          <w:rFonts w:hint="eastAsia"/>
          <w:snapToGrid w:val="0"/>
          <w:color w:val="000000"/>
        </w:rPr>
        <w:t>；在施工合同中约定</w:t>
      </w:r>
      <w:r>
        <w:rPr>
          <w:rFonts w:hint="eastAsia"/>
          <w:color w:val="000000"/>
        </w:rPr>
        <w:t>，施工单位必须做到文明施工，</w:t>
      </w:r>
      <w:r>
        <w:rPr>
          <w:snapToGrid w:val="0"/>
          <w:color w:val="000000"/>
        </w:rPr>
        <w:t>施工人员和</w:t>
      </w:r>
      <w:r>
        <w:rPr>
          <w:rFonts w:hint="eastAsia"/>
          <w:snapToGrid w:val="0"/>
          <w:color w:val="000000"/>
        </w:rPr>
        <w:t>施工</w:t>
      </w:r>
      <w:r>
        <w:rPr>
          <w:snapToGrid w:val="0"/>
          <w:color w:val="000000"/>
        </w:rPr>
        <w:t>机械不得在规定区域范围外随意活动和行驶</w:t>
      </w:r>
      <w:r>
        <w:rPr>
          <w:rFonts w:hint="eastAsia"/>
          <w:snapToGrid w:val="0"/>
          <w:color w:val="000000"/>
        </w:rPr>
        <w:t>，禁止超占乱占土地；</w:t>
      </w:r>
      <w:r>
        <w:rPr>
          <w:rFonts w:hint="eastAsia"/>
          <w:color w:val="000000"/>
        </w:rPr>
        <w:t>在施工中，尽量减少对表层土的扰动、对地表植被的破坏，避免重车碾压，施工完毕后，对土地进行平整；在施工及监理合同中，明确监理、施工单位保护生态、文明施工的责任，明确谁侵犯</w:t>
      </w:r>
      <w:r>
        <w:rPr>
          <w:rFonts w:hint="eastAsia"/>
          <w:color w:val="000000"/>
          <w:lang w:val="en-US" w:eastAsia="zh-CN"/>
        </w:rPr>
        <w:t>农</w:t>
      </w:r>
      <w:r>
        <w:rPr>
          <w:rFonts w:hint="eastAsia"/>
          <w:color w:val="000000"/>
        </w:rPr>
        <w:t>牧民的利益，由谁来补偿，项目单位及监理应加强施工监督检查；监督管理施工单位做到工完料净场地清，对弃土弃渣、建筑施工及生活垃圾集中堆放处理，保护环境。</w:t>
      </w:r>
    </w:p>
    <w:p>
      <w:pPr>
        <w:pStyle w:val="29"/>
        <w:pageBreakBefore w:val="0"/>
        <w:widowControl w:val="0"/>
        <w:kinsoku/>
        <w:wordWrap/>
        <w:overflowPunct/>
        <w:topLinePunct w:val="0"/>
        <w:autoSpaceDE/>
        <w:autoSpaceDN/>
        <w:bidi w:val="0"/>
        <w:snapToGrid w:val="0"/>
        <w:rPr>
          <w:rFonts w:hint="eastAsia"/>
          <w:b/>
          <w:color w:val="000000"/>
        </w:rPr>
      </w:pPr>
      <w:r>
        <w:rPr>
          <w:rFonts w:hint="eastAsia"/>
          <w:snapToGrid w:val="0"/>
          <w:color w:val="000000"/>
        </w:rPr>
        <w:t>严格</w:t>
      </w:r>
      <w:r>
        <w:rPr>
          <w:rFonts w:hint="eastAsia"/>
          <w:color w:val="000000"/>
        </w:rPr>
        <w:t>按照水土保持方案的要求、环评批复的要求，对临时、永久占用的土地、植被，恢复原有土地功能和植被形态，不能恢复的，应给予补偿；</w:t>
      </w:r>
      <w:r>
        <w:rPr>
          <w:snapToGrid w:val="0"/>
          <w:color w:val="000000"/>
        </w:rPr>
        <w:t>合理规划、设计施工便道</w:t>
      </w:r>
      <w:r>
        <w:rPr>
          <w:rFonts w:hint="eastAsia"/>
          <w:snapToGrid w:val="0"/>
          <w:color w:val="000000"/>
        </w:rPr>
        <w:t>及场地</w:t>
      </w:r>
      <w:r>
        <w:rPr>
          <w:snapToGrid w:val="0"/>
          <w:color w:val="000000"/>
        </w:rPr>
        <w:t>，并要求各种机械和车辆固定行车路线</w:t>
      </w:r>
      <w:r>
        <w:rPr>
          <w:rFonts w:hint="eastAsia"/>
          <w:snapToGrid w:val="0"/>
          <w:color w:val="000000"/>
        </w:rPr>
        <w:t>，</w:t>
      </w:r>
      <w:r>
        <w:rPr>
          <w:snapToGrid w:val="0"/>
          <w:color w:val="000000"/>
        </w:rPr>
        <w:t>不能随意下道行驶或另开辟便道，以保证周围地表和植被不受破坏</w:t>
      </w:r>
      <w:r>
        <w:rPr>
          <w:rFonts w:hint="eastAsia"/>
          <w:snapToGrid w:val="0"/>
          <w:color w:val="000000"/>
        </w:rPr>
        <w:t>；</w:t>
      </w:r>
      <w:r>
        <w:rPr>
          <w:rFonts w:hint="eastAsia"/>
          <w:color w:val="000000"/>
        </w:rPr>
        <w:t>本项目区生态环境脆弱，应加强对原始地貌、植被的保护，提高土地利用率。</w:t>
      </w:r>
      <w:r>
        <w:rPr>
          <w:rFonts w:hint="eastAsia"/>
          <w:snapToGrid w:val="0"/>
          <w:color w:val="000000"/>
        </w:rPr>
        <w:t>施工运输道路一般为单行道，避免在植被完好的地段进行道路修筑工作。对运至塔位的塔材，选择合适的位置进行堆放，减少场地的占用。</w:t>
      </w:r>
    </w:p>
    <w:p>
      <w:pPr>
        <w:pStyle w:val="3"/>
        <w:keepNext/>
        <w:keepLines/>
        <w:pageBreakBefore w:val="0"/>
        <w:widowControl w:val="0"/>
        <w:kinsoku/>
        <w:wordWrap/>
        <w:overflowPunct/>
        <w:topLinePunct w:val="0"/>
        <w:autoSpaceDE/>
        <w:autoSpaceDN/>
        <w:bidi w:val="0"/>
        <w:snapToGrid w:val="0"/>
        <w:spacing w:line="360" w:lineRule="auto"/>
        <w:rPr>
          <w:rFonts w:hint="eastAsia" w:eastAsia="宋体"/>
          <w:color w:val="000000"/>
          <w:shd w:val="clear" w:color="auto" w:fill="auto"/>
          <w:lang w:eastAsia="zh-CN"/>
        </w:rPr>
      </w:pPr>
      <w:bookmarkStart w:id="219" w:name="_Toc14739"/>
      <w:bookmarkStart w:id="220" w:name="_Toc13734"/>
      <w:bookmarkStart w:id="221" w:name="_Toc7836"/>
      <w:r>
        <w:rPr>
          <w:rFonts w:hint="eastAsia"/>
          <w:color w:val="000000"/>
          <w:shd w:val="clear" w:color="auto" w:fill="auto"/>
        </w:rPr>
        <w:t>3.4落实风险防范、化解措施的有关建议</w:t>
      </w:r>
      <w:bookmarkEnd w:id="219"/>
      <w:bookmarkEnd w:id="220"/>
      <w:bookmarkEnd w:id="221"/>
    </w:p>
    <w:p>
      <w:pPr>
        <w:pStyle w:val="2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eastAsia="宋体" w:cs="宋体"/>
          <w:color w:val="000000"/>
        </w:rPr>
      </w:pPr>
      <w:bookmarkStart w:id="222" w:name="_Toc23613"/>
      <w:bookmarkStart w:id="223" w:name="_Toc361700121"/>
      <w:bookmarkStart w:id="224" w:name="_Toc351374321"/>
      <w:r>
        <w:rPr>
          <w:rFonts w:hint="eastAsia" w:ascii="宋体" w:eastAsia="宋体" w:cs="宋体"/>
          <w:color w:val="000000"/>
        </w:rPr>
        <w:t>建立社会稳定风险防范组织机构，明确责任人员，按本报告中</w:t>
      </w:r>
      <w:r>
        <w:rPr>
          <w:rFonts w:hint="eastAsia" w:ascii="宋体" w:eastAsia="宋体" w:cs="宋体"/>
          <w:color w:val="000000"/>
          <w:lang w:val="en-US" w:eastAsia="zh-CN"/>
        </w:rPr>
        <w:t>的</w:t>
      </w:r>
      <w:r>
        <w:rPr>
          <w:rFonts w:hint="eastAsia" w:ascii="宋体" w:eastAsia="宋体" w:cs="宋体"/>
          <w:color w:val="000000"/>
        </w:rPr>
        <w:t>应急预案编制内容要求，制定</w:t>
      </w:r>
      <w:r>
        <w:rPr>
          <w:rFonts w:hint="eastAsia" w:ascii="宋体" w:eastAsia="宋体" w:cs="宋体"/>
          <w:snapToGrid w:val="0"/>
          <w:color w:val="000000"/>
        </w:rPr>
        <w:t>《</w:t>
      </w:r>
      <w:r>
        <w:rPr>
          <w:rFonts w:hint="eastAsia" w:ascii="宋体" w:eastAsia="宋体" w:cs="宋体"/>
          <w:color w:val="000000"/>
        </w:rPr>
        <w:t>国网</w:t>
      </w:r>
      <w:r>
        <w:rPr>
          <w:rFonts w:hint="eastAsia" w:cs="宋体"/>
          <w:color w:val="000000"/>
          <w:lang w:eastAsia="zh-CN"/>
        </w:rPr>
        <w:t>巴州</w:t>
      </w:r>
      <w:r>
        <w:rPr>
          <w:rFonts w:hint="eastAsia" w:ascii="宋体" w:eastAsia="宋体" w:cs="宋体"/>
          <w:color w:val="000000"/>
        </w:rPr>
        <w:t>供电公司</w:t>
      </w:r>
      <w:r>
        <w:rPr>
          <w:rFonts w:hint="eastAsia" w:ascii="宋体" w:eastAsia="宋体" w:cs="宋体"/>
          <w:snapToGrid w:val="0"/>
          <w:color w:val="000000"/>
        </w:rPr>
        <w:t>预防和处置信访突发事件和群体性事件总预案》、《筹建处农民工工资纠纷引发群体性事件应急预案》、《筹建处土地征用、占用及补偿安置引发群体性事件专项应急预案》、《现场处置暴力恐怖袭击及停电应急预案》</w:t>
      </w:r>
      <w:r>
        <w:rPr>
          <w:rFonts w:hint="eastAsia" w:ascii="宋体" w:eastAsia="宋体" w:cs="宋体"/>
          <w:color w:val="000000"/>
        </w:rPr>
        <w:t>。定期演练培训，充实应急保障资源，提高应急处置能力。使用风险应对审查表对风险进行监测与控制，做好社会稳定风险预警防范的动态管理，规范企业危情公关管理，正确做好媒体及舆情应对。</w:t>
      </w:r>
    </w:p>
    <w:p>
      <w:pPr>
        <w:pStyle w:val="29"/>
        <w:keepNext w:val="0"/>
        <w:keepLines w:val="0"/>
        <w:pageBreakBefore w:val="0"/>
        <w:widowControl w:val="0"/>
        <w:kinsoku/>
        <w:wordWrap/>
        <w:overflowPunct/>
        <w:topLinePunct w:val="0"/>
        <w:autoSpaceDE/>
        <w:autoSpaceDN/>
        <w:bidi w:val="0"/>
        <w:adjustRightInd/>
        <w:snapToGrid w:val="0"/>
        <w:ind w:left="0" w:firstLine="480" w:firstLineChars="200"/>
        <w:textAlignment w:val="auto"/>
        <w:rPr>
          <w:rFonts w:hint="eastAsia" w:ascii="宋体" w:eastAsia="宋体" w:cs="宋体"/>
          <w:b/>
          <w:bCs/>
          <w:color w:val="000000"/>
          <w:sz w:val="24"/>
          <w:szCs w:val="28"/>
          <w:shd w:val="clear" w:color="auto" w:fill="auto"/>
          <w:lang w:val="en-US" w:eastAsia="zh-CN" w:bidi="ar-SA"/>
        </w:rPr>
      </w:pPr>
      <w:r>
        <w:rPr>
          <w:rFonts w:hint="eastAsia" w:ascii="宋体" w:eastAsia="宋体" w:cs="宋体"/>
          <w:color w:val="000000"/>
        </w:rPr>
        <w:t>建设单位</w:t>
      </w:r>
      <w:r>
        <w:rPr>
          <w:rFonts w:hint="eastAsia" w:ascii="宋体" w:eastAsia="宋体" w:cs="宋体"/>
          <w:color w:val="000000"/>
          <w:lang w:val="en-US" w:eastAsia="zh-CN"/>
        </w:rPr>
        <w:t>和施工单位应</w:t>
      </w:r>
      <w:r>
        <w:rPr>
          <w:rFonts w:hint="eastAsia" w:ascii="宋体" w:eastAsia="宋体" w:cs="宋体"/>
          <w:color w:val="000000"/>
        </w:rPr>
        <w:t>严格执行分析报告所提出的风险防范措施，造成较大或重大损失等后果的，应当依法承担责任。建设单位对风险防范措施的执行落实、风险的动态管理负责。</w:t>
      </w:r>
    </w:p>
    <w:p>
      <w:pPr>
        <w:pStyle w:val="29"/>
        <w:pageBreakBefore w:val="0"/>
        <w:widowControl w:val="0"/>
        <w:kinsoku/>
        <w:wordWrap/>
        <w:overflowPunct/>
        <w:topLinePunct w:val="0"/>
        <w:autoSpaceDE/>
        <w:autoSpaceDN/>
        <w:bidi w:val="0"/>
        <w:snapToGrid w:val="0"/>
        <w:ind w:left="0" w:firstLine="0" w:firstLineChars="0"/>
        <w:rPr>
          <w:rFonts w:hint="eastAsia" w:ascii="宋体" w:eastAsia="宋体" w:cs="宋体"/>
          <w:b/>
          <w:bCs/>
          <w:color w:val="000000"/>
          <w:sz w:val="24"/>
          <w:szCs w:val="28"/>
          <w:shd w:val="clear" w:color="auto" w:fill="auto"/>
          <w:lang w:val="en-US" w:eastAsia="zh-CN" w:bidi="ar-SA"/>
        </w:rPr>
      </w:pPr>
      <w:r>
        <w:rPr>
          <w:rFonts w:hint="eastAsia" w:ascii="宋体" w:eastAsia="宋体" w:cs="宋体"/>
          <w:b/>
          <w:bCs/>
          <w:color w:val="000000"/>
          <w:sz w:val="24"/>
          <w:szCs w:val="28"/>
          <w:shd w:val="clear" w:color="auto" w:fill="auto"/>
          <w:lang w:val="en-US" w:eastAsia="zh-CN" w:bidi="ar-SA"/>
        </w:rPr>
        <w:t>3.5拟建项目风险等级</w:t>
      </w:r>
      <w:bookmarkEnd w:id="214"/>
      <w:bookmarkEnd w:id="215"/>
      <w:bookmarkEnd w:id="216"/>
      <w:bookmarkEnd w:id="217"/>
      <w:bookmarkEnd w:id="218"/>
      <w:bookmarkEnd w:id="222"/>
      <w:bookmarkEnd w:id="223"/>
      <w:bookmarkEnd w:id="224"/>
    </w:p>
    <w:p>
      <w:pPr>
        <w:pStyle w:val="29"/>
        <w:pageBreakBefore w:val="0"/>
        <w:widowControl w:val="0"/>
        <w:kinsoku/>
        <w:wordWrap/>
        <w:overflowPunct/>
        <w:topLinePunct w:val="0"/>
        <w:autoSpaceDE/>
        <w:autoSpaceDN/>
        <w:bidi w:val="0"/>
        <w:snapToGrid w:val="0"/>
        <w:rPr>
          <w:rFonts w:hint="eastAsia"/>
          <w:b w:val="0"/>
          <w:bCs w:val="0"/>
          <w:color w:val="000000"/>
          <w:szCs w:val="22"/>
          <w:shd w:val="clear" w:color="auto" w:fill="auto"/>
        </w:rPr>
      </w:pPr>
      <w:r>
        <w:rPr>
          <w:rFonts w:hint="eastAsia"/>
          <w:b w:val="0"/>
          <w:bCs w:val="0"/>
          <w:color w:val="000000"/>
          <w:szCs w:val="22"/>
          <w:shd w:val="clear" w:color="auto" w:fill="auto"/>
        </w:rPr>
        <w:t>在全面落实各项风险防范化解措施，且各项措施实施得当的基础上，项目的总体社会稳定风险等级为低风险。</w:t>
      </w:r>
    </w:p>
    <w:sectPr>
      <w:headerReference r:id="rId10" w:type="default"/>
      <w:footerReference r:id="rId11"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9525" cy="222250"/>
              <wp:effectExtent l="0" t="0" r="0" b="0"/>
              <wp:wrapNone/>
              <wp:docPr id="1" name="文本框 2"/>
              <wp:cNvGraphicFramePr/>
              <a:graphic xmlns:a="http://schemas.openxmlformats.org/drawingml/2006/main">
                <a:graphicData uri="http://schemas.microsoft.com/office/word/2010/wordprocessingShape">
                  <wps:wsp>
                    <wps:cNvSpPr/>
                    <wps:spPr>
                      <a:xfrm>
                        <a:off x="0" y="0"/>
                        <a:ext cx="9525" cy="222250"/>
                      </a:xfrm>
                      <a:prstGeom prst="rect">
                        <a:avLst/>
                      </a:prstGeom>
                      <a:noFill/>
                      <a:ln w="9525" cap="flat" cmpd="sng">
                        <a:noFill/>
                        <a:prstDash val="solid"/>
                        <a:round/>
                      </a:ln>
                    </wps:spPr>
                    <wps:txbx>
                      <w:txbxContent>
                        <w:p>
                          <w:pPr>
                            <w:pStyle w:val="12"/>
                            <w:ind w:firstLine="0" w:firstLineChars="0"/>
                            <w:rPr>
                              <w:rFonts w:hint="eastAsia"/>
                            </w:rPr>
                          </w:pPr>
                        </w:p>
                      </w:txbxContent>
                    </wps:txbx>
                    <wps:bodyPr vert="horz" wrap="none" lIns="0" tIns="0" rIns="0" bIns="0" anchor="t" anchorCtr="0" upright="0">
                      <a:spAutoFit/>
                    </wps:bodyPr>
                  </wps:wsp>
                </a:graphicData>
              </a:graphic>
            </wp:anchor>
          </w:drawing>
        </mc:Choice>
        <mc:Fallback>
          <w:pict>
            <v:rect id="文本框 2" o:spid="_x0000_s1026" o:spt="1" style="position:absolute;left:0pt;margin-top:0pt;height:17.5pt;width:0.75pt;mso-position-horizontal:center;mso-position-horizontal-relative:margin;mso-wrap-style:none;z-index:251659264;mso-width-relative:page;mso-height-relative:page;" filled="f" stroked="f" coordsize="21600,21600" o:gfxdata="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JNv8TRAAAAAgEAAA8AAAAA&#10;AAAAAQAgAAAAIgAAAGRycy9kb3ducmV2LnhtbFBLAQIUABQAAAAIAIdO4kAVnSwf4gEAAKQDAAAO&#10;AAAAAAAAAAEAIAAAACABAABkcnMvZTJvRG9jLnhtbFBLBQYAAAAABgAGAFkBAAB0BQAAAAA=&#10;">
              <v:fill on="f" focussize="0,0"/>
              <v:stroke on="f" joinstyle="round"/>
              <v:imagedata o:title=""/>
              <o:lock v:ext="edit" aspectratio="f"/>
              <v:textbox inset="0mm,0mm,0mm,0mm" style="mso-fit-shape-to-text:t;">
                <w:txbxContent>
                  <w:p>
                    <w:pPr>
                      <w:pStyle w:val="12"/>
                      <w:ind w:firstLine="0" w:firstLineChars="0"/>
                      <w:rPr>
                        <w:rFonts w:hint="eastAsia"/>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285750" cy="222250"/>
              <wp:effectExtent l="0" t="0" r="0" b="0"/>
              <wp:wrapNone/>
              <wp:docPr id="25" name="文本框 9"/>
              <wp:cNvGraphicFramePr/>
              <a:graphic xmlns:a="http://schemas.openxmlformats.org/drawingml/2006/main">
                <a:graphicData uri="http://schemas.microsoft.com/office/word/2010/wordprocessingShape">
                  <wps:wsp>
                    <wps:cNvSpPr/>
                    <wps:spPr>
                      <a:xfrm>
                        <a:off x="0" y="0"/>
                        <a:ext cx="285750" cy="222250"/>
                      </a:xfrm>
                      <a:prstGeom prst="rect">
                        <a:avLst/>
                      </a:prstGeom>
                      <a:noFill/>
                      <a:ln w="9525" cap="flat" cmpd="sng">
                        <a:noFill/>
                        <a:prstDash val="solid"/>
                        <a:round/>
                      </a:ln>
                    </wps:spPr>
                    <wps:txbx>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7.5pt;width:22.5pt;mso-position-horizontal:center;mso-position-horizontal-relative:margin;mso-wrap-style:none;z-index:251659264;mso-width-relative:page;mso-height-relative:page;" filled="f" stroked="f" coordsize="21600,21600" o:gfxdata="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LJpRs0QAAAAMBAAAP&#10;AAAAAAAAAAEAIAAAACIAAABkcnMvZG93bnJldi54bWxQSwECFAAUAAAACACHTuJArrY3suYBAACn&#10;AwAADgAAAAAAAAABACAAAAAgAQAAZHJzL2Uyb0RvYy54bWxQSwUGAAAAAAYABgBZAQAAeAUAAAAA&#10;">
              <v:fill on="f" focussize="0,0"/>
              <v:stroke on="f" joinstyle="round"/>
              <v:imagedata o:title=""/>
              <o:lock v:ext="edit" aspectratio="f"/>
              <v:textbox inset="0mm,0mm,0mm,0mm" style="mso-fit-shape-to-text:t;">
                <w:txbxContent>
                  <w:p>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rect>
          </w:pict>
        </mc:Fallback>
      </mc:AlternateContent>
    </w: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9525" cy="222250"/>
              <wp:effectExtent l="0" t="0" r="0" b="0"/>
              <wp:wrapNone/>
              <wp:docPr id="28" name="文本框 10"/>
              <wp:cNvGraphicFramePr/>
              <a:graphic xmlns:a="http://schemas.openxmlformats.org/drawingml/2006/main">
                <a:graphicData uri="http://schemas.microsoft.com/office/word/2010/wordprocessingShape">
                  <wps:wsp>
                    <wps:cNvSpPr/>
                    <wps:spPr>
                      <a:xfrm>
                        <a:off x="0" y="0"/>
                        <a:ext cx="9525" cy="222250"/>
                      </a:xfrm>
                      <a:prstGeom prst="rect">
                        <a:avLst/>
                      </a:prstGeom>
                      <a:noFill/>
                      <a:ln w="9525" cap="flat" cmpd="sng">
                        <a:noFill/>
                        <a:prstDash val="solid"/>
                        <a:round/>
                      </a:ln>
                    </wps:spPr>
                    <wps:txbx>
                      <w:txbxContent>
                        <w:p>
                          <w:pPr>
                            <w:pStyle w:val="12"/>
                            <w:ind w:firstLine="0" w:firstLineChars="0"/>
                            <w:rPr>
                              <w:rFonts w:hint="eastAsia"/>
                            </w:rPr>
                          </w:pPr>
                        </w:p>
                      </w:txbxContent>
                    </wps:txbx>
                    <wps:bodyPr vert="horz" wrap="none" lIns="0" tIns="0" rIns="0" bIns="0" anchor="t" anchorCtr="0" upright="0">
                      <a:spAutoFit/>
                    </wps:bodyPr>
                  </wps:wsp>
                </a:graphicData>
              </a:graphic>
            </wp:anchor>
          </w:drawing>
        </mc:Choice>
        <mc:Fallback>
          <w:pict>
            <v:rect id="文本框 10" o:spid="_x0000_s1026" o:spt="1" style="position:absolute;left:0pt;margin-top:0pt;height:17.5pt;width:0.75pt;mso-position-horizontal:center;mso-position-horizontal-relative:margin;mso-wrap-style:none;z-index:251659264;mso-width-relative:page;mso-height-relative:page;" filled="f" stroked="f" coordsize="21600,21600" o:gfxdata="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JNv8TRAAAAAgEAAA8AAAAA&#10;AAAAAQAgAAAAIgAAAGRycy9kb3ducmV2LnhtbFBLAQIUABQAAAAIAIdO4kC+9uRN4gEAAKYDAAAO&#10;AAAAAAAAAAEAIAAAACABAABkcnMvZTJvRG9jLnhtbFBLBQYAAAAABgAGAFkBAAB0BQAAAAA=&#10;">
              <v:fill on="f" focussize="0,0"/>
              <v:stroke on="f" joinstyle="round"/>
              <v:imagedata o:title=""/>
              <o:lock v:ext="edit" aspectratio="f"/>
              <v:textbox inset="0mm,0mm,0mm,0mm" style="mso-fit-shape-to-text:t;">
                <w:txbxContent>
                  <w:p>
                    <w:pPr>
                      <w:pStyle w:val="12"/>
                      <w:ind w:firstLine="0" w:firstLineChars="0"/>
                      <w:rPr>
                        <w:rFonts w:hint="eastAsia"/>
                      </w:rP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0" w:firstLineChars="0"/>
      <w:jc w:val="center"/>
      <w:rPr>
        <w:rFonts w:hint="eastAsia" w:eastAsia="宋体"/>
        <w:lang w:val="en-US" w:eastAsia="zh-CN"/>
      </w:rPr>
    </w:pPr>
    <w:r>
      <w:rPr>
        <w:sz w:val="18"/>
      </w:rP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342900" cy="222250"/>
              <wp:effectExtent l="0" t="0" r="0" b="0"/>
              <wp:wrapNone/>
              <wp:docPr id="31" name="文本框 1"/>
              <wp:cNvGraphicFramePr/>
              <a:graphic xmlns:a="http://schemas.openxmlformats.org/drawingml/2006/main">
                <a:graphicData uri="http://schemas.microsoft.com/office/word/2010/wordprocessingShape">
                  <wps:wsp>
                    <wps:cNvSpPr/>
                    <wps:spPr>
                      <a:xfrm>
                        <a:off x="0" y="0"/>
                        <a:ext cx="343088" cy="222394"/>
                      </a:xfrm>
                      <a:prstGeom prst="rect">
                        <a:avLst/>
                      </a:prstGeom>
                      <a:noFill/>
                      <a:ln w="6350" cap="flat" cmpd="sng">
                        <a:noFill/>
                        <a:prstDash val="solid"/>
                        <a:round/>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rect id="文本框 1" o:spid="_x0000_s1026" o:spt="1" style="position:absolute;left:0pt;margin-top:0pt;height:17.5pt;width:27pt;mso-position-horizontal:center;mso-position-horizontal-relative:margin;mso-wrap-style:none;z-index:251659264;mso-width-relative:page;mso-height-relative:page;" filled="f" stroked="f" coordsize="21600,21600" o:gfxdata="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DjXWvW&#10;AAAAAwEAAA8AAAAAAAAAAQAgAAAAIgAAAGRycy9kb3ducmV2LnhtbFBLAQIUABQAAAAIAIdO4kAW&#10;0Iqz6QEAAKcDAAAOAAAAAAAAAAEAIAAAACUBAABkcnMvZTJvRG9jLnhtbFBLBQYAAAAABgAGAFkB&#10;AACABQAAAAA=&#10;">
              <v:fill on="f" focussize="0,0"/>
              <v:stroke on="f" weight="0.5pt" joinstyle="round"/>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2116"/>
      </w:tabs>
      <w:spacing w:line="240" w:lineRule="auto"/>
      <w:ind w:firstLine="0" w:firstLineChars="0"/>
      <w:jc w:val="both"/>
      <w:rPr>
        <w:rFonts w:hint="eastAsia"/>
      </w:rPr>
    </w:pPr>
  </w:p>
  <w:p>
    <w:pPr>
      <w:pStyle w:val="13"/>
      <w:pBdr>
        <w:bottom w:val="none" w:color="auto" w:sz="0" w:space="0"/>
      </w:pBdr>
      <w:tabs>
        <w:tab w:val="left" w:pos="2116"/>
      </w:tabs>
      <w:spacing w:line="240" w:lineRule="auto"/>
      <w:ind w:firstLine="8640" w:firstLineChars="4800"/>
      <w:jc w:val="both"/>
      <w:rPr>
        <w:rFonts w:hint="eastAsia"/>
        <w:szCs w:val="21"/>
      </w:rPr>
    </w:pPr>
    <w:r>
      <w:rPr>
        <w:rFonts w:hint="eastAsia"/>
      </w:rPr>
      <w:t xml:space="preserve"> </w:t>
    </w:r>
    <w:r>
      <w:rPr>
        <w:rFonts w:hint="eastAsia"/>
      </w:rPr>
      <w:tab/>
    </w:r>
    <w:r>
      <w:rPr>
        <w:rFonts w:hint="eastAsia"/>
      </w:rPr>
      <w:t xml:space="preserve">                 </w:t>
    </w:r>
  </w:p>
  <w:p>
    <w:pPr>
      <w:pBdr>
        <w:bottom w:val="none" w:color="auto" w:sz="0" w:space="0"/>
      </w:pBdr>
      <w:ind w:firstLine="0" w:firstLineChars="0"/>
      <w:jc w:val="center"/>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2116"/>
      </w:tabs>
      <w:spacing w:line="240" w:lineRule="auto"/>
      <w:ind w:firstLine="0" w:firstLineChars="0"/>
      <w:jc w:val="both"/>
      <w:rPr>
        <w:rFonts w:hint="eastAsia"/>
      </w:rPr>
    </w:pPr>
  </w:p>
  <w:p>
    <w:pPr>
      <w:pStyle w:val="13"/>
      <w:pBdr>
        <w:bottom w:val="none" w:color="auto" w:sz="0" w:space="0"/>
      </w:pBdr>
      <w:tabs>
        <w:tab w:val="left" w:pos="2116"/>
      </w:tabs>
      <w:spacing w:line="240" w:lineRule="auto"/>
      <w:ind w:firstLine="8640" w:firstLineChars="4800"/>
      <w:jc w:val="both"/>
      <w:rPr>
        <w:rFonts w:hint="eastAsia" w:eastAsia="宋体"/>
        <w:szCs w:val="21"/>
        <w:lang w:eastAsia="zh-CN"/>
      </w:rPr>
    </w:pPr>
    <w:r>
      <w:rPr>
        <w:rFonts w:hint="eastAsia"/>
      </w:rPr>
      <w:tab/>
    </w:r>
  </w:p>
  <w:p>
    <w:pPr>
      <w:pBdr>
        <w:bottom w:val="none" w:color="auto" w:sz="0" w:space="0"/>
      </w:pBdr>
      <w:ind w:firstLine="0" w:firstLineChars="0"/>
      <w:jc w:val="center"/>
      <w:rPr>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40" w:lineRule="auto"/>
      <w:ind w:firstLine="0" w:firstLineChars="0"/>
      <w:jc w:val="both"/>
      <w:rPr>
        <w:rFonts w:hint="eastAsia" w:ascii="宋体" w:eastAsia="宋体" w:cs="宋体"/>
        <w:b w:val="0"/>
        <w:bCs w:val="0"/>
        <w:color w:val="auto"/>
        <w:sz w:val="21"/>
        <w:szCs w:val="21"/>
        <w:shd w:val="clear" w:color="auto" w:fil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65D815"/>
    <w:multiLevelType w:val="multilevel"/>
    <w:tmpl w:val="C265D815"/>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sz w:val="28"/>
        <w:szCs w:val="28"/>
      </w:rPr>
    </w:lvl>
    <w:lvl w:ilvl="2" w:tentative="0">
      <w:start w:val="1"/>
      <w:numFmt w:val="decimal"/>
      <w:pStyle w:val="28"/>
      <w:lvlText w:val="%1.%2.%3."/>
      <w:lvlJc w:val="left"/>
      <w:pPr>
        <w:ind w:left="1429" w:hanging="709"/>
      </w:pPr>
      <w:rPr>
        <w:rFonts w:hint="eastAsia"/>
      </w:rPr>
    </w:lvl>
    <w:lvl w:ilvl="3" w:tentative="0">
      <w:start w:val="1"/>
      <w:numFmt w:val="decimal"/>
      <w:pStyle w:val="30"/>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NThiZWVhZTRhOTk4Mzc1NWFmMzdlNzFkMjA4ZjY0Y2YifQ=="/>
  </w:docVars>
  <w:rsids>
    <w:rsidRoot w:val="00000000"/>
    <w:rsid w:val="02734FDB"/>
    <w:rsid w:val="22060DD2"/>
    <w:rsid w:val="44FE694F"/>
    <w:rsid w:val="4CD133B9"/>
    <w:rsid w:val="630D6F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Times New Roman" w:eastAsia="宋体" w:cs="Times New Roman"/>
      <w:sz w:val="24"/>
      <w:szCs w:val="20"/>
      <w:lang w:val="en-US" w:eastAsia="zh-CN" w:bidi="ar-SA"/>
    </w:rPr>
  </w:style>
  <w:style w:type="paragraph" w:styleId="2">
    <w:name w:val="heading 1"/>
    <w:basedOn w:val="1"/>
    <w:next w:val="1"/>
    <w:link w:val="24"/>
    <w:qFormat/>
    <w:uiPriority w:val="0"/>
    <w:pPr>
      <w:keepNext/>
      <w:keepLines/>
      <w:widowControl w:val="0"/>
      <w:spacing w:line="360" w:lineRule="auto"/>
      <w:ind w:firstLine="0" w:firstLineChars="0"/>
      <w:outlineLvl w:val="0"/>
    </w:pPr>
    <w:rPr>
      <w:b/>
      <w:bCs/>
      <w:kern w:val="44"/>
      <w:sz w:val="28"/>
      <w:szCs w:val="44"/>
    </w:rPr>
  </w:style>
  <w:style w:type="paragraph" w:styleId="3">
    <w:name w:val="heading 2"/>
    <w:basedOn w:val="1"/>
    <w:next w:val="1"/>
    <w:link w:val="25"/>
    <w:qFormat/>
    <w:uiPriority w:val="0"/>
    <w:pPr>
      <w:keepNext/>
      <w:keepLines/>
      <w:widowControl w:val="0"/>
      <w:spacing w:line="360" w:lineRule="auto"/>
      <w:ind w:firstLine="0" w:firstLineChars="0"/>
      <w:outlineLvl w:val="1"/>
    </w:pPr>
    <w:rPr>
      <w:rFonts w:eastAsia="宋体" w:cs="宋体"/>
      <w:b/>
      <w:bCs/>
      <w:szCs w:val="28"/>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paragraph" w:styleId="5">
    <w:name w:val="heading 4"/>
    <w:basedOn w:val="1"/>
    <w:next w:val="1"/>
    <w:qFormat/>
    <w:uiPriority w:val="0"/>
    <w:pPr>
      <w:keepNext/>
      <w:keepLines/>
      <w:widowControl w:val="0"/>
      <w:tabs>
        <w:tab w:val="left" w:pos="864"/>
      </w:tabs>
      <w:spacing w:before="280" w:after="290" w:line="377" w:lineRule="auto"/>
      <w:outlineLvl w:val="3"/>
    </w:pPr>
    <w:rPr>
      <w:rFonts w:ascii="Arial" w:hAnsi="Arial" w:eastAsia="黑体"/>
      <w:b/>
      <w:bCs/>
      <w:sz w:val="28"/>
      <w:szCs w:val="28"/>
    </w:rPr>
  </w:style>
  <w:style w:type="character" w:default="1" w:styleId="22">
    <w:name w:val="Default Paragraph Font"/>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6">
    <w:name w:val="Body Text"/>
    <w:basedOn w:val="1"/>
    <w:next w:val="7"/>
    <w:qFormat/>
    <w:uiPriority w:val="0"/>
    <w:rPr>
      <w:sz w:val="28"/>
    </w:rPr>
  </w:style>
  <w:style w:type="paragraph" w:styleId="7">
    <w:name w:val="Body Text First Indent"/>
    <w:basedOn w:val="6"/>
    <w:next w:val="8"/>
    <w:qFormat/>
    <w:uiPriority w:val="0"/>
    <w:pPr>
      <w:adjustRightInd w:val="0"/>
      <w:spacing w:after="120" w:line="360" w:lineRule="atLeast"/>
      <w:jc w:val="left"/>
      <w:textAlignment w:val="baseline"/>
    </w:pPr>
    <w:rPr>
      <w:color w:val="000000"/>
      <w:kern w:val="0"/>
      <w:szCs w:val="20"/>
    </w:rPr>
  </w:style>
  <w:style w:type="paragraph" w:styleId="8">
    <w:name w:val="Body Text First Indent 2"/>
    <w:basedOn w:val="9"/>
    <w:next w:val="7"/>
    <w:qFormat/>
    <w:uiPriority w:val="0"/>
    <w:pPr>
      <w:overflowPunct w:val="0"/>
      <w:topLinePunct/>
      <w:autoSpaceDE w:val="0"/>
      <w:autoSpaceDN w:val="0"/>
      <w:adjustRightInd w:val="0"/>
      <w:snapToGrid w:val="0"/>
      <w:spacing w:line="440" w:lineRule="atLeast"/>
      <w:ind w:firstLine="200" w:firstLineChars="200"/>
      <w:textAlignment w:val="baseline"/>
    </w:pPr>
    <w:rPr>
      <w:b/>
      <w:bCs/>
      <w:snapToGrid w:val="0"/>
      <w:kern w:val="0"/>
      <w:sz w:val="24"/>
    </w:rPr>
  </w:style>
  <w:style w:type="paragraph" w:styleId="9">
    <w:name w:val="Body Text Indent"/>
    <w:basedOn w:val="1"/>
    <w:next w:val="8"/>
    <w:qFormat/>
    <w:uiPriority w:val="0"/>
    <w:pPr>
      <w:adjustRightInd w:val="0"/>
      <w:spacing w:line="400" w:lineRule="atLeast"/>
      <w:textAlignment w:val="baseline"/>
    </w:pPr>
    <w:rPr>
      <w:rFonts w:ascii="宋体"/>
      <w:kern w:val="0"/>
      <w:sz w:val="24"/>
      <w:szCs w:val="20"/>
    </w:rPr>
  </w:style>
  <w:style w:type="paragraph" w:styleId="10">
    <w:name w:val="toc 8"/>
    <w:basedOn w:val="1"/>
    <w:next w:val="1"/>
    <w:qFormat/>
    <w:uiPriority w:val="0"/>
    <w:pPr>
      <w:ind w:left="2940"/>
    </w:pPr>
  </w:style>
  <w:style w:type="paragraph" w:styleId="11">
    <w:name w:val="Body Text Indent 2"/>
    <w:basedOn w:val="1"/>
    <w:next w:val="1"/>
    <w:qFormat/>
    <w:uiPriority w:val="0"/>
    <w:pPr>
      <w:adjustRightInd w:val="0"/>
      <w:spacing w:line="400" w:lineRule="atLeast"/>
      <w:jc w:val="left"/>
      <w:textAlignment w:val="baseline"/>
    </w:pPr>
    <w:rPr>
      <w:rFonts w:ascii="宋体"/>
      <w:kern w:val="0"/>
      <w:sz w:val="24"/>
      <w:szCs w:val="2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pPr>
      <w:tabs>
        <w:tab w:val="right" w:leader="dot" w:pos="8296"/>
      </w:tabs>
      <w:spacing w:line="360" w:lineRule="auto"/>
      <w:ind w:firstLine="0" w:firstLineChars="0"/>
    </w:pPr>
    <w:rPr>
      <w:rFonts w:ascii="宋体" w:eastAsia="宋体"/>
      <w:b/>
      <w:bCs/>
    </w:rPr>
  </w:style>
  <w:style w:type="paragraph" w:styleId="15">
    <w:name w:val="List"/>
    <w:basedOn w:val="1"/>
    <w:next w:val="1"/>
    <w:qFormat/>
    <w:uiPriority w:val="0"/>
    <w:pPr>
      <w:widowControl w:val="0"/>
      <w:suppressAutoHyphens/>
      <w:adjustRightInd w:val="0"/>
      <w:jc w:val="center"/>
      <w:textAlignment w:val="baseline"/>
    </w:pPr>
    <w:rPr>
      <w:kern w:val="0"/>
      <w:szCs w:val="20"/>
    </w:rPr>
  </w:style>
  <w:style w:type="paragraph" w:styleId="16">
    <w:name w:val="index 7"/>
    <w:basedOn w:val="1"/>
    <w:next w:val="1"/>
    <w:qFormat/>
    <w:uiPriority w:val="0"/>
    <w:pPr>
      <w:ind w:left="2520"/>
    </w:pPr>
  </w:style>
  <w:style w:type="paragraph" w:styleId="17">
    <w:name w:val="toc 2"/>
    <w:basedOn w:val="1"/>
    <w:next w:val="1"/>
    <w:qFormat/>
    <w:uiPriority w:val="0"/>
    <w:pPr>
      <w:ind w:left="0" w:firstLine="0" w:firstLineChars="0"/>
    </w:pPr>
    <w:rPr>
      <w:rFonts w:ascii="宋体" w:eastAsia="宋体"/>
    </w:rPr>
  </w:style>
  <w:style w:type="paragraph" w:styleId="18">
    <w:name w:val="HTML Preformatted"/>
    <w:next w:val="19"/>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eastAsia="宋体" w:cs="宋体"/>
      <w:kern w:val="0"/>
      <w:sz w:val="24"/>
      <w:szCs w:val="24"/>
      <w:lang w:val="en-US" w:eastAsia="zh-CN" w:bidi="ar-SA"/>
    </w:rPr>
  </w:style>
  <w:style w:type="paragraph" w:customStyle="1" w:styleId="19">
    <w:name w:val="Char Char5 Char Char Char Char Char Char Char"/>
    <w:basedOn w:val="1"/>
    <w:next w:val="1"/>
    <w:qFormat/>
    <w:uiPriority w:val="0"/>
    <w:pPr>
      <w:spacing w:line="360" w:lineRule="auto"/>
      <w:ind w:firstLine="200" w:firstLineChars="200"/>
    </w:pPr>
    <w:rPr>
      <w:rFonts w:ascii="宋体" w:cs="宋体"/>
      <w:sz w:val="24"/>
    </w:rPr>
  </w:style>
  <w:style w:type="paragraph" w:styleId="20">
    <w:name w:val="Normal (Web)"/>
    <w:basedOn w:val="1"/>
    <w:qFormat/>
    <w:uiPriority w:val="0"/>
    <w:pPr>
      <w:widowControl/>
      <w:spacing w:before="100" w:beforeAutospacing="1" w:after="100" w:afterAutospacing="1"/>
      <w:jc w:val="left"/>
    </w:pPr>
    <w:rPr>
      <w:rFonts w:ascii="宋体" w:cs="宋体"/>
      <w:kern w:val="0"/>
      <w:sz w:val="24"/>
    </w:rPr>
  </w:style>
  <w:style w:type="character" w:styleId="23">
    <w:name w:val="page number"/>
    <w:qFormat/>
    <w:uiPriority w:val="0"/>
  </w:style>
  <w:style w:type="character" w:customStyle="1" w:styleId="24">
    <w:name w:val="heading 1 Char"/>
    <w:basedOn w:val="22"/>
    <w:link w:val="2"/>
    <w:qFormat/>
    <w:uiPriority w:val="0"/>
    <w:rPr>
      <w:rFonts w:ascii="宋体" w:eastAsia="宋体" w:cs="Times New Roman"/>
      <w:b/>
      <w:bCs/>
      <w:kern w:val="44"/>
      <w:sz w:val="28"/>
      <w:szCs w:val="44"/>
      <w:lang w:val="en-US" w:eastAsia="zh-CN" w:bidi="ar-SA"/>
    </w:rPr>
  </w:style>
  <w:style w:type="character" w:customStyle="1" w:styleId="25">
    <w:name w:val="heading 2 Char"/>
    <w:basedOn w:val="22"/>
    <w:link w:val="3"/>
    <w:qFormat/>
    <w:uiPriority w:val="0"/>
    <w:rPr>
      <w:rFonts w:ascii="宋体" w:eastAsia="宋体" w:cs="宋体"/>
      <w:b/>
      <w:bCs/>
      <w:sz w:val="24"/>
      <w:szCs w:val="28"/>
      <w:lang w:val="en-US" w:eastAsia="zh-CN" w:bidi="ar-SA"/>
    </w:rPr>
  </w:style>
  <w:style w:type="paragraph" w:customStyle="1" w:styleId="26">
    <w:name w:val="正文.tx"/>
    <w:basedOn w:val="1"/>
    <w:qFormat/>
    <w:uiPriority w:val="0"/>
    <w:pPr>
      <w:topLinePunct/>
      <w:spacing w:before="50" w:beforeLines="50" w:after="50" w:afterLines="50" w:line="520" w:lineRule="exact"/>
      <w:ind w:firstLine="200" w:firstLineChars="200"/>
    </w:pPr>
    <w:rPr>
      <w:sz w:val="28"/>
      <w:szCs w:val="28"/>
    </w:rPr>
  </w:style>
  <w:style w:type="paragraph" w:customStyle="1" w:styleId="27">
    <w:name w:val="qqqqqqq"/>
    <w:qFormat/>
    <w:uiPriority w:val="0"/>
    <w:pPr>
      <w:adjustRightInd w:val="0"/>
      <w:snapToGrid w:val="0"/>
      <w:spacing w:line="360" w:lineRule="auto"/>
      <w:ind w:firstLine="200" w:firstLineChars="200"/>
      <w:jc w:val="both"/>
    </w:pPr>
    <w:rPr>
      <w:rFonts w:ascii="宋体" w:hAnsi="宋体" w:eastAsia="Times New Roman" w:cs="Times New Roman"/>
      <w:snapToGrid w:val="0"/>
      <w:color w:val="000000"/>
      <w:sz w:val="24"/>
      <w:szCs w:val="20"/>
      <w:lang w:val="en-US" w:eastAsia="zh-CN" w:bidi="ar-SA"/>
    </w:rPr>
  </w:style>
  <w:style w:type="paragraph" w:customStyle="1" w:styleId="28">
    <w:name w:val="标题5-3"/>
    <w:basedOn w:val="1"/>
    <w:qFormat/>
    <w:uiPriority w:val="0"/>
    <w:pPr>
      <w:widowControl/>
      <w:numPr>
        <w:ilvl w:val="2"/>
        <w:numId w:val="1"/>
      </w:numPr>
      <w:tabs>
        <w:tab w:val="left" w:pos="924"/>
      </w:tabs>
      <w:ind w:firstLineChars="0"/>
      <w:jc w:val="left"/>
      <w:outlineLvl w:val="2"/>
    </w:pPr>
    <w:rPr>
      <w:b/>
      <w:snapToGrid w:val="0"/>
      <w:color w:val="FF0000"/>
      <w:sz w:val="28"/>
      <w:szCs w:val="28"/>
    </w:rPr>
  </w:style>
  <w:style w:type="paragraph" w:customStyle="1" w:styleId="29">
    <w:name w:val="zwb-正文"/>
    <w:basedOn w:val="1"/>
    <w:qFormat/>
    <w:uiPriority w:val="0"/>
    <w:pPr>
      <w:spacing w:line="360" w:lineRule="auto"/>
      <w:ind w:firstLine="200" w:firstLineChars="200"/>
    </w:pPr>
    <w:rPr>
      <w:sz w:val="24"/>
    </w:rPr>
  </w:style>
  <w:style w:type="paragraph" w:customStyle="1" w:styleId="30">
    <w:name w:val="标题5-4"/>
    <w:basedOn w:val="1"/>
    <w:qFormat/>
    <w:uiPriority w:val="0"/>
    <w:pPr>
      <w:numPr>
        <w:ilvl w:val="3"/>
        <w:numId w:val="1"/>
      </w:numPr>
      <w:tabs>
        <w:tab w:val="left" w:pos="1064"/>
      </w:tabs>
      <w:adjustRightInd w:val="0"/>
      <w:ind w:firstLineChars="0"/>
      <w:outlineLvl w:val="3"/>
    </w:pPr>
    <w:rPr>
      <w:b/>
    </w:rPr>
  </w:style>
  <w:style w:type="paragraph" w:customStyle="1" w:styleId="31">
    <w:name w:val="4级标题"/>
    <w:basedOn w:val="5"/>
    <w:qFormat/>
    <w:uiPriority w:val="0"/>
    <w:pPr>
      <w:tabs>
        <w:tab w:val="clear" w:pos="864"/>
      </w:tabs>
      <w:adjustRightInd w:val="0"/>
      <w:snapToGrid w:val="0"/>
      <w:spacing w:before="0" w:after="0" w:line="480" w:lineRule="exact"/>
      <w:textAlignment w:val="baseline"/>
    </w:pPr>
    <w:rPr>
      <w:rFonts w:ascii="宋体" w:eastAsia="宋体"/>
      <w:bCs w:val="0"/>
      <w:sz w:val="24"/>
      <w:szCs w:val="20"/>
    </w:rPr>
  </w:style>
  <w:style w:type="paragraph" w:customStyle="1" w:styleId="32">
    <w:name w:val="Normal_22"/>
    <w:qFormat/>
    <w:uiPriority w:val="0"/>
    <w:pPr>
      <w:spacing w:before="120" w:after="240"/>
      <w:jc w:val="both"/>
    </w:pPr>
    <w:rPr>
      <w:rFonts w:ascii="Times New Roman" w:hAnsi="Times New Roman" w:eastAsia="宋体" w:cs="Arial"/>
      <w:sz w:val="22"/>
      <w:szCs w:val="22"/>
      <w:lang w:val="en-US" w:eastAsia="zh-CN" w:bidi="ar-SA"/>
    </w:rPr>
  </w:style>
  <w:style w:type="paragraph" w:customStyle="1" w:styleId="33">
    <w:name w:val="Normal_30"/>
    <w:qFormat/>
    <w:uiPriority w:val="0"/>
    <w:pPr>
      <w:spacing w:before="120" w:after="240"/>
      <w:jc w:val="both"/>
    </w:pPr>
    <w:rPr>
      <w:rFonts w:ascii="Times New Roman" w:hAnsi="Times New Roman" w:eastAsia="宋体" w:cs="Arial"/>
      <w:sz w:val="22"/>
      <w:szCs w:val="22"/>
      <w:lang w:val="en-US" w:eastAsia="zh-CN" w:bidi="ar-SA"/>
    </w:rPr>
  </w:style>
  <w:style w:type="paragraph" w:customStyle="1" w:styleId="34">
    <w:name w:val="Normal_33"/>
    <w:qFormat/>
    <w:uiPriority w:val="0"/>
    <w:pPr>
      <w:spacing w:before="120" w:after="240"/>
      <w:jc w:val="both"/>
    </w:pPr>
    <w:rPr>
      <w:rFonts w:ascii="Times New Roman" w:hAnsi="Times New Roman" w:eastAsia="宋体" w:cs="Arial"/>
      <w:sz w:val="22"/>
      <w:szCs w:val="22"/>
      <w:lang w:val="en-US" w:eastAsia="zh-CN" w:bidi="ar-SA"/>
    </w:rPr>
  </w:style>
  <w:style w:type="paragraph" w:customStyle="1" w:styleId="35">
    <w:name w:val="Normal_8"/>
    <w:qFormat/>
    <w:uiPriority w:val="0"/>
    <w:pPr>
      <w:spacing w:before="120" w:after="240"/>
      <w:jc w:val="both"/>
    </w:pPr>
    <w:rPr>
      <w:rFonts w:ascii="Times New Roman" w:hAnsi="Times New Roman" w:eastAsia="宋体" w:cs="Arial"/>
      <w:sz w:val="22"/>
      <w:szCs w:val="22"/>
      <w:lang w:val="en-US" w:eastAsia="zh-CN" w:bidi="ar-SA"/>
    </w:rPr>
  </w:style>
  <w:style w:type="paragraph" w:customStyle="1" w:styleId="36">
    <w:name w:val="Normal_0"/>
    <w:qFormat/>
    <w:uiPriority w:val="0"/>
    <w:pPr>
      <w:spacing w:before="120" w:after="240"/>
      <w:jc w:val="both"/>
    </w:pPr>
    <w:rPr>
      <w:rFonts w:ascii="Times New Roman" w:hAnsi="Times New Roman" w:eastAsia="宋体" w:cs="Arial"/>
      <w:sz w:val="22"/>
      <w:szCs w:val="22"/>
      <w:lang w:val="en-US" w:eastAsia="zh-CN" w:bidi="ar-SA"/>
    </w:rPr>
  </w:style>
  <w:style w:type="paragraph" w:customStyle="1" w:styleId="37">
    <w:name w:val="Normal_12"/>
    <w:qFormat/>
    <w:uiPriority w:val="0"/>
    <w:pPr>
      <w:spacing w:before="120" w:after="240"/>
      <w:jc w:val="both"/>
    </w:pPr>
    <w:rPr>
      <w:rFonts w:ascii="Times New Roman" w:hAnsi="Times New Roman" w:eastAsia="宋体" w:cs="Arial"/>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47</Pages>
  <Words>0</Words>
  <Characters>28048</Characters>
  <Lines>0</Lines>
  <Paragraphs>404</Paragraphs>
  <TotalTime>3</TotalTime>
  <ScaleCrop>false</ScaleCrop>
  <LinksUpToDate>false</LinksUpToDate>
  <CharactersWithSpaces>37398</CharactersWithSpaces>
  <Application>WPS Office_11.1.0.9021_F1E327BC-269C-435d-A152-05C5408002CA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2023-05-30T07:29:00Z</dcterms:created>
  <dc:creator>邢金鑫</dc:creator>
  <cp:lastModifiedBy>Administrator</cp:lastModifiedBy>
  <dcterms:modified xsi:type="dcterms:W3CDTF">2026-07-22T09:15:53Z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699D64DD3EEF487D9D1EECF4BC307C3E</vt:lpwstr>
  </property>
  <property fmtid="{D5CDD505-2E9C-101B-9397-08002B2CF9AE}" pid="4" name="KSOTemplateDocerSaveRecord">
    <vt:lpwstr>eyJoZGlkIjoiNThiZWVhZTRhOTk4Mzc1NWFmMzdlNzFkMjA4ZjY0Y2YifQ==</vt:lpwstr>
  </property>
</Properties>
</file>