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库尔勒市铁克其乡人民政府</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4"/>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4"/>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4"/>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24028"/>
      <w:bookmarkStart w:id="1" w:name="_Toc32314"/>
      <w:r>
        <w:rPr>
          <w:rFonts w:hint="eastAsia" w:ascii="黑体" w:hAnsi="黑体" w:eastAsia="黑体"/>
          <w:sz w:val="32"/>
          <w:szCs w:val="32"/>
        </w:rPr>
        <w:t>第一部分 部门概况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320" w:firstLineChars="100"/>
        <w:outlineLvl w:val="1"/>
        <w:rPr>
          <w:rFonts w:ascii="仿宋_GB2312" w:eastAsia="仿宋_GB2312"/>
          <w:sz w:val="32"/>
          <w:szCs w:val="32"/>
        </w:rPr>
      </w:pPr>
      <w:bookmarkStart w:id="4" w:name="_Toc31238"/>
      <w:bookmarkStart w:id="5" w:name="_Toc2151"/>
      <w:r>
        <w:rPr>
          <w:rFonts w:hint="eastAsia" w:ascii="仿宋_GB2312" w:eastAsia="仿宋_GB2312"/>
          <w:sz w:val="32"/>
          <w:szCs w:val="32"/>
        </w:rPr>
        <w:t>（1）宣传、预算党的路线、方针、政策和国家法律、法规，保证上级党委政府决议、决定的落实，对居民进行思想政治教育和社会主义法治宣传。</w:t>
      </w:r>
    </w:p>
    <w:p>
      <w:pPr>
        <w:ind w:firstLine="320" w:firstLineChars="100"/>
        <w:outlineLvl w:val="1"/>
        <w:rPr>
          <w:rFonts w:ascii="仿宋_GB2312" w:eastAsia="仿宋_GB2312"/>
          <w:sz w:val="32"/>
          <w:szCs w:val="32"/>
        </w:rPr>
      </w:pPr>
      <w:r>
        <w:rPr>
          <w:rFonts w:hint="eastAsia" w:ascii="仿宋_GB2312" w:eastAsia="仿宋_GB2312"/>
          <w:sz w:val="32"/>
          <w:szCs w:val="32"/>
        </w:rPr>
        <w:t>（2）组织领导乡区域经济工作，制定乡经济发展规划，检查、督促各经济组织开展工作，负责乡财政预算和收支管理。</w:t>
      </w:r>
    </w:p>
    <w:p>
      <w:pPr>
        <w:ind w:firstLine="320" w:firstLineChars="100"/>
        <w:outlineLvl w:val="1"/>
        <w:rPr>
          <w:rFonts w:ascii="仿宋_GB2312" w:eastAsia="仿宋_GB2312"/>
          <w:sz w:val="32"/>
          <w:szCs w:val="32"/>
        </w:rPr>
      </w:pPr>
      <w:r>
        <w:rPr>
          <w:rFonts w:hint="eastAsia" w:ascii="仿宋_GB2312" w:eastAsia="仿宋_GB2312"/>
          <w:sz w:val="32"/>
          <w:szCs w:val="32"/>
        </w:rPr>
        <w:t>（3）加强外来人口管理，开展民事调解，保护老人、儿童、妇女、残疾人和青少年的合法权益，保障辖区内政治稳定和社会安定。</w:t>
      </w:r>
    </w:p>
    <w:p>
      <w:pPr>
        <w:ind w:firstLine="320" w:firstLineChars="100"/>
        <w:outlineLvl w:val="1"/>
        <w:rPr>
          <w:rFonts w:ascii="仿宋_GB2312" w:eastAsia="仿宋_GB2312"/>
          <w:sz w:val="32"/>
          <w:szCs w:val="32"/>
        </w:rPr>
      </w:pPr>
      <w:r>
        <w:rPr>
          <w:rFonts w:hint="eastAsia" w:ascii="仿宋_GB2312" w:eastAsia="仿宋_GB2312"/>
          <w:sz w:val="32"/>
          <w:szCs w:val="32"/>
        </w:rPr>
        <w:t>（4）开展党的建设、群众文化、科普、精神文明、爱国卫生、计划生育、环境卫生、绿化美化、民政、社会保障、健康教育等工作，配合有关部门做好防控、防汛防震、抢险救灾、交通管理等工作。</w:t>
      </w:r>
    </w:p>
    <w:p>
      <w:pPr>
        <w:ind w:firstLine="320" w:firstLineChars="100"/>
        <w:outlineLvl w:val="1"/>
        <w:rPr>
          <w:rFonts w:ascii="仿宋_GB2312" w:eastAsia="仿宋_GB2312"/>
          <w:sz w:val="32"/>
          <w:szCs w:val="32"/>
        </w:rPr>
      </w:pPr>
      <w:r>
        <w:rPr>
          <w:rFonts w:hint="eastAsia" w:ascii="仿宋_GB2312" w:eastAsia="仿宋_GB2312"/>
          <w:sz w:val="32"/>
          <w:szCs w:val="32"/>
        </w:rPr>
        <w:t>（5）向上级政府反映群众的意见和要求，办理人民群众来信来访事项，做好为居民群众服务工作。</w:t>
      </w:r>
    </w:p>
    <w:p>
      <w:pPr>
        <w:ind w:firstLine="320" w:firstLineChars="100"/>
        <w:outlineLvl w:val="1"/>
        <w:rPr>
          <w:rFonts w:ascii="仿宋_GB2312" w:eastAsia="仿宋_GB2312"/>
          <w:sz w:val="32"/>
          <w:szCs w:val="32"/>
        </w:rPr>
      </w:pPr>
      <w:r>
        <w:rPr>
          <w:rFonts w:hint="eastAsia" w:ascii="仿宋_GB2312" w:eastAsia="仿宋_GB2312"/>
          <w:sz w:val="32"/>
          <w:szCs w:val="32"/>
        </w:rPr>
        <w:t>（6）完成上级政府交办的其他事项。</w:t>
      </w:r>
    </w:p>
    <w:p>
      <w:pPr>
        <w:ind w:firstLine="320" w:firstLineChars="1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pPr>
      <w:r>
        <w:rPr>
          <w:rFonts w:hint="eastAsia" w:ascii="仿宋_GB2312" w:eastAsia="仿宋_GB2312"/>
          <w:sz w:val="32"/>
          <w:szCs w:val="32"/>
        </w:rPr>
        <w:t>库尔勒市铁克其乡人民政府2023年度，实有人数</w:t>
      </w:r>
      <w:r>
        <w:rPr>
          <w:rFonts w:hint="eastAsia" w:ascii="仿宋_GB2312" w:eastAsia="仿宋_GB2312"/>
          <w:sz w:val="32"/>
          <w:szCs w:val="32"/>
          <w:lang w:val="zh-CN"/>
        </w:rPr>
        <w:t>101</w:t>
      </w:r>
      <w:r>
        <w:rPr>
          <w:rFonts w:hint="eastAsia" w:ascii="仿宋_GB2312" w:eastAsia="仿宋_GB2312"/>
          <w:sz w:val="32"/>
          <w:szCs w:val="32"/>
        </w:rPr>
        <w:t>人，其中：在职人员</w:t>
      </w:r>
      <w:r>
        <w:rPr>
          <w:rFonts w:hint="eastAsia" w:ascii="仿宋_GB2312" w:eastAsia="仿宋_GB2312"/>
          <w:sz w:val="32"/>
          <w:szCs w:val="32"/>
          <w:lang w:val="zh-CN"/>
        </w:rPr>
        <w:t>73</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28</w:t>
      </w:r>
      <w:r>
        <w:rPr>
          <w:rFonts w:hint="eastAsia" w:ascii="仿宋_GB2312" w:eastAsia="仿宋_GB2312"/>
          <w:sz w:val="32"/>
          <w:szCs w:val="32"/>
        </w:rPr>
        <w:t>人。</w:t>
      </w:r>
    </w:p>
    <w:p>
      <w:pPr>
        <w:ind w:firstLine="640" w:firstLineChars="200"/>
        <w:jc w:val="left"/>
        <w:rPr>
          <w:rFonts w:ascii="仿宋_GB2312" w:eastAsia="仿宋_GB2312"/>
          <w:sz w:val="32"/>
          <w:szCs w:val="32"/>
        </w:rPr>
      </w:pPr>
      <w:r>
        <w:rPr>
          <w:rFonts w:hint="eastAsia" w:ascii="仿宋_GB2312" w:eastAsia="仿宋_GB2312"/>
          <w:sz w:val="32"/>
          <w:szCs w:val="32"/>
        </w:rPr>
        <w:t>库尔勒市铁克其乡人民政府无下属预算单位，下设6个站所（中心），分别是：农业（畜牧业）发展中心，文化体育广播电视服务中心，社会保障（民政）服务中心，财政所5/26（农村合作经济经营管理服务站），村镇规划建设发展服务中心（环境保护工作站），人口和计划生育生殖健康服务站。</w:t>
      </w:r>
    </w:p>
    <w:p>
      <w:pPr>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2023年度收入总计5,634.23万元，其中：本年收入合计5,634.23万元，使用非财政拨款结余0.00万元，年初结转和结余0.00万元。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2023年度支出总计5,634.23万元，其中：本年支出合计5,634.23万元，结余分配0.00万元，年末结转和结余0.00万元。</w:t>
      </w:r>
    </w:p>
    <w:p>
      <w:pPr>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减少651.40万元</w:t>
      </w:r>
      <w:r>
        <w:rPr>
          <w:rFonts w:hint="eastAsia" w:ascii="仿宋_GB2312" w:eastAsia="仿宋_GB2312"/>
          <w:sz w:val="32"/>
          <w:szCs w:val="32"/>
        </w:rPr>
        <w:t>，下降10.36%，主要原因是：</w:t>
      </w:r>
      <w:r>
        <w:rPr>
          <w:rFonts w:hint="eastAsia" w:eastAsia="仿宋_GB2312" w:cs="仿宋_GB2312"/>
          <w:sz w:val="32"/>
          <w:szCs w:val="32"/>
        </w:rPr>
        <w:t>2023年乡村振兴项目，村级阵地建设项目减少</w:t>
      </w:r>
      <w:r>
        <w:rPr>
          <w:rFonts w:hint="eastAsia" w:ascii="仿宋_GB2312" w:eastAsia="仿宋_GB2312"/>
          <w:sz w:val="32"/>
          <w:szCs w:val="32"/>
        </w:rPr>
        <w:t>，可安排的资金少。</w:t>
      </w:r>
    </w:p>
    <w:p>
      <w:pPr>
        <w:ind w:firstLine="640" w:firstLineChars="200"/>
        <w:jc w:val="left"/>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hint="eastAsia" w:ascii="仿宋_GB2312" w:eastAsia="仿宋_GB2312"/>
          <w:sz w:val="32"/>
          <w:szCs w:val="32"/>
        </w:rPr>
        <w:t>本年收入5,634.23万元，其中：财政拨款收</w:t>
      </w:r>
      <w:r>
        <w:rPr>
          <w:rFonts w:hint="eastAsia" w:ascii="仿宋_GB2312" w:eastAsia="仿宋_GB2312"/>
          <w:sz w:val="32"/>
          <w:szCs w:val="32"/>
          <w:lang w:val="zh-CN"/>
        </w:rPr>
        <w:t>5,634.23</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本年支出5,634.23万元，其中：基本支出2,736.29万元，占48.57%；项目支出2,897.93万元，占51.43%；上缴上级支出0.00万元，占0.00%；经营支出0.00万元，占0.00%；对附属单位补助支出0.00万元，占0.00%。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5,634.23</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5,634.23</w:t>
      </w:r>
      <w:r>
        <w:rPr>
          <w:rFonts w:hint="eastAsia" w:ascii="仿宋_GB2312" w:eastAsia="仿宋_GB2312"/>
          <w:sz w:val="32"/>
          <w:szCs w:val="32"/>
        </w:rPr>
        <w:t>万元。财政拨款支出总计</w:t>
      </w:r>
      <w:r>
        <w:rPr>
          <w:rFonts w:hint="eastAsia" w:ascii="仿宋_GB2312" w:eastAsia="仿宋_GB2312"/>
          <w:sz w:val="32"/>
          <w:szCs w:val="32"/>
          <w:lang w:val="zh-CN"/>
        </w:rPr>
        <w:t>5,634.23</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5,634.23</w:t>
      </w:r>
      <w:r>
        <w:rPr>
          <w:rFonts w:hint="eastAsia" w:ascii="仿宋_GB2312" w:eastAsia="仿宋_GB2312"/>
          <w:sz w:val="32"/>
          <w:szCs w:val="32"/>
        </w:rPr>
        <w:t>万元。</w:t>
      </w:r>
    </w:p>
    <w:p>
      <w:pPr>
        <w:ind w:firstLine="640" w:firstLineChars="200"/>
        <w:rPr>
          <w:rFonts w:hint="eastAsia" w:eastAsia="仿宋_GB2312" w:cs="仿宋_GB2312"/>
          <w:sz w:val="32"/>
          <w:szCs w:val="32"/>
          <w:lang w:val="zh-CN"/>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减少651.40万元</w:t>
      </w:r>
      <w:r>
        <w:rPr>
          <w:rFonts w:hint="eastAsia" w:ascii="仿宋_GB2312" w:eastAsia="仿宋_GB2312"/>
          <w:sz w:val="32"/>
          <w:szCs w:val="32"/>
        </w:rPr>
        <w:t>，下降10.36%,主要原因是：</w:t>
      </w:r>
      <w:r>
        <w:rPr>
          <w:rFonts w:hint="eastAsia" w:eastAsia="仿宋_GB2312" w:cs="仿宋_GB2312"/>
          <w:sz w:val="32"/>
          <w:szCs w:val="32"/>
          <w:highlight w:val="none"/>
        </w:rPr>
        <w:t>2023年</w:t>
      </w:r>
      <w:r>
        <w:rPr>
          <w:rFonts w:hint="eastAsia" w:eastAsia="仿宋_GB2312" w:cs="仿宋_GB2312"/>
          <w:sz w:val="32"/>
          <w:szCs w:val="32"/>
          <w:highlight w:val="none"/>
          <w:lang w:val="en-US" w:eastAsia="zh-CN"/>
        </w:rPr>
        <w:t>安排的</w:t>
      </w:r>
      <w:r>
        <w:rPr>
          <w:rFonts w:hint="eastAsia" w:eastAsia="仿宋_GB2312" w:cs="仿宋_GB2312"/>
          <w:sz w:val="32"/>
          <w:szCs w:val="32"/>
          <w:highlight w:val="none"/>
        </w:rPr>
        <w:t>乡村振兴项目</w:t>
      </w:r>
      <w:r>
        <w:rPr>
          <w:rFonts w:hint="eastAsia" w:eastAsia="仿宋_GB2312" w:cs="仿宋_GB2312"/>
          <w:sz w:val="32"/>
          <w:szCs w:val="32"/>
          <w:highlight w:val="none"/>
          <w:lang w:val="en-US" w:eastAsia="zh-CN"/>
        </w:rPr>
        <w:t>少，导致财政拨款收入的减少</w:t>
      </w:r>
      <w:r>
        <w:rPr>
          <w:rFonts w:hint="eastAsia" w:eastAsia="仿宋_GB2312" w:cs="仿宋_GB2312"/>
          <w:sz w:val="32"/>
          <w:szCs w:val="32"/>
          <w:lang w:val="zh-CN"/>
        </w:rPr>
        <w:t>。</w:t>
      </w:r>
      <w:r>
        <w:rPr>
          <w:rFonts w:hint="eastAsia" w:ascii="仿宋_GB2312" w:eastAsia="仿宋_GB2312"/>
          <w:sz w:val="32"/>
          <w:szCs w:val="32"/>
        </w:rPr>
        <w:t>与年初预算相比，年初预算数</w:t>
      </w:r>
      <w:r>
        <w:rPr>
          <w:rFonts w:hint="eastAsia" w:ascii="仿宋_GB2312" w:eastAsia="仿宋_GB2312"/>
          <w:sz w:val="32"/>
          <w:szCs w:val="32"/>
          <w:lang w:val="zh-CN"/>
        </w:rPr>
        <w:t>2,772.61</w:t>
      </w:r>
      <w:r>
        <w:rPr>
          <w:rFonts w:hint="eastAsia" w:ascii="仿宋_GB2312" w:eastAsia="仿宋_GB2312"/>
          <w:sz w:val="32"/>
          <w:szCs w:val="32"/>
        </w:rPr>
        <w:t>万元，决算数</w:t>
      </w:r>
      <w:r>
        <w:rPr>
          <w:rFonts w:hint="eastAsia" w:ascii="仿宋_GB2312" w:eastAsia="仿宋_GB2312"/>
          <w:sz w:val="32"/>
          <w:szCs w:val="32"/>
          <w:lang w:val="zh-CN"/>
        </w:rPr>
        <w:t>5,634.23</w:t>
      </w:r>
      <w:r>
        <w:rPr>
          <w:rFonts w:hint="eastAsia" w:ascii="仿宋_GB2312" w:eastAsia="仿宋_GB2312"/>
          <w:sz w:val="32"/>
          <w:szCs w:val="32"/>
        </w:rPr>
        <w:t>万元，预决算差异率103.21%，主要原因是：</w:t>
      </w:r>
      <w:bookmarkStart w:id="16" w:name="_Toc13833"/>
      <w:bookmarkStart w:id="17" w:name="_Toc20360"/>
      <w:r>
        <w:rPr>
          <w:rFonts w:hint="eastAsia" w:eastAsia="仿宋_GB2312" w:cs="仿宋_GB2312"/>
          <w:sz w:val="32"/>
          <w:szCs w:val="32"/>
        </w:rPr>
        <w:t>2023年</w:t>
      </w:r>
      <w:r>
        <w:rPr>
          <w:rFonts w:hint="eastAsia" w:eastAsia="仿宋_GB2312" w:cs="仿宋_GB2312"/>
          <w:sz w:val="32"/>
          <w:szCs w:val="32"/>
          <w:lang w:val="en-US" w:eastAsia="zh-CN"/>
        </w:rPr>
        <w:t>追加</w:t>
      </w:r>
      <w:r>
        <w:rPr>
          <w:rFonts w:hint="eastAsia" w:eastAsia="仿宋_GB2312" w:cs="仿宋_GB2312"/>
          <w:sz w:val="32"/>
          <w:szCs w:val="32"/>
        </w:rPr>
        <w:t>乡村振兴项目，村级阵地建设项目</w:t>
      </w:r>
      <w:r>
        <w:rPr>
          <w:rFonts w:hint="eastAsia" w:eastAsia="仿宋_GB2312" w:cs="仿宋_GB2312"/>
          <w:sz w:val="32"/>
          <w:szCs w:val="32"/>
          <w:lang w:val="zh-CN"/>
        </w:rPr>
        <w:t>。</w:t>
      </w:r>
    </w:p>
    <w:p>
      <w:pPr>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2023年度一般公共预算财政拨款支出5,624.23万元，占本年支出合计的</w:t>
      </w:r>
      <w:r>
        <w:rPr>
          <w:rFonts w:hint="eastAsia" w:ascii="仿宋_GB2312" w:eastAsia="仿宋_GB2312"/>
          <w:sz w:val="32"/>
          <w:szCs w:val="32"/>
          <w:lang w:val="zh-CN"/>
        </w:rPr>
        <w:t>99.82%</w:t>
      </w:r>
      <w:r>
        <w:rPr>
          <w:rFonts w:hint="eastAsia" w:ascii="仿宋_GB2312" w:eastAsia="仿宋_GB2312"/>
          <w:sz w:val="32"/>
          <w:szCs w:val="32"/>
        </w:rPr>
        <w:t>。与上年相比，</w:t>
      </w:r>
      <w:r>
        <w:rPr>
          <w:rFonts w:hint="eastAsia" w:ascii="仿宋_GB2312" w:eastAsia="仿宋_GB2312"/>
          <w:sz w:val="32"/>
          <w:szCs w:val="32"/>
          <w:lang w:val="zh-CN"/>
        </w:rPr>
        <w:t>减少661.39万元</w:t>
      </w:r>
      <w:r>
        <w:rPr>
          <w:rFonts w:hint="eastAsia" w:ascii="仿宋_GB2312" w:eastAsia="仿宋_GB2312"/>
          <w:sz w:val="32"/>
          <w:szCs w:val="32"/>
        </w:rPr>
        <w:t>，下降10.52%,主要原因是：乡村振兴项目资金减少。与年初预算相比，年初预算数</w:t>
      </w:r>
      <w:r>
        <w:rPr>
          <w:rFonts w:hint="eastAsia" w:ascii="仿宋_GB2312" w:eastAsia="仿宋_GB2312"/>
          <w:sz w:val="32"/>
          <w:szCs w:val="32"/>
          <w:lang w:val="zh-CN"/>
        </w:rPr>
        <w:t>2,771.03</w:t>
      </w:r>
      <w:r>
        <w:rPr>
          <w:rFonts w:hint="eastAsia" w:ascii="仿宋_GB2312" w:eastAsia="仿宋_GB2312"/>
          <w:sz w:val="32"/>
          <w:szCs w:val="32"/>
        </w:rPr>
        <w:t>万元，决算数</w:t>
      </w:r>
      <w:r>
        <w:rPr>
          <w:rFonts w:hint="eastAsia" w:ascii="仿宋_GB2312" w:eastAsia="仿宋_GB2312"/>
          <w:sz w:val="32"/>
          <w:szCs w:val="32"/>
          <w:lang w:val="zh-CN"/>
        </w:rPr>
        <w:t>5,624.23</w:t>
      </w:r>
      <w:r>
        <w:rPr>
          <w:rFonts w:hint="eastAsia" w:ascii="仿宋_GB2312" w:eastAsia="仿宋_GB2312"/>
          <w:sz w:val="32"/>
          <w:szCs w:val="32"/>
        </w:rPr>
        <w:t>万元，预决算差异率</w:t>
      </w:r>
      <w:r>
        <w:rPr>
          <w:rFonts w:hint="eastAsia" w:ascii="仿宋_GB2312" w:eastAsia="仿宋_GB2312"/>
          <w:sz w:val="32"/>
          <w:szCs w:val="32"/>
          <w:lang w:val="zh-CN"/>
        </w:rPr>
        <w:t>102.97%</w:t>
      </w:r>
      <w:r>
        <w:rPr>
          <w:rFonts w:hint="eastAsia" w:ascii="仿宋_GB2312" w:eastAsia="仿宋_GB2312"/>
          <w:sz w:val="32"/>
          <w:szCs w:val="32"/>
        </w:rPr>
        <w:t>，主要原因是：本年增加棉花目标价格补贴等惠民补贴资金列入为2023年部门决算。</w:t>
      </w:r>
    </w:p>
    <w:p>
      <w:pPr>
        <w:numPr>
          <w:ilvl w:val="0"/>
          <w:numId w:val="2"/>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2,192.95</w:t>
      </w:r>
      <w:r>
        <w:rPr>
          <w:rFonts w:ascii="仿宋_GB2312" w:eastAsia="仿宋_GB2312"/>
          <w:kern w:val="2"/>
          <w:sz w:val="32"/>
          <w:szCs w:val="32"/>
          <w:lang w:val="zh-CN"/>
        </w:rPr>
        <w:t>万元，占</w:t>
      </w:r>
      <w:r>
        <w:rPr>
          <w:rFonts w:hint="eastAsia" w:ascii="仿宋_GB2312" w:eastAsia="仿宋_GB2312"/>
          <w:kern w:val="2"/>
          <w:sz w:val="32"/>
          <w:szCs w:val="32"/>
          <w:lang w:val="zh-CN"/>
        </w:rPr>
        <w:t>38.99</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rPr>
      </w:pPr>
      <w:r>
        <w:rPr>
          <w:rFonts w:ascii="仿宋_GB2312" w:eastAsia="仿宋_GB2312"/>
          <w:kern w:val="2"/>
          <w:sz w:val="32"/>
          <w:szCs w:val="32"/>
        </w:rPr>
        <w:t>2.</w:t>
      </w:r>
      <w:r>
        <w:rPr>
          <w:rFonts w:ascii="仿宋_GB2312" w:eastAsia="仿宋_GB2312"/>
          <w:kern w:val="2"/>
          <w:sz w:val="32"/>
          <w:szCs w:val="32"/>
          <w:lang w:val="zh-CN"/>
        </w:rPr>
        <w:t>教育支出（类）</w:t>
      </w:r>
      <w:r>
        <w:rPr>
          <w:rFonts w:hint="eastAsia" w:ascii="仿宋_GB2312" w:eastAsia="仿宋_GB2312"/>
          <w:kern w:val="2"/>
          <w:sz w:val="32"/>
          <w:szCs w:val="32"/>
          <w:lang w:val="zh-CN"/>
        </w:rPr>
        <w:t>5.13</w:t>
      </w:r>
      <w:r>
        <w:rPr>
          <w:rFonts w:ascii="仿宋_GB2312" w:eastAsia="仿宋_GB2312"/>
          <w:kern w:val="2"/>
          <w:sz w:val="32"/>
          <w:szCs w:val="32"/>
          <w:lang w:val="zh-CN"/>
        </w:rPr>
        <w:t>万元，占</w:t>
      </w:r>
      <w:r>
        <w:rPr>
          <w:rFonts w:hint="eastAsia" w:ascii="仿宋_GB2312" w:eastAsia="仿宋_GB2312"/>
          <w:kern w:val="2"/>
          <w:sz w:val="32"/>
          <w:szCs w:val="32"/>
          <w:lang w:val="zh-CN"/>
        </w:rPr>
        <w:t>0.09</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3.文化旅游体育与传媒支出（类）</w:t>
      </w:r>
      <w:r>
        <w:rPr>
          <w:rFonts w:hint="eastAsia" w:ascii="仿宋_GB2312" w:eastAsia="仿宋_GB2312"/>
          <w:kern w:val="2"/>
          <w:sz w:val="32"/>
          <w:szCs w:val="32"/>
          <w:lang w:val="zh-CN"/>
        </w:rPr>
        <w:t>1.47</w:t>
      </w:r>
      <w:r>
        <w:rPr>
          <w:rFonts w:ascii="仿宋_GB2312" w:eastAsia="仿宋_GB2312"/>
          <w:kern w:val="2"/>
          <w:sz w:val="32"/>
          <w:szCs w:val="32"/>
          <w:lang w:val="zh-CN"/>
        </w:rPr>
        <w:t>万元，占</w:t>
      </w:r>
      <w:r>
        <w:rPr>
          <w:rFonts w:hint="eastAsia" w:ascii="仿宋_GB2312" w:eastAsia="仿宋_GB2312"/>
          <w:kern w:val="2"/>
          <w:sz w:val="32"/>
          <w:szCs w:val="32"/>
          <w:lang w:val="zh-CN"/>
        </w:rPr>
        <w:t>0.0</w:t>
      </w:r>
      <w:r>
        <w:rPr>
          <w:rFonts w:hint="eastAsia" w:ascii="仿宋_GB2312" w:eastAsia="仿宋_GB2312"/>
          <w:kern w:val="2"/>
          <w:sz w:val="32"/>
          <w:szCs w:val="32"/>
        </w:rPr>
        <w:t>2</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4.社会保障和就业支出（类）</w:t>
      </w:r>
      <w:r>
        <w:rPr>
          <w:rFonts w:hint="eastAsia" w:ascii="仿宋_GB2312" w:eastAsia="仿宋_GB2312"/>
          <w:kern w:val="2"/>
          <w:sz w:val="32"/>
          <w:szCs w:val="32"/>
          <w:lang w:val="zh-CN"/>
        </w:rPr>
        <w:t>219.97</w:t>
      </w:r>
      <w:r>
        <w:rPr>
          <w:rFonts w:ascii="仿宋_GB2312" w:eastAsia="仿宋_GB2312"/>
          <w:kern w:val="2"/>
          <w:sz w:val="32"/>
          <w:szCs w:val="32"/>
          <w:lang w:val="zh-CN"/>
        </w:rPr>
        <w:t>万元，占</w:t>
      </w:r>
      <w:r>
        <w:rPr>
          <w:rFonts w:hint="eastAsia" w:ascii="仿宋_GB2312" w:eastAsia="仿宋_GB2312"/>
          <w:kern w:val="2"/>
          <w:sz w:val="32"/>
          <w:szCs w:val="32"/>
          <w:lang w:val="zh-CN"/>
        </w:rPr>
        <w:t>3.91</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5.卫生健康支出（类）</w:t>
      </w:r>
      <w:r>
        <w:rPr>
          <w:rFonts w:hint="eastAsia" w:ascii="仿宋_GB2312" w:eastAsia="仿宋_GB2312"/>
          <w:kern w:val="2"/>
          <w:sz w:val="32"/>
          <w:szCs w:val="32"/>
          <w:lang w:val="zh-CN"/>
        </w:rPr>
        <w:t>78.05</w:t>
      </w:r>
      <w:r>
        <w:rPr>
          <w:rFonts w:ascii="仿宋_GB2312" w:eastAsia="仿宋_GB2312"/>
          <w:kern w:val="2"/>
          <w:sz w:val="32"/>
          <w:szCs w:val="32"/>
          <w:lang w:val="zh-CN"/>
        </w:rPr>
        <w:t>万元，占</w:t>
      </w:r>
      <w:r>
        <w:rPr>
          <w:rFonts w:hint="eastAsia" w:ascii="仿宋_GB2312" w:eastAsia="仿宋_GB2312"/>
          <w:kern w:val="2"/>
          <w:sz w:val="32"/>
          <w:szCs w:val="32"/>
          <w:lang w:val="zh-CN"/>
        </w:rPr>
        <w:t>1.39</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rPr>
        <w:t>6.</w:t>
      </w:r>
      <w:r>
        <w:rPr>
          <w:rFonts w:ascii="仿宋_GB2312" w:eastAsia="仿宋_GB2312"/>
          <w:kern w:val="2"/>
          <w:sz w:val="32"/>
          <w:szCs w:val="32"/>
          <w:lang w:val="zh-CN"/>
        </w:rPr>
        <w:t>农林水支出（类）</w:t>
      </w:r>
      <w:r>
        <w:rPr>
          <w:rFonts w:hint="eastAsia" w:ascii="仿宋_GB2312" w:eastAsia="仿宋_GB2312"/>
          <w:kern w:val="2"/>
          <w:sz w:val="32"/>
          <w:szCs w:val="32"/>
          <w:lang w:val="zh-CN"/>
        </w:rPr>
        <w:t>2,688.78</w:t>
      </w:r>
      <w:r>
        <w:rPr>
          <w:rFonts w:ascii="仿宋_GB2312" w:eastAsia="仿宋_GB2312"/>
          <w:kern w:val="2"/>
          <w:sz w:val="32"/>
          <w:szCs w:val="32"/>
          <w:lang w:val="zh-CN"/>
        </w:rPr>
        <w:t>万元，占</w:t>
      </w:r>
      <w:r>
        <w:rPr>
          <w:rFonts w:hint="eastAsia" w:ascii="仿宋_GB2312" w:eastAsia="仿宋_GB2312"/>
          <w:kern w:val="2"/>
          <w:sz w:val="32"/>
          <w:szCs w:val="32"/>
          <w:lang w:val="zh-CN"/>
        </w:rPr>
        <w:t>47.81</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7.住房保障支出（类）</w:t>
      </w:r>
      <w:r>
        <w:rPr>
          <w:rFonts w:hint="eastAsia" w:ascii="仿宋_GB2312" w:eastAsia="仿宋_GB2312"/>
          <w:kern w:val="2"/>
          <w:sz w:val="32"/>
          <w:szCs w:val="32"/>
          <w:lang w:val="zh-CN"/>
        </w:rPr>
        <w:t>87.69</w:t>
      </w:r>
      <w:r>
        <w:rPr>
          <w:rFonts w:ascii="仿宋_GB2312" w:eastAsia="仿宋_GB2312"/>
          <w:kern w:val="2"/>
          <w:sz w:val="32"/>
          <w:szCs w:val="32"/>
          <w:lang w:val="zh-CN"/>
        </w:rPr>
        <w:t>万元，占</w:t>
      </w:r>
      <w:r>
        <w:rPr>
          <w:rFonts w:hint="eastAsia" w:ascii="仿宋_GB2312" w:eastAsia="仿宋_GB2312"/>
          <w:kern w:val="2"/>
          <w:sz w:val="32"/>
          <w:szCs w:val="32"/>
          <w:lang w:val="zh-CN"/>
        </w:rPr>
        <w:t>1.56</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8.其他支出（类）</w:t>
      </w:r>
      <w:r>
        <w:rPr>
          <w:rFonts w:hint="eastAsia" w:ascii="仿宋_GB2312" w:eastAsia="仿宋_GB2312"/>
          <w:kern w:val="2"/>
          <w:sz w:val="32"/>
          <w:szCs w:val="32"/>
          <w:lang w:val="zh-CN"/>
        </w:rPr>
        <w:t>350.20</w:t>
      </w:r>
      <w:r>
        <w:rPr>
          <w:rFonts w:ascii="仿宋_GB2312" w:eastAsia="仿宋_GB2312"/>
          <w:kern w:val="2"/>
          <w:sz w:val="32"/>
          <w:szCs w:val="32"/>
          <w:lang w:val="zh-CN"/>
        </w:rPr>
        <w:t>万元，占</w:t>
      </w:r>
      <w:r>
        <w:rPr>
          <w:rFonts w:hint="eastAsia" w:ascii="仿宋_GB2312" w:eastAsia="仿宋_GB2312"/>
          <w:kern w:val="2"/>
          <w:sz w:val="32"/>
          <w:szCs w:val="32"/>
          <w:lang w:val="zh-CN"/>
        </w:rPr>
        <w:t>6.23</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sz w:val="32"/>
          <w:szCs w:val="32"/>
          <w:lang w:val="zh-CN"/>
        </w:rPr>
      </w:pPr>
      <w:r>
        <w:rPr>
          <w:rFonts w:hint="eastAsia" w:eastAsia="仿宋_GB2312"/>
          <w:sz w:val="32"/>
          <w:szCs w:val="32"/>
        </w:rPr>
        <w:t>1.一般公共服务支出（类）人大事务（款）代表工作（项）:支出决算数为0.50万元，比上年决算增加0.50万元，增长100%，主要原因是：本年人大代表开会及培训次数增加同时相应的经费支出增加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2.一般公共服务支出（类）人大事务（款）人大监督（项）:支出决算数为0.00万元，比上年决算减少1.00万元，下降100%，主要原因是：本年未安排此项经费</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3.一般公共服务支出（类）人大事务（款）其他人大事务支出（项）:支出决算数为0.00万元，比上年决算减少1.00万元，下降100%，主要原因是：本年未安排此项经费</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4.一般公共服务支出（类）政府办公厅（室）及相关机构事务（款）行政运行（项）:支出决算数为1,828.38万元，比上年决算增加547.52万元，增长42.75%，主要原因是：</w:t>
      </w:r>
      <w:r>
        <w:rPr>
          <w:rFonts w:hint="eastAsia" w:ascii="仿宋_GB2312" w:hAnsi="仿宋_GB2312" w:eastAsia="仿宋_GB2312" w:cs="仿宋_GB2312"/>
          <w:kern w:val="0"/>
          <w:sz w:val="32"/>
          <w:szCs w:val="32"/>
        </w:rPr>
        <w:t>增加</w:t>
      </w:r>
      <w:r>
        <w:rPr>
          <w:rFonts w:hint="eastAsia" w:ascii="仿宋_GB2312" w:eastAsia="仿宋_GB2312"/>
          <w:sz w:val="32"/>
          <w:szCs w:val="32"/>
        </w:rPr>
        <w:t>相应的机关运行经费及人员工资、增加相应的项目支出</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5.一般公共服务支出（类）政府办公厅（室）及相关机构事务（款）其他政府办公厅（室）及相关机构事务支出（项）:支出决算数为145.66万元，比上年决算增加85.75万元，增长143.14%，主要原因是：</w:t>
      </w:r>
      <w:r>
        <w:rPr>
          <w:rFonts w:hint="eastAsia" w:ascii="仿宋_GB2312" w:eastAsia="仿宋_GB2312"/>
          <w:sz w:val="32"/>
          <w:szCs w:val="32"/>
        </w:rPr>
        <w:t>相应的机关运行经费及人员工资</w:t>
      </w:r>
      <w:r>
        <w:rPr>
          <w:rFonts w:hint="eastAsia" w:ascii="仿宋_GB2312" w:hAnsi="仿宋_GB2312" w:eastAsia="仿宋_GB2312" w:cs="仿宋_GB2312"/>
          <w:kern w:val="0"/>
          <w:sz w:val="32"/>
          <w:szCs w:val="32"/>
        </w:rPr>
        <w:t>增加同时</w:t>
      </w:r>
      <w:r>
        <w:rPr>
          <w:rFonts w:hint="eastAsia" w:ascii="仿宋_GB2312" w:eastAsia="仿宋_GB2312"/>
          <w:sz w:val="32"/>
          <w:szCs w:val="32"/>
        </w:rPr>
        <w:t>相应的项目支出增加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6.一般公共服务支出（类）纪检监察事务（款）其他纪检监察事务支出（项）:支出决算数为1.50万元，比上年决算增加0.50万元，增长50.00%，主要原因是：本年对纪检监察事务支出的投入增加</w:t>
      </w:r>
      <w:r>
        <w:rPr>
          <w:rFonts w:hint="eastAsia" w:eastAsia="仿宋_GB2312"/>
          <w:sz w:val="32"/>
          <w:szCs w:val="32"/>
          <w:lang w:val="zh-CN"/>
        </w:rPr>
        <w:t>。</w:t>
      </w:r>
    </w:p>
    <w:p>
      <w:pPr>
        <w:ind w:firstLine="640" w:firstLineChars="200"/>
        <w:rPr>
          <w:rFonts w:ascii="仿宋_GB2312" w:eastAsia="仿宋_GB2312"/>
          <w:sz w:val="32"/>
          <w:szCs w:val="32"/>
        </w:rPr>
      </w:pPr>
      <w:r>
        <w:rPr>
          <w:rFonts w:hint="eastAsia" w:eastAsia="仿宋_GB2312"/>
          <w:sz w:val="32"/>
          <w:szCs w:val="32"/>
        </w:rPr>
        <w:t>7.一般公共服务支出（类）组织事务（款）其他组织事务支出（项）:支出决算数为216.90万元，比上年决算减少20.73万元，下降8.72%，主要原因是：本年</w:t>
      </w:r>
      <w:r>
        <w:rPr>
          <w:rFonts w:hint="eastAsia" w:ascii="仿宋_GB2312" w:hAnsi="仿宋_GB2312" w:eastAsia="仿宋_GB2312" w:cs="仿宋_GB2312"/>
          <w:kern w:val="0"/>
          <w:sz w:val="32"/>
          <w:szCs w:val="32"/>
        </w:rPr>
        <w:t>减少</w:t>
      </w:r>
      <w:r>
        <w:rPr>
          <w:rFonts w:hint="eastAsia" w:ascii="仿宋_GB2312" w:eastAsia="仿宋_GB2312"/>
          <w:sz w:val="32"/>
          <w:szCs w:val="32"/>
        </w:rPr>
        <w:t>机关及社区运行费用同时相应的经费支出减少。</w:t>
      </w:r>
    </w:p>
    <w:p>
      <w:pPr>
        <w:ind w:firstLine="640" w:firstLineChars="200"/>
        <w:rPr>
          <w:rFonts w:ascii="仿宋_GB2312" w:eastAsia="仿宋_GB2312"/>
          <w:sz w:val="32"/>
          <w:szCs w:val="32"/>
        </w:rPr>
      </w:pPr>
      <w:r>
        <w:rPr>
          <w:rFonts w:hint="eastAsia" w:eastAsia="仿宋_GB2312"/>
          <w:sz w:val="32"/>
          <w:szCs w:val="32"/>
        </w:rPr>
        <w:t>8.国防支出（类）国防动员（款）民兵（项）:支出决算数为0.00万元，比上年决算减少7.84万元，下降100%，主要原因是：本年未安排此项经费</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9.教育支出（类）进修及培训（款）培训支出（项）:支出决算数为5.13万元，比上年决算增加2.97万元，增长137.5%，主要原因是：本年人员参加培训次数增加，因此增加相应的培训支出</w:t>
      </w:r>
      <w:r>
        <w:rPr>
          <w:rFonts w:hint="eastAsia" w:eastAsia="仿宋_GB2312"/>
          <w:sz w:val="32"/>
          <w:szCs w:val="32"/>
          <w:lang w:val="zh-CN"/>
        </w:rPr>
        <w:t>。</w:t>
      </w:r>
    </w:p>
    <w:p>
      <w:pPr>
        <w:ind w:firstLine="640" w:firstLineChars="200"/>
        <w:rPr>
          <w:rFonts w:eastAsia="仿宋_GB2312"/>
          <w:sz w:val="32"/>
          <w:szCs w:val="32"/>
        </w:rPr>
      </w:pPr>
      <w:r>
        <w:rPr>
          <w:rFonts w:hint="eastAsia" w:eastAsia="仿宋_GB2312"/>
          <w:sz w:val="32"/>
          <w:szCs w:val="32"/>
        </w:rPr>
        <w:t>10.文化旅游体育与传媒支出（类）文化和旅游（款）其他文化和旅游支出（项）:支出决算数为1.47万元，比上年决算减少21.81万元，下降93.70%，主要原因是：本年减少文化活动安排次数减少。</w:t>
      </w:r>
    </w:p>
    <w:p>
      <w:pPr>
        <w:ind w:firstLine="640" w:firstLineChars="200"/>
        <w:rPr>
          <w:rFonts w:eastAsia="仿宋_GB2312"/>
          <w:sz w:val="32"/>
          <w:szCs w:val="32"/>
        </w:rPr>
      </w:pPr>
      <w:r>
        <w:rPr>
          <w:rFonts w:hint="eastAsia" w:eastAsia="仿宋_GB2312"/>
          <w:sz w:val="32"/>
          <w:szCs w:val="32"/>
        </w:rPr>
        <w:t>11.文化旅游体育与传媒支出（类）其他文化旅游体育与传媒支出（款）其他文化旅游体育与传媒支出（项）:支出决算数为0.00万元，比上年决算减少1.03万元，下降100%，主要原因是：本年未安排此项经费</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12.社会保障和就业支出（类）行政事业单位养老支出（款）行政单位离退休（项）:支出决算数为16.49万元，比上年决算增加6.29万元，增长61.67%，主要原因是：本年新增退休人员增加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13.社会保障和就业支出（类）行政事业单位养老支出（款）机关事业单位基本养老保险缴费支出（项）:支出决算数为135.16万元，比上年决算增加21.49万元，增长18.91%，主要原因是：本年增加事业编制人员数量，因此增加相应的养老保险支出</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14.社会保障和就业支出（类）行政事业单位养老支出（款）机关事业单位职业年金缴费支出（项）:支出决算数为13.21万元，比上年决算减少1.00万元，下降7.04%，主要原因是：本年2名人员12月份退休，影响机关事业单位职业年金按申请资金程序，减少机关事业单位职业年金缴费支出</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15.社会保障和就业支出（类）就业补助（款）公益性岗位补贴（项）:支出决算数为55.12万元，比上年决算减少344.97万元，下降86.22%，主要原因是：本年辞职的公益性岗位人员较多，工资及医疗社保等相应经费减少</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16.卫生健康支出（类）行政事业单位医疗（款）行政单位医疗（项）:支出决算数为68.30万元，比上年决算增加8.38万元，增长13.98%，主要原因是：本年在职在编人员工资增加同时相应的行政单位医疗社保支出增加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17.卫生健康支出（类）行政事业单位医疗（款）公务员医疗补助（项）:支出决算数为9.75万元，比上年决算减少1.25万元，下降11.35%，主要原因是：本年减少在职公务员数量，因此减少相应的公务员医疗补助支出</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18.卫生健康支出（类）公共卫生（款）突发公共卫生事件应急处理（项）:支出决算数为0.00万元，比上年决算减少75.69万元，下降100%，主要原因是：本年未安排此项经费</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19.卫生健康支出（类）计划生育事务（款）其他计划生育事务支出（项）:支出决算数为0.00万元，比上年决算减少24.88万元，下降100%，主要原因是：本年未安排此项经费</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20.节能环保支出（类）环境保护管理事务（款）其他环境保护管理事务支出（项）:支出决算数为0.00万元，比上年决算减少37.13万元，下降100%，主要原因是：本年未安排此项经费</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21.农林水支出（类）巩固脱贫攻坚成果衔接乡村振兴（款）生产发展（项）:支出决算数为145.00万元，比上年决算减少2,945.90万元，下降95.31%，主要原因是：本年乡村振兴项目减少</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22.农林水支出（类）巩固脱贫攻坚成果衔接乡村振兴（款）其他巩固脱贫攻坚成果衔接乡村振兴支出（项）:支出决算数为24.90万元，比上年决算增加24.90万元，增长100%，主要原因是：本年特设岗及乡村振兴工作人员生活补助等乡村振兴项目资金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23.农林水支出（类）农村综合改革（款）对村民委员会和村党支部的补助（项）:支出决算数为250.48万元，比上年决算减少57.08万元，下降18.56%，主要原因是：本年村干部及村民小组干部减少相应的经费支出减少</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24.农林水支出（类）目标价格补贴（款）棉花目标价格补贴（项）:支出决算数为2,268.41万元，比上年决算增加2,268.41万元，增长100%，主要原因是：本年新增棉花目标价格补贴，因此增加相应的补贴资金</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25.农林水支出（类）农业农村（款）事业运行（项）:支出决算数为0.00万元，比上年决算减少207.43万元，下降100%，主要原因是：本年未安排此项经费</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26.农林水支出（类）农村综合改革（款）国有农场办社会职能改革补助（项）:支出决算数为0.00万元，比上年决算减少232.00万元，下降100%，主要原因是：本年未安排此项经费</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27.住房保障支出（类）住房改革支出（款）住房公积金（项）:支出决算数为87.69万元，比上年决算增加2.44万元，增长2.86%，主要原因是：本年在职人员工资增加，因此增加相应的住房公积金支出</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28.其他支出（类）其他支出（款）其他支出（项）:支出决算数为350.20万元，比上年决算增加350.20万元，增长100%，主要原因是：本年新增</w:t>
      </w:r>
      <w:r>
        <w:rPr>
          <w:rFonts w:hint="eastAsia" w:ascii="仿宋_GB2312" w:eastAsia="仿宋_GB2312"/>
          <w:sz w:val="32"/>
          <w:szCs w:val="32"/>
        </w:rPr>
        <w:t>中央基建建设项目资金</w:t>
      </w:r>
      <w:r>
        <w:rPr>
          <w:rFonts w:hint="eastAsia" w:eastAsia="仿宋_GB2312"/>
          <w:sz w:val="32"/>
          <w:szCs w:val="32"/>
          <w:lang w:val="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2,736.29万元，其中：人员经费2,454.48万元，包括：基本工资、津贴补贴、奖金、机关事业单位基本养老保险缴费、职业年金缴费、职工基本医疗保险缴费、公务员医疗补助缴费、其他社会保障缴费、住房公积金、医疗费、其他工资福利支出、退休费、生活补助。</w:t>
      </w:r>
    </w:p>
    <w:p>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公用经费281.82万元，包括：办公费、水费、电费、邮电费、取暖费、租赁费、培训费、劳务费、工会经费、公务用车运行维护费、其他商品和服务支出。</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“三公”经费支出8.59万元，</w:t>
      </w:r>
      <w:r>
        <w:rPr>
          <w:rFonts w:hint="eastAsia" w:ascii="仿宋_GB2312" w:eastAsia="仿宋_GB2312"/>
          <w:sz w:val="32"/>
          <w:szCs w:val="32"/>
        </w:rPr>
        <w:t>比上年</w:t>
      </w:r>
      <w:r>
        <w:rPr>
          <w:rFonts w:hint="eastAsia" w:ascii="仿宋_GB2312" w:eastAsia="仿宋_GB2312"/>
          <w:sz w:val="32"/>
          <w:szCs w:val="32"/>
          <w:lang w:val="zh-CN"/>
        </w:rPr>
        <w:t>减少3.41万元，</w:t>
      </w:r>
      <w:r>
        <w:rPr>
          <w:rFonts w:hint="eastAsia" w:ascii="仿宋_GB2312" w:eastAsia="仿宋_GB2312"/>
          <w:sz w:val="32"/>
          <w:szCs w:val="32"/>
        </w:rPr>
        <w:t>下降</w:t>
      </w:r>
      <w:r>
        <w:rPr>
          <w:rFonts w:hint="eastAsia"/>
          <w:sz w:val="32"/>
          <w:szCs w:val="32"/>
        </w:rPr>
        <w:t>28.42%</w:t>
      </w:r>
      <w:r>
        <w:rPr>
          <w:rFonts w:hint="eastAsia" w:ascii="仿宋_GB2312" w:eastAsia="仿宋_GB2312"/>
          <w:sz w:val="32"/>
          <w:szCs w:val="32"/>
        </w:rPr>
        <w:t>,</w:t>
      </w:r>
      <w:r>
        <w:rPr>
          <w:rFonts w:hint="eastAsia" w:ascii="仿宋_GB2312" w:eastAsia="仿宋_GB2312"/>
          <w:sz w:val="32"/>
          <w:szCs w:val="32"/>
          <w:lang w:val="zh-CN"/>
        </w:rPr>
        <w:t>主要原因是：</w:t>
      </w:r>
      <w:r>
        <w:rPr>
          <w:rFonts w:hint="eastAsia" w:ascii="仿宋_GB2312" w:eastAsia="仿宋_GB2312"/>
          <w:sz w:val="32"/>
          <w:szCs w:val="32"/>
        </w:rPr>
        <w:t>为“过紧日子”，减少公务车辆燃料费及维修费</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主要原因是：我单位无因公出国（境）费支出；公务用车购置及运行维护费支出8.59万元，占100.00%，比上年减少3.41万元，</w:t>
      </w:r>
      <w:r>
        <w:rPr>
          <w:rFonts w:hint="eastAsia" w:ascii="仿宋_GB2312" w:eastAsia="仿宋_GB2312"/>
          <w:sz w:val="32"/>
          <w:szCs w:val="32"/>
        </w:rPr>
        <w:t>下降28.42%,</w:t>
      </w:r>
      <w:r>
        <w:rPr>
          <w:rFonts w:hint="eastAsia" w:ascii="仿宋_GB2312" w:eastAsia="仿宋_GB2312"/>
          <w:sz w:val="32"/>
          <w:szCs w:val="32"/>
          <w:lang w:val="zh-CN"/>
        </w:rPr>
        <w:t>主要原因是：</w:t>
      </w:r>
      <w:r>
        <w:rPr>
          <w:rFonts w:hint="eastAsia" w:ascii="仿宋_GB2312" w:eastAsia="仿宋_GB2312"/>
          <w:sz w:val="32"/>
          <w:szCs w:val="32"/>
        </w:rPr>
        <w:t>为“过紧日子”，减少公务车辆燃料费及维修费</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主要原因是：我单位无公务接待费</w:t>
      </w:r>
      <w:r>
        <w:rPr>
          <w:rFonts w:hint="eastAsia" w:ascii="仿宋_GB2312" w:eastAsia="仿宋_GB2312"/>
          <w:sz w:val="32"/>
          <w:szCs w:val="32"/>
          <w:lang w:val="en-US" w:eastAsia="zh-CN"/>
        </w:rPr>
        <w:t>支出</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因公出国（境）费支出0.00万元，开支内容包括：我单位无因公出国（境）费。单位全年安排的因公出国（境）团组0个，因公出国（境）0人次。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公务用车购置及运行维护费8.59万元，其中：公务用车购置费0.00万元，公务用车运行维护费8.59万元。公务用车运行维护费开支内容包括</w:t>
      </w:r>
      <w:r>
        <w:rPr>
          <w:rFonts w:hint="eastAsia" w:ascii="仿宋_GB2312" w:eastAsia="仿宋_GB2312"/>
          <w:sz w:val="32"/>
          <w:szCs w:val="32"/>
        </w:rPr>
        <w:t>公务车辆燃油费及公务车辆维修费</w:t>
      </w:r>
      <w:r>
        <w:rPr>
          <w:rFonts w:hint="eastAsia" w:ascii="仿宋_GB2312" w:eastAsia="仿宋_GB2312"/>
          <w:sz w:val="32"/>
          <w:szCs w:val="32"/>
          <w:lang w:val="zh-CN"/>
        </w:rPr>
        <w:t>。公务用车购置数0辆，公务用车保有量32辆。国有资产占用情况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32辆，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原因是：国有资产占用情况</w:t>
      </w:r>
      <w:r>
        <w:rPr>
          <w:rFonts w:hint="eastAsia" w:ascii="仿宋_GB2312" w:eastAsia="仿宋_GB2312"/>
          <w:sz w:val="32"/>
          <w:szCs w:val="32"/>
        </w:rPr>
        <w:t>中固定资产车辆与</w:t>
      </w:r>
      <w:r>
        <w:rPr>
          <w:rFonts w:hint="eastAsia" w:ascii="仿宋_GB2312" w:eastAsia="仿宋_GB2312"/>
          <w:sz w:val="32"/>
          <w:szCs w:val="32"/>
          <w:lang w:val="zh-CN"/>
        </w:rPr>
        <w:t>公务用车</w:t>
      </w:r>
      <w:r>
        <w:rPr>
          <w:rFonts w:hint="eastAsia" w:ascii="仿宋_GB2312" w:eastAsia="仿宋_GB2312"/>
          <w:sz w:val="32"/>
          <w:szCs w:val="32"/>
        </w:rPr>
        <w:t>保有量</w:t>
      </w:r>
      <w:r>
        <w:rPr>
          <w:rFonts w:hint="eastAsia" w:ascii="仿宋_GB2312" w:eastAsia="仿宋_GB2312"/>
          <w:sz w:val="32"/>
          <w:szCs w:val="32"/>
          <w:lang w:val="en-US" w:eastAsia="zh-CN"/>
        </w:rPr>
        <w:t>保持一致</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我单位无公务接待</w:t>
      </w:r>
      <w:r>
        <w:rPr>
          <w:rFonts w:hint="eastAsia" w:ascii="仿宋_GB2312" w:eastAsia="仿宋_GB2312"/>
          <w:sz w:val="32"/>
          <w:szCs w:val="32"/>
          <w:lang w:val="zh-CN"/>
        </w:rPr>
        <w:t>。单位全年安排的国内公务接待0批次，0人次。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预算数8.59万元，决算数8.59万元，预决算差异率0.00%，主要原因是：预决算一致无差异。其中：因公出国（境）费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0.00万元，决算数0.00万元，预决算差异率0.00%，主要原因是：我单位无因公出国（境）费，预决算一致无差异；公务用车购置费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预算数0.00万元，决算数0.00万元，预决算差异率0.00%，主要原因是：我单位无公务用车购置费，预决算一致无差异；公务用车运行费</w:t>
      </w:r>
      <w:r>
        <w:rPr>
          <w:rFonts w:hint="eastAsia" w:ascii="仿宋_GB2312" w:eastAsia="仿宋_GB2312"/>
          <w:sz w:val="32"/>
          <w:szCs w:val="32"/>
        </w:rPr>
        <w:t>全年</w:t>
      </w:r>
      <w:r>
        <w:rPr>
          <w:rFonts w:hint="eastAsia" w:ascii="仿宋_GB2312" w:eastAsia="仿宋_GB2312"/>
          <w:sz w:val="32"/>
          <w:szCs w:val="32"/>
          <w:lang w:val="zh-CN"/>
        </w:rPr>
        <w:t>预算数8.59万元，决算数8.59万元，预决算差异率0.00%，主要原因是：</w:t>
      </w:r>
      <w:r>
        <w:rPr>
          <w:rFonts w:hint="eastAsia" w:ascii="仿宋_GB2312" w:eastAsia="仿宋_GB2312"/>
          <w:sz w:val="32"/>
          <w:szCs w:val="32"/>
        </w:rPr>
        <w:t>预决算一致无差异</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预算数0.00万元，决算数0.00万元，预决算差异率0.00%，主要原因是：我单位无公务接待费，预决算一致无差异。</w:t>
      </w:r>
    </w:p>
    <w:p>
      <w:pPr>
        <w:ind w:firstLine="640" w:firstLineChars="200"/>
        <w:jc w:val="left"/>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eastAsia="仿宋_GB2312"/>
          <w:sz w:val="32"/>
          <w:szCs w:val="32"/>
          <w:lang w:val="zh-CN"/>
        </w:rPr>
      </w:pPr>
      <w:r>
        <w:rPr>
          <w:rFonts w:hint="eastAsia" w:eastAsia="仿宋_GB2312"/>
          <w:sz w:val="32"/>
          <w:szCs w:val="32"/>
          <w:lang w:val="zh-CN"/>
        </w:rPr>
        <w:t>2023年度政府性基金预算</w:t>
      </w:r>
      <w:r>
        <w:rPr>
          <w:rFonts w:hint="eastAsia" w:eastAsia="仿宋_GB2312"/>
          <w:sz w:val="32"/>
          <w:szCs w:val="32"/>
        </w:rPr>
        <w:t>财政拨款</w:t>
      </w:r>
      <w:r>
        <w:rPr>
          <w:rFonts w:hint="eastAsia" w:eastAsia="仿宋_GB2312"/>
          <w:sz w:val="32"/>
          <w:szCs w:val="32"/>
          <w:lang w:val="zh-CN"/>
        </w:rPr>
        <w:t>收入</w:t>
      </w:r>
      <w:r>
        <w:rPr>
          <w:rFonts w:hint="eastAsia" w:eastAsia="仿宋_GB2312"/>
          <w:sz w:val="32"/>
          <w:szCs w:val="32"/>
        </w:rPr>
        <w:t>总计0.00</w:t>
      </w:r>
      <w:r>
        <w:rPr>
          <w:rFonts w:hint="eastAsia" w:eastAsia="仿宋_GB2312"/>
          <w:sz w:val="32"/>
          <w:szCs w:val="32"/>
          <w:lang w:val="zh-CN"/>
        </w:rPr>
        <w:t>万元，</w:t>
      </w:r>
      <w:r>
        <w:rPr>
          <w:rFonts w:hint="eastAsia" w:eastAsia="仿宋_GB2312"/>
          <w:sz w:val="32"/>
          <w:szCs w:val="32"/>
        </w:rPr>
        <w:t>其中：年初结转和结余0.00</w:t>
      </w:r>
      <w:r>
        <w:rPr>
          <w:rFonts w:hint="eastAsia" w:eastAsia="仿宋_GB2312"/>
          <w:sz w:val="32"/>
          <w:szCs w:val="32"/>
          <w:lang w:val="zh-CN"/>
        </w:rPr>
        <w:t>万元，</w:t>
      </w:r>
      <w:r>
        <w:rPr>
          <w:rFonts w:hint="eastAsia" w:eastAsia="仿宋_GB2312"/>
          <w:sz w:val="32"/>
          <w:szCs w:val="32"/>
        </w:rPr>
        <w:t>本年收入0.00</w:t>
      </w:r>
      <w:r>
        <w:rPr>
          <w:rFonts w:hint="eastAsia" w:eastAsia="仿宋_GB2312"/>
          <w:sz w:val="32"/>
          <w:szCs w:val="32"/>
          <w:lang w:val="zh-CN"/>
        </w:rPr>
        <w:t>万元。政府性基金预算财政拨款支出</w:t>
      </w:r>
      <w:r>
        <w:rPr>
          <w:rFonts w:hint="eastAsia" w:eastAsia="仿宋_GB2312"/>
          <w:sz w:val="32"/>
          <w:szCs w:val="32"/>
        </w:rPr>
        <w:t>总计0.00</w:t>
      </w:r>
      <w:r>
        <w:rPr>
          <w:rFonts w:hint="eastAsia" w:eastAsia="仿宋_GB2312"/>
          <w:sz w:val="32"/>
          <w:szCs w:val="32"/>
          <w:lang w:val="zh-CN"/>
        </w:rPr>
        <w:t>万元，</w:t>
      </w:r>
      <w:r>
        <w:rPr>
          <w:rFonts w:hint="eastAsia" w:eastAsia="仿宋_GB2312"/>
          <w:sz w:val="32"/>
          <w:szCs w:val="32"/>
        </w:rPr>
        <w:t>其中：年末结转和结余0.00</w:t>
      </w:r>
      <w:r>
        <w:rPr>
          <w:rFonts w:hint="eastAsia" w:eastAsia="仿宋_GB2312"/>
          <w:sz w:val="32"/>
          <w:szCs w:val="32"/>
          <w:lang w:val="zh-CN"/>
        </w:rPr>
        <w:t>万元，</w:t>
      </w:r>
      <w:r>
        <w:rPr>
          <w:rFonts w:hint="eastAsia" w:eastAsia="仿宋_GB2312"/>
          <w:sz w:val="32"/>
          <w:szCs w:val="32"/>
        </w:rPr>
        <w:t>本年支出0.00</w:t>
      </w:r>
      <w:r>
        <w:rPr>
          <w:rFonts w:hint="eastAsia" w:eastAsia="仿宋_GB2312"/>
          <w:sz w:val="32"/>
          <w:szCs w:val="32"/>
          <w:lang w:val="zh-CN"/>
        </w:rPr>
        <w:t>万元。</w:t>
      </w:r>
    </w:p>
    <w:p>
      <w:pPr>
        <w:ind w:firstLine="640" w:firstLineChars="200"/>
        <w:rPr>
          <w:rFonts w:eastAsia="仿宋_GB2312"/>
          <w:sz w:val="32"/>
          <w:szCs w:val="32"/>
          <w:lang w:val="zh-CN"/>
        </w:rPr>
      </w:pPr>
      <w:r>
        <w:rPr>
          <w:rFonts w:hint="eastAsia" w:eastAsia="仿宋_GB2312"/>
          <w:sz w:val="32"/>
          <w:szCs w:val="32"/>
          <w:lang w:val="zh-CN"/>
        </w:rPr>
        <w:t>政府性基金预算财政拨款</w:t>
      </w:r>
      <w:r>
        <w:rPr>
          <w:rFonts w:hint="eastAsia" w:eastAsia="仿宋_GB2312"/>
          <w:sz w:val="32"/>
          <w:szCs w:val="32"/>
        </w:rPr>
        <w:t>收入支出</w:t>
      </w:r>
      <w:r>
        <w:rPr>
          <w:rFonts w:hint="eastAsia" w:eastAsia="仿宋_GB2312"/>
          <w:sz w:val="32"/>
          <w:szCs w:val="32"/>
          <w:lang w:val="zh-CN"/>
        </w:rPr>
        <w:t>与上年相比，增加0.00万元</w:t>
      </w:r>
      <w:r>
        <w:rPr>
          <w:rFonts w:hint="eastAsia" w:eastAsia="仿宋_GB2312"/>
          <w:sz w:val="32"/>
          <w:szCs w:val="32"/>
        </w:rPr>
        <w:t>,</w:t>
      </w:r>
      <w:r>
        <w:rPr>
          <w:rFonts w:hint="eastAsia" w:eastAsia="仿宋_GB2312"/>
          <w:sz w:val="32"/>
          <w:szCs w:val="32"/>
          <w:lang w:val="zh-CN"/>
        </w:rPr>
        <w:t>增长0.00%</w:t>
      </w:r>
      <w:r>
        <w:rPr>
          <w:rFonts w:hint="eastAsia" w:eastAsia="仿宋_GB2312"/>
          <w:sz w:val="32"/>
          <w:szCs w:val="32"/>
        </w:rPr>
        <w:t>,</w:t>
      </w:r>
      <w:r>
        <w:rPr>
          <w:rFonts w:hint="eastAsia" w:eastAsia="仿宋_GB2312"/>
          <w:sz w:val="32"/>
          <w:szCs w:val="32"/>
          <w:lang w:val="zh-CN"/>
        </w:rPr>
        <w:t>主要原因是：我单位本年度无政府性基金预算财政拨款收入、支出及结转和结余，政府性基金预算财政拨款收入支出决算表为空表。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w:t>
      </w:r>
      <w:bookmarkStart w:id="49" w:name="_GoBack"/>
      <w:bookmarkEnd w:id="49"/>
      <w:r>
        <w:rPr>
          <w:rFonts w:hint="eastAsia" w:ascii="黑体" w:hAnsi="黑体" w:eastAsia="黑体" w:cs="宋体"/>
          <w:bCs/>
          <w:kern w:val="0"/>
          <w:sz w:val="32"/>
          <w:szCs w:val="32"/>
        </w:rPr>
        <w:t>明</w:t>
      </w:r>
    </w:p>
    <w:p>
      <w:pPr>
        <w:ind w:firstLine="640" w:firstLineChars="200"/>
        <w:jc w:val="left"/>
        <w:rPr>
          <w:rFonts w:eastAsia="仿宋_GB2312"/>
          <w:sz w:val="32"/>
          <w:szCs w:val="32"/>
          <w:lang w:val="zh-CN"/>
        </w:rPr>
      </w:pPr>
      <w:r>
        <w:rPr>
          <w:rFonts w:hint="eastAsia" w:eastAsia="仿宋_GB2312"/>
          <w:sz w:val="32"/>
          <w:szCs w:val="32"/>
          <w:lang w:val="zh-CN"/>
        </w:rPr>
        <w:t>2023年度国有资本经营预算</w:t>
      </w:r>
      <w:r>
        <w:rPr>
          <w:rFonts w:hint="eastAsia" w:eastAsia="仿宋_GB2312"/>
          <w:sz w:val="32"/>
          <w:szCs w:val="32"/>
        </w:rPr>
        <w:t>财政拨款</w:t>
      </w:r>
      <w:r>
        <w:rPr>
          <w:rFonts w:hint="eastAsia" w:eastAsia="仿宋_GB2312"/>
          <w:sz w:val="32"/>
          <w:szCs w:val="32"/>
          <w:lang w:val="zh-CN"/>
        </w:rPr>
        <w:t>收入</w:t>
      </w:r>
      <w:r>
        <w:rPr>
          <w:rFonts w:hint="eastAsia" w:eastAsia="仿宋_GB2312"/>
          <w:sz w:val="32"/>
          <w:szCs w:val="32"/>
        </w:rPr>
        <w:t>总计9.99</w:t>
      </w:r>
      <w:r>
        <w:rPr>
          <w:rFonts w:hint="eastAsia" w:eastAsia="仿宋_GB2312"/>
          <w:sz w:val="32"/>
          <w:szCs w:val="32"/>
          <w:lang w:val="zh-CN"/>
        </w:rPr>
        <w:t>万元，</w:t>
      </w:r>
      <w:r>
        <w:rPr>
          <w:rFonts w:hint="eastAsia" w:eastAsia="仿宋_GB2312"/>
          <w:sz w:val="32"/>
          <w:szCs w:val="32"/>
        </w:rPr>
        <w:t>其中：年初结转和结余</w:t>
      </w:r>
      <w:r>
        <w:rPr>
          <w:rFonts w:hint="eastAsia" w:eastAsia="仿宋_GB2312"/>
          <w:sz w:val="32"/>
          <w:szCs w:val="32"/>
          <w:lang w:val="zh-CN"/>
        </w:rPr>
        <w:t>0.00万元，</w:t>
      </w:r>
      <w:r>
        <w:rPr>
          <w:rFonts w:hint="eastAsia" w:eastAsia="仿宋_GB2312"/>
          <w:sz w:val="32"/>
          <w:szCs w:val="32"/>
        </w:rPr>
        <w:t>本年收入</w:t>
      </w:r>
      <w:r>
        <w:rPr>
          <w:rFonts w:hint="eastAsia" w:eastAsia="仿宋_GB2312"/>
          <w:sz w:val="32"/>
          <w:szCs w:val="32"/>
          <w:lang w:val="zh-CN"/>
        </w:rPr>
        <w:t>9.99万元。国有资本经营预算财政拨款支出</w:t>
      </w:r>
      <w:r>
        <w:rPr>
          <w:rFonts w:hint="eastAsia" w:eastAsia="仿宋_GB2312"/>
          <w:sz w:val="32"/>
          <w:szCs w:val="32"/>
        </w:rPr>
        <w:t>总计9.99</w:t>
      </w:r>
      <w:r>
        <w:rPr>
          <w:rFonts w:hint="eastAsia" w:eastAsia="仿宋_GB2312"/>
          <w:sz w:val="32"/>
          <w:szCs w:val="32"/>
          <w:lang w:val="zh-CN"/>
        </w:rPr>
        <w:t>万元，</w:t>
      </w:r>
      <w:r>
        <w:rPr>
          <w:rFonts w:hint="eastAsia" w:eastAsia="仿宋_GB2312"/>
          <w:sz w:val="32"/>
          <w:szCs w:val="32"/>
        </w:rPr>
        <w:t>其中：年末结转和结余</w:t>
      </w:r>
      <w:r>
        <w:rPr>
          <w:rFonts w:hint="eastAsia" w:eastAsia="仿宋_GB2312"/>
          <w:sz w:val="32"/>
          <w:szCs w:val="32"/>
          <w:lang w:val="zh-CN"/>
        </w:rPr>
        <w:t>0.00万元，</w:t>
      </w:r>
      <w:r>
        <w:rPr>
          <w:rFonts w:hint="eastAsia" w:eastAsia="仿宋_GB2312"/>
          <w:sz w:val="32"/>
          <w:szCs w:val="32"/>
        </w:rPr>
        <w:t>本年支出</w:t>
      </w:r>
      <w:r>
        <w:rPr>
          <w:rFonts w:hint="eastAsia" w:eastAsia="仿宋_GB2312"/>
          <w:sz w:val="32"/>
          <w:szCs w:val="32"/>
          <w:lang w:val="zh-CN"/>
        </w:rPr>
        <w:t>9.99万元。</w:t>
      </w:r>
    </w:p>
    <w:p>
      <w:pPr>
        <w:ind w:firstLine="640" w:firstLineChars="200"/>
        <w:rPr>
          <w:rFonts w:eastAsia="仿宋_GB2312"/>
          <w:sz w:val="32"/>
          <w:szCs w:val="32"/>
          <w:lang w:val="zh-CN"/>
        </w:rPr>
      </w:pPr>
      <w:r>
        <w:rPr>
          <w:rFonts w:hint="eastAsia" w:eastAsia="仿宋_GB2312"/>
          <w:sz w:val="32"/>
          <w:szCs w:val="32"/>
          <w:lang w:val="zh-CN"/>
        </w:rPr>
        <w:t>国有资本经营预算财政拨款</w:t>
      </w:r>
      <w:r>
        <w:rPr>
          <w:rFonts w:hint="eastAsia" w:eastAsia="仿宋_GB2312"/>
          <w:sz w:val="32"/>
          <w:szCs w:val="32"/>
        </w:rPr>
        <w:t>收入支出</w:t>
      </w:r>
      <w:r>
        <w:rPr>
          <w:rFonts w:hint="eastAsia" w:eastAsia="仿宋_GB2312"/>
          <w:sz w:val="32"/>
          <w:szCs w:val="32"/>
          <w:lang w:val="zh-CN"/>
        </w:rPr>
        <w:t>与上年相比，增加9.99万元</w:t>
      </w:r>
      <w:r>
        <w:rPr>
          <w:rFonts w:hint="eastAsia" w:eastAsia="仿宋_GB2312"/>
          <w:sz w:val="32"/>
          <w:szCs w:val="32"/>
        </w:rPr>
        <w:t>,</w:t>
      </w:r>
      <w:r>
        <w:rPr>
          <w:rFonts w:hint="eastAsia" w:eastAsia="仿宋_GB2312"/>
          <w:sz w:val="32"/>
          <w:szCs w:val="32"/>
          <w:lang w:val="zh-CN"/>
        </w:rPr>
        <w:t>增长100.00%</w:t>
      </w:r>
      <w:r>
        <w:rPr>
          <w:rFonts w:hint="eastAsia" w:eastAsia="仿宋_GB2312"/>
          <w:sz w:val="32"/>
          <w:szCs w:val="32"/>
        </w:rPr>
        <w:t>,</w:t>
      </w:r>
      <w:r>
        <w:rPr>
          <w:rFonts w:hint="eastAsia" w:eastAsia="仿宋_GB2312"/>
          <w:sz w:val="32"/>
          <w:szCs w:val="32"/>
          <w:lang w:val="zh-CN"/>
        </w:rPr>
        <w:t>主要原因是：</w:t>
      </w:r>
      <w:r>
        <w:rPr>
          <w:rFonts w:hint="eastAsia" w:eastAsia="仿宋_GB2312"/>
          <w:sz w:val="32"/>
          <w:szCs w:val="32"/>
        </w:rPr>
        <w:t>本年年中追加</w:t>
      </w:r>
      <w:r>
        <w:rPr>
          <w:rFonts w:hint="eastAsia" w:ascii="仿宋_GB2312" w:hAnsi="仿宋_GB2312" w:eastAsia="仿宋_GB2312" w:cs="仿宋_GB2312"/>
          <w:kern w:val="0"/>
          <w:sz w:val="32"/>
          <w:szCs w:val="32"/>
        </w:rPr>
        <w:t>国有企业退休人员社会化管理补助，因此增加相应的国有企业退休人员社会化管理补助支出。</w:t>
      </w:r>
    </w:p>
    <w:p>
      <w:pPr>
        <w:ind w:firstLine="640" w:firstLineChars="200"/>
        <w:rPr>
          <w:rFonts w:eastAsia="仿宋_GB2312"/>
          <w:sz w:val="32"/>
          <w:szCs w:val="32"/>
          <w:lang w:val="zh-CN"/>
        </w:rPr>
      </w:pPr>
      <w:r>
        <w:rPr>
          <w:rFonts w:hint="eastAsia" w:eastAsia="仿宋_GB2312"/>
          <w:sz w:val="32"/>
          <w:szCs w:val="32"/>
          <w:lang w:val="zh-CN"/>
        </w:rPr>
        <w:t>与年初预算相比，年初预算数</w:t>
      </w:r>
      <w:r>
        <w:rPr>
          <w:rFonts w:hint="eastAsia" w:eastAsia="仿宋_GB2312"/>
          <w:sz w:val="32"/>
          <w:szCs w:val="32"/>
        </w:rPr>
        <w:t>1.57</w:t>
      </w:r>
      <w:r>
        <w:rPr>
          <w:rFonts w:hint="eastAsia" w:eastAsia="仿宋_GB2312"/>
          <w:sz w:val="32"/>
          <w:szCs w:val="32"/>
          <w:lang w:val="zh-CN"/>
        </w:rPr>
        <w:t>万元，决算数</w:t>
      </w:r>
      <w:r>
        <w:rPr>
          <w:rFonts w:hint="eastAsia" w:eastAsia="仿宋_GB2312"/>
          <w:sz w:val="32"/>
          <w:szCs w:val="32"/>
        </w:rPr>
        <w:t>9.99</w:t>
      </w:r>
      <w:r>
        <w:rPr>
          <w:rFonts w:hint="eastAsia" w:eastAsia="仿宋_GB2312"/>
          <w:sz w:val="32"/>
          <w:szCs w:val="32"/>
          <w:lang w:val="zh-CN"/>
        </w:rPr>
        <w:t>万元，预决算差异率</w:t>
      </w:r>
      <w:r>
        <w:rPr>
          <w:rFonts w:hint="eastAsia"/>
          <w:sz w:val="32"/>
          <w:szCs w:val="32"/>
        </w:rPr>
        <w:t>536.31</w:t>
      </w:r>
      <w:r>
        <w:rPr>
          <w:rFonts w:hint="eastAsia" w:eastAsia="仿宋_GB2312"/>
          <w:sz w:val="32"/>
          <w:szCs w:val="32"/>
          <w:lang w:val="zh-CN"/>
        </w:rPr>
        <w:t>%，主要原因是：</w:t>
      </w:r>
      <w:r>
        <w:rPr>
          <w:rFonts w:hint="eastAsia" w:eastAsia="仿宋_GB2312"/>
          <w:sz w:val="32"/>
          <w:szCs w:val="32"/>
        </w:rPr>
        <w:t>本年年中追加</w:t>
      </w:r>
      <w:r>
        <w:rPr>
          <w:rFonts w:hint="eastAsia" w:ascii="仿宋_GB2312" w:hAnsi="仿宋_GB2312" w:eastAsia="仿宋_GB2312" w:cs="仿宋_GB2312"/>
          <w:kern w:val="0"/>
          <w:sz w:val="32"/>
          <w:szCs w:val="32"/>
        </w:rPr>
        <w:t>国有企业退休人员社会化管理补助，因此增加相应的国有企业退休人员社会化管理补助支出。</w:t>
      </w:r>
    </w:p>
    <w:p>
      <w:pPr>
        <w:ind w:firstLine="640" w:firstLineChars="200"/>
        <w:jc w:val="left"/>
        <w:rPr>
          <w:rFonts w:ascii="仿宋_GB2312" w:eastAsia="仿宋_GB2312"/>
          <w:sz w:val="32"/>
          <w:szCs w:val="32"/>
        </w:rPr>
      </w:pPr>
      <w:r>
        <w:rPr>
          <w:rFonts w:hint="eastAsia" w:eastAsia="仿宋_GB2312"/>
          <w:sz w:val="32"/>
          <w:szCs w:val="32"/>
          <w:lang w:val="zh-CN"/>
        </w:rPr>
        <w:t>国有资本经营预算财政拨款支出</w:t>
      </w:r>
      <w:r>
        <w:rPr>
          <w:rFonts w:hint="eastAsia" w:eastAsia="仿宋_GB2312"/>
          <w:sz w:val="32"/>
          <w:szCs w:val="32"/>
        </w:rPr>
        <w:t>9.99</w:t>
      </w:r>
      <w:r>
        <w:rPr>
          <w:rFonts w:hint="eastAsia" w:eastAsia="仿宋_GB2312"/>
          <w:sz w:val="32"/>
          <w:szCs w:val="32"/>
          <w:lang w:val="zh-CN"/>
        </w:rPr>
        <w:t>万元。</w:t>
      </w:r>
    </w:p>
    <w:p>
      <w:pPr>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1.国有资本经营预算支出（类）解决历史遗留问题及改革成本支出（款）国有企业退休人员社会化管理补助支出（项）:支出决算数为9.99万元，比上年决算</w:t>
      </w:r>
      <w:r>
        <w:rPr>
          <w:rFonts w:hint="eastAsia" w:eastAsia="仿宋_GB2312"/>
          <w:sz w:val="30"/>
          <w:szCs w:val="30"/>
        </w:rPr>
        <w:t>增加</w:t>
      </w:r>
      <w:r>
        <w:rPr>
          <w:rFonts w:hint="eastAsia" w:ascii="仿宋_GB2312" w:hAnsi="仿宋_GB2312" w:eastAsia="仿宋_GB2312" w:cs="仿宋_GB2312"/>
          <w:kern w:val="0"/>
          <w:sz w:val="32"/>
          <w:szCs w:val="32"/>
        </w:rPr>
        <w:t>9.99万元，</w:t>
      </w:r>
      <w:r>
        <w:rPr>
          <w:rFonts w:hint="eastAsia" w:eastAsia="仿宋_GB2312"/>
          <w:sz w:val="30"/>
          <w:szCs w:val="30"/>
        </w:rPr>
        <w:t>增长</w:t>
      </w:r>
      <w:r>
        <w:rPr>
          <w:rFonts w:hint="eastAsia" w:ascii="仿宋_GB2312" w:hAnsi="仿宋_GB2312" w:eastAsia="仿宋_GB2312" w:cs="仿宋_GB2312"/>
          <w:kern w:val="0"/>
          <w:sz w:val="32"/>
          <w:szCs w:val="32"/>
        </w:rPr>
        <w:t>100%，主要原因是：</w:t>
      </w:r>
      <w:r>
        <w:rPr>
          <w:rFonts w:hint="eastAsia" w:eastAsia="仿宋_GB2312"/>
          <w:sz w:val="32"/>
          <w:szCs w:val="32"/>
        </w:rPr>
        <w:t>本年年中追加</w:t>
      </w:r>
      <w:r>
        <w:rPr>
          <w:rFonts w:hint="eastAsia" w:ascii="仿宋_GB2312" w:hAnsi="仿宋_GB2312" w:eastAsia="仿宋_GB2312" w:cs="仿宋_GB2312"/>
          <w:kern w:val="0"/>
          <w:sz w:val="32"/>
          <w:szCs w:val="32"/>
        </w:rPr>
        <w:t>国有企业退休人员社会化管理补助，因此增加相应的国有企业退休人员社会化管理补助支出。</w:t>
      </w:r>
    </w:p>
    <w:p>
      <w:pPr>
        <w:ind w:firstLine="640" w:firstLineChars="200"/>
        <w:jc w:val="left"/>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rPr>
          <w:rFonts w:eastAsia="仿宋_GB2312"/>
          <w:sz w:val="32"/>
          <w:szCs w:val="32"/>
          <w:lang w:val="zh-CN"/>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库尔勒市铁克其乡人民政府（行政单位和参照公务员法管理事业单位）机关运行经费支出281.82万元，</w:t>
      </w:r>
      <w:r>
        <w:rPr>
          <w:rFonts w:hint="eastAsia" w:eastAsia="仿宋_GB2312"/>
          <w:sz w:val="32"/>
          <w:szCs w:val="32"/>
          <w:lang w:val="zh-CN"/>
        </w:rPr>
        <w:t>比上年减少166.14万元，下降37.09%，主要原因是：我单位</w:t>
      </w:r>
      <w:r>
        <w:rPr>
          <w:rFonts w:hint="eastAsia" w:eastAsia="仿宋_GB2312"/>
          <w:sz w:val="32"/>
          <w:szCs w:val="32"/>
        </w:rPr>
        <w:t>为全面落实“过紧日子”要求，压减机关运行经费开支。</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2023年度政府采购支出总额782.32万元，其中：政府采购货物支出11.52万元、政府采购工程支出765.01万元、政府采购服务支出5.79万元。</w:t>
      </w:r>
    </w:p>
    <w:p>
      <w:pPr>
        <w:ind w:firstLine="640" w:firstLineChars="200"/>
        <w:jc w:val="left"/>
        <w:rPr>
          <w:rFonts w:eastAsia="仿宋_GB2312"/>
          <w:sz w:val="32"/>
          <w:szCs w:val="32"/>
        </w:rPr>
      </w:pPr>
      <w:r>
        <w:rPr>
          <w:rFonts w:hint="eastAsia" w:eastAsia="仿宋_GB2312"/>
          <w:sz w:val="32"/>
          <w:szCs w:val="32"/>
          <w:lang w:val="zh-CN"/>
        </w:rPr>
        <w:t>授予中小企业合同金额782.32万元，占政府采购支出总额的100.00</w:t>
      </w:r>
      <w:r>
        <w:rPr>
          <w:rFonts w:eastAsia="仿宋_GB2312"/>
          <w:sz w:val="32"/>
          <w:szCs w:val="32"/>
          <w:lang w:val="zh-CN"/>
        </w:rPr>
        <w:t>%</w:t>
      </w:r>
      <w:r>
        <w:rPr>
          <w:rFonts w:hint="eastAsia" w:eastAsia="仿宋_GB2312"/>
          <w:sz w:val="32"/>
          <w:szCs w:val="32"/>
          <w:lang w:val="zh-CN"/>
        </w:rPr>
        <w:t>，其中：授予小微企业合同金额480.61万元，占政府采购支出总额的61.43</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2,810.94</w:t>
      </w:r>
      <w:r>
        <w:rPr>
          <w:rFonts w:hint="eastAsia" w:eastAsia="仿宋_GB2312"/>
          <w:sz w:val="32"/>
          <w:szCs w:val="32"/>
        </w:rPr>
        <w:t>万元，房</w:t>
      </w:r>
      <w:r>
        <w:rPr>
          <w:rFonts w:hint="eastAsia" w:eastAsia="仿宋_GB2312"/>
          <w:sz w:val="32"/>
          <w:szCs w:val="32"/>
          <w:lang w:val="zh-CN"/>
        </w:rPr>
        <w:t>屋14,064.86平方米，价值1,126.89万元。车辆32辆，价值232.54万元，其中：副部（省）级及以上领导用车0辆、主要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用车0辆、机要通信用车0辆、应急保障用车0辆、执法执勤用车20辆、特种专业技术用车0辆、离退休干部</w:t>
      </w:r>
      <w:r>
        <w:rPr>
          <w:rFonts w:hint="eastAsia" w:eastAsia="仿宋_GB2312"/>
          <w:sz w:val="32"/>
          <w:szCs w:val="32"/>
        </w:rPr>
        <w:t>服务</w:t>
      </w:r>
      <w:r>
        <w:rPr>
          <w:rFonts w:hint="eastAsia" w:eastAsia="仿宋_GB2312"/>
          <w:sz w:val="32"/>
          <w:szCs w:val="32"/>
          <w:lang w:val="zh-CN"/>
        </w:rPr>
        <w:t>用车0辆、其他用车12辆，其他用车主要是：</w:t>
      </w:r>
      <w:r>
        <w:rPr>
          <w:rFonts w:hint="eastAsia" w:ascii="仿宋_GB2312" w:eastAsia="仿宋_GB2312"/>
          <w:sz w:val="32"/>
          <w:szCs w:val="32"/>
        </w:rPr>
        <w:t>乡党委、乡政府、财政所、农机站、畜牧兽医站车辆</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rPr>
          <w:rFonts w:ascii="仿宋_GB2312" w:eastAsia="仿宋_GB2312"/>
          <w:sz w:val="32"/>
          <w:szCs w:val="32"/>
        </w:rPr>
      </w:pPr>
      <w:bookmarkStart w:id="30" w:name="OLE_LINK1"/>
      <w:r>
        <w:rPr>
          <w:rFonts w:hint="eastAsia" w:ascii="仿宋_GB2312" w:eastAsia="仿宋_GB2312"/>
          <w:sz w:val="32"/>
          <w:szCs w:val="32"/>
        </w:rPr>
        <w:t>根据预算绩效管理要求，我部门2023年度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w:t>
      </w:r>
      <w:r>
        <w:rPr>
          <w:rFonts w:hint="eastAsia" w:ascii="仿宋_GB2312" w:eastAsia="仿宋_GB2312"/>
          <w:sz w:val="32"/>
          <w:szCs w:val="32"/>
        </w:rPr>
        <w:t>全年预算总额5634.23万元，实际执行总额5634.23万元；预算绩效评价项目9个，全年预算数3159.55万元，全年执行数2647.17万元。</w:t>
      </w:r>
      <w:bookmarkEnd w:id="30"/>
      <w:r>
        <w:rPr>
          <w:rFonts w:hint="eastAsia" w:ascii="仿宋_GB2312" w:eastAsia="仿宋_GB2312"/>
          <w:sz w:val="32"/>
          <w:szCs w:val="32"/>
        </w:rPr>
        <w:t>预算绩效管理取得的成效：一是提高了绩效目标的科学性、规范性、使用性；二是开展绩效自评提升了自评质量。发现的问题及原因：一是预算绩效观念不深入：在日常绩效监控工作中存在着一定程度的“重分配、轻管理、重支出、轻绩效”的情况，造成该问题的主要原因是自身绩效理念较薄弱，单位绩效目标编制仍有缺失；二是预算绩效规范管理有盲点：财务人员面对当前绩效管理工作既没有现成的经验可供借鉴，又缺乏专业性很强的技能储备。下一步改进措施：一是需要进一步加强对资金绩效管理的重视程度；二是不断边工作、边学习、边积累，短期内提高自身业务水平，做到程序规范、管理科学，满足当前绩效管理要求。具体项目自评情况附绩效自评表及自评报告。</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本部门无其他需说明事项</w:t>
      </w:r>
    </w:p>
    <w:p>
      <w:pPr>
        <w:jc w:val="center"/>
        <w:outlineLvl w:val="0"/>
        <w:rPr>
          <w:rFonts w:ascii="黑体" w:hAnsi="黑体" w:eastAsia="黑体"/>
          <w:sz w:val="32"/>
          <w:szCs w:val="32"/>
        </w:rPr>
      </w:pPr>
      <w:bookmarkStart w:id="31" w:name="_Toc24143"/>
      <w:bookmarkStart w:id="32" w:name="_Toc3250"/>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r>
        <w:rPr>
          <w:rFonts w:hint="eastAsia" w:ascii="黑体" w:hAnsi="黑体" w:eastAsia="黑体"/>
          <w:sz w:val="32"/>
          <w:szCs w:val="32"/>
        </w:rPr>
        <w:t>第三部分 专业名词解释</w:t>
      </w:r>
      <w:bookmarkEnd w:id="31"/>
      <w:bookmarkEnd w:id="32"/>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3" w:name="_Toc6062"/>
      <w:bookmarkStart w:id="34" w:name="_Toc2183"/>
      <w:r>
        <w:rPr>
          <w:rFonts w:hint="eastAsia" w:ascii="黑体" w:hAnsi="黑体" w:eastAsia="仿宋_GB2312" w:cs="宋体"/>
          <w:bCs/>
          <w:kern w:val="0"/>
          <w:sz w:val="32"/>
          <w:szCs w:val="32"/>
        </w:rPr>
        <w:t>一、《收入支出决算总表》</w:t>
      </w:r>
      <w:bookmarkEnd w:id="33"/>
      <w:bookmarkEnd w:id="34"/>
    </w:p>
    <w:p>
      <w:pPr>
        <w:ind w:firstLine="640" w:firstLineChars="200"/>
        <w:outlineLvl w:val="1"/>
        <w:rPr>
          <w:rFonts w:ascii="黑体" w:hAnsi="黑体" w:eastAsia="仿宋_GB2312" w:cs="宋体"/>
          <w:bCs/>
          <w:kern w:val="0"/>
          <w:sz w:val="32"/>
          <w:szCs w:val="32"/>
        </w:rPr>
      </w:pPr>
      <w:bookmarkStart w:id="35" w:name="_Toc30364"/>
      <w:bookmarkStart w:id="36" w:name="_Toc24532"/>
      <w:r>
        <w:rPr>
          <w:rFonts w:hint="eastAsia" w:ascii="黑体" w:hAnsi="黑体" w:eastAsia="仿宋_GB2312" w:cs="宋体"/>
          <w:bCs/>
          <w:kern w:val="0"/>
          <w:sz w:val="32"/>
          <w:szCs w:val="32"/>
        </w:rPr>
        <w:t>二、《收入决算表》</w:t>
      </w:r>
      <w:bookmarkEnd w:id="35"/>
      <w:bookmarkEnd w:id="36"/>
    </w:p>
    <w:p>
      <w:pPr>
        <w:ind w:firstLine="640" w:firstLineChars="200"/>
        <w:outlineLvl w:val="1"/>
        <w:rPr>
          <w:rFonts w:ascii="黑体" w:hAnsi="黑体" w:eastAsia="仿宋_GB2312" w:cs="宋体"/>
          <w:bCs/>
          <w:kern w:val="0"/>
          <w:sz w:val="32"/>
          <w:szCs w:val="32"/>
        </w:rPr>
      </w:pPr>
      <w:bookmarkStart w:id="37" w:name="_Toc32434"/>
      <w:bookmarkStart w:id="38" w:name="_Toc21304"/>
      <w:r>
        <w:rPr>
          <w:rFonts w:hint="eastAsia" w:ascii="黑体" w:hAnsi="黑体" w:eastAsia="仿宋_GB2312" w:cs="宋体"/>
          <w:bCs/>
          <w:kern w:val="0"/>
          <w:sz w:val="32"/>
          <w:szCs w:val="32"/>
        </w:rPr>
        <w:t>三、《支出决算表》</w:t>
      </w:r>
      <w:bookmarkEnd w:id="37"/>
      <w:bookmarkEnd w:id="38"/>
    </w:p>
    <w:p>
      <w:pPr>
        <w:ind w:firstLine="640" w:firstLineChars="200"/>
        <w:outlineLvl w:val="1"/>
        <w:rPr>
          <w:rFonts w:ascii="黑体" w:hAnsi="黑体" w:eastAsia="仿宋_GB2312" w:cs="宋体"/>
          <w:bCs/>
          <w:kern w:val="0"/>
          <w:sz w:val="32"/>
          <w:szCs w:val="32"/>
        </w:rPr>
      </w:pPr>
      <w:bookmarkStart w:id="39" w:name="_Toc28786"/>
      <w:bookmarkStart w:id="40" w:name="_Toc14238"/>
      <w:r>
        <w:rPr>
          <w:rFonts w:hint="eastAsia" w:ascii="黑体" w:hAnsi="黑体" w:eastAsia="仿宋_GB2312" w:cs="宋体"/>
          <w:bCs/>
          <w:kern w:val="0"/>
          <w:sz w:val="32"/>
          <w:szCs w:val="32"/>
        </w:rPr>
        <w:t>四、《财政拨款收入支出决算总表》</w:t>
      </w:r>
      <w:bookmarkEnd w:id="39"/>
      <w:bookmarkEnd w:id="40"/>
    </w:p>
    <w:p>
      <w:pPr>
        <w:ind w:firstLine="640" w:firstLineChars="200"/>
        <w:outlineLvl w:val="1"/>
        <w:rPr>
          <w:rFonts w:ascii="黑体" w:hAnsi="黑体" w:eastAsia="仿宋_GB2312" w:cs="宋体"/>
          <w:bCs/>
          <w:kern w:val="0"/>
          <w:sz w:val="32"/>
          <w:szCs w:val="32"/>
        </w:rPr>
      </w:pPr>
      <w:bookmarkStart w:id="41" w:name="_Toc14869"/>
      <w:bookmarkStart w:id="42" w:name="_Toc10347"/>
      <w:r>
        <w:rPr>
          <w:rFonts w:hint="eastAsia" w:ascii="黑体" w:hAnsi="黑体" w:eastAsia="仿宋_GB2312" w:cs="宋体"/>
          <w:bCs/>
          <w:kern w:val="0"/>
          <w:sz w:val="32"/>
          <w:szCs w:val="32"/>
        </w:rPr>
        <w:t>五、《一般公共预算财政拨款支出决算表》</w:t>
      </w:r>
      <w:bookmarkEnd w:id="41"/>
      <w:bookmarkEnd w:id="42"/>
    </w:p>
    <w:p>
      <w:pPr>
        <w:ind w:firstLine="640" w:firstLineChars="200"/>
        <w:outlineLvl w:val="1"/>
        <w:rPr>
          <w:rFonts w:ascii="黑体" w:hAnsi="黑体" w:eastAsia="仿宋_GB2312" w:cs="宋体"/>
          <w:bCs/>
          <w:kern w:val="0"/>
          <w:sz w:val="32"/>
          <w:szCs w:val="32"/>
        </w:rPr>
      </w:pPr>
      <w:bookmarkStart w:id="43" w:name="_Toc8884"/>
      <w:bookmarkStart w:id="44" w:name="_Toc5626"/>
      <w:r>
        <w:rPr>
          <w:rFonts w:hint="eastAsia" w:ascii="黑体" w:hAnsi="黑体" w:eastAsia="仿宋_GB2312" w:cs="宋体"/>
          <w:bCs/>
          <w:kern w:val="0"/>
          <w:sz w:val="32"/>
          <w:szCs w:val="32"/>
        </w:rPr>
        <w:t>六、《一般公共预算财政拨款基本支出决算表》</w:t>
      </w:r>
      <w:bookmarkEnd w:id="43"/>
      <w:bookmarkEnd w:id="44"/>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32663"/>
      <w:bookmarkStart w:id="46" w:name="_Toc29106"/>
      <w:r>
        <w:rPr>
          <w:rFonts w:hint="eastAsia" w:ascii="黑体" w:hAnsi="黑体" w:eastAsia="仿宋_GB2312" w:cs="宋体"/>
          <w:bCs/>
          <w:kern w:val="0"/>
          <w:sz w:val="32"/>
          <w:szCs w:val="32"/>
        </w:rPr>
        <w:t>《财政拨款“三公”经费支出决算表》</w:t>
      </w:r>
      <w:bookmarkEnd w:id="45"/>
      <w:bookmarkEnd w:id="46"/>
    </w:p>
    <w:p>
      <w:pPr>
        <w:ind w:firstLine="640" w:firstLineChars="200"/>
        <w:outlineLvl w:val="1"/>
        <w:rPr>
          <w:rFonts w:ascii="黑体" w:hAnsi="黑体" w:eastAsia="仿宋_GB2312" w:cs="宋体"/>
          <w:bCs/>
          <w:kern w:val="0"/>
          <w:sz w:val="32"/>
          <w:szCs w:val="32"/>
        </w:rPr>
      </w:pPr>
      <w:bookmarkStart w:id="47" w:name="_Toc7643"/>
      <w:bookmarkStart w:id="48" w:name="_Toc5453"/>
      <w:r>
        <w:rPr>
          <w:rFonts w:hint="eastAsia" w:ascii="黑体" w:hAnsi="黑体" w:eastAsia="仿宋_GB2312" w:cs="宋体"/>
          <w:bCs/>
          <w:kern w:val="0"/>
          <w:sz w:val="32"/>
          <w:szCs w:val="32"/>
        </w:rPr>
        <w:t>八、《政府性基金预算财政拨款收入支出决算表》</w:t>
      </w:r>
      <w:bookmarkEnd w:id="47"/>
      <w:bookmarkEnd w:id="48"/>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outlineLvl w:val="1"/>
      </w:pPr>
      <w:r>
        <w:drawing>
          <wp:anchor distT="0" distB="0" distL="114300" distR="114300" simplePos="0" relativeHeight="251659264" behindDoc="0" locked="0" layoutInCell="1" allowOverlap="1">
            <wp:simplePos x="0" y="0"/>
            <wp:positionH relativeFrom="column">
              <wp:posOffset>-523875</wp:posOffset>
            </wp:positionH>
            <wp:positionV relativeFrom="paragraph">
              <wp:posOffset>11430</wp:posOffset>
            </wp:positionV>
            <wp:extent cx="6296025" cy="8395335"/>
            <wp:effectExtent l="0" t="0" r="9525" b="5715"/>
            <wp:wrapNone/>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5"/>
                    <a:stretch>
                      <a:fillRect/>
                    </a:stretch>
                  </pic:blipFill>
                  <pic:spPr>
                    <a:xfrm>
                      <a:off x="0" y="0"/>
                      <a:ext cx="6296025" cy="8395335"/>
                    </a:xfrm>
                    <a:prstGeom prst="rect">
                      <a:avLst/>
                    </a:prstGeom>
                    <a:noFill/>
                    <a:ln>
                      <a:noFill/>
                    </a:ln>
                  </pic:spPr>
                </pic:pic>
              </a:graphicData>
            </a:graphic>
          </wp:anchor>
        </w:drawing>
      </w:r>
      <w:r>
        <w:rPr>
          <w:rFonts w:hint="eastAsia"/>
        </w:rPr>
        <w:t xml:space="preserve">  </w:t>
      </w:r>
    </w:p>
    <w:p>
      <w:pPr>
        <w:ind w:firstLine="420" w:firstLineChars="200"/>
        <w:outlineLvl w:val="1"/>
      </w:pPr>
    </w:p>
    <w:p>
      <w:pPr>
        <w:ind w:firstLine="420" w:firstLineChars="200"/>
        <w:outlineLvl w:val="1"/>
      </w:pPr>
    </w:p>
    <w:p>
      <w:pPr>
        <w:ind w:firstLine="420" w:firstLineChars="200"/>
        <w:outlineLvl w:val="1"/>
      </w:pPr>
    </w:p>
    <w:p>
      <w:pPr>
        <w:ind w:firstLine="420" w:firstLineChars="200"/>
        <w:jc w:val="left"/>
        <w:outlineLvl w:val="1"/>
      </w:pPr>
    </w:p>
    <w:p>
      <w:pPr>
        <w:ind w:firstLine="420" w:firstLineChars="200"/>
        <w:jc w:val="left"/>
        <w:outlineLvl w:val="1"/>
      </w:pPr>
    </w:p>
    <w:p>
      <w:pPr>
        <w:outlineLvl w:val="1"/>
      </w:pPr>
    </w:p>
    <w:p>
      <w:pPr>
        <w:outlineLvl w:val="1"/>
      </w:pPr>
    </w:p>
    <w:p>
      <w:pPr>
        <w:outlineLvl w:val="1"/>
      </w:pPr>
    </w:p>
    <w:p>
      <w:pPr>
        <w:outlineLvl w:val="1"/>
      </w:pPr>
    </w:p>
    <w:p>
      <w:pPr>
        <w:outlineLvl w:val="1"/>
      </w:pPr>
    </w:p>
    <w:p>
      <w:pPr>
        <w:outlineLvl w:val="1"/>
      </w:pPr>
    </w:p>
    <w:p>
      <w:pPr>
        <w:outlineLvl w:val="1"/>
      </w:pPr>
    </w:p>
    <w:p>
      <w:pPr>
        <w:outlineLvl w:val="1"/>
      </w:pPr>
    </w:p>
    <w:p>
      <w:pPr>
        <w:outlineLvl w:val="1"/>
      </w:pPr>
    </w:p>
    <w:p>
      <w:pPr>
        <w:outlineLvl w:val="1"/>
      </w:pPr>
    </w:p>
    <w:p>
      <w:pPr>
        <w:outlineLvl w:val="1"/>
      </w:pPr>
    </w:p>
    <w:p>
      <w:pPr>
        <w:outlineLvl w:val="1"/>
      </w:pPr>
      <w:r>
        <w:drawing>
          <wp:inline distT="0" distB="0" distL="114300" distR="114300">
            <wp:extent cx="5273675" cy="8491855"/>
            <wp:effectExtent l="0" t="0" r="3175" b="4445"/>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6"/>
                    <a:stretch>
                      <a:fillRect/>
                    </a:stretch>
                  </pic:blipFill>
                  <pic:spPr>
                    <a:xfrm>
                      <a:off x="0" y="0"/>
                      <a:ext cx="5273675" cy="8491855"/>
                    </a:xfrm>
                    <a:prstGeom prst="rect">
                      <a:avLst/>
                    </a:prstGeom>
                    <a:noFill/>
                    <a:ln>
                      <a:noFill/>
                    </a:ln>
                  </pic:spPr>
                </pic:pic>
              </a:graphicData>
            </a:graphic>
          </wp:inline>
        </w:drawing>
      </w:r>
    </w:p>
    <w:p>
      <w:pPr>
        <w:outlineLvl w:val="1"/>
      </w:pPr>
      <w:r>
        <w:drawing>
          <wp:inline distT="0" distB="0" distL="114300" distR="114300">
            <wp:extent cx="5569585" cy="8613140"/>
            <wp:effectExtent l="0" t="0" r="12065" b="1651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7"/>
                    <a:stretch>
                      <a:fillRect/>
                    </a:stretch>
                  </pic:blipFill>
                  <pic:spPr>
                    <a:xfrm>
                      <a:off x="0" y="0"/>
                      <a:ext cx="5569585" cy="8613140"/>
                    </a:xfrm>
                    <a:prstGeom prst="rect">
                      <a:avLst/>
                    </a:prstGeom>
                    <a:noFill/>
                    <a:ln>
                      <a:noFill/>
                    </a:ln>
                  </pic:spPr>
                </pic:pic>
              </a:graphicData>
            </a:graphic>
          </wp:inline>
        </w:drawing>
      </w:r>
    </w:p>
    <w:p>
      <w:pPr>
        <w:ind w:firstLine="420" w:firstLineChars="200"/>
        <w:jc w:val="left"/>
        <w:outlineLvl w:val="1"/>
      </w:pPr>
    </w:p>
    <w:p>
      <w:pPr>
        <w:outlineLvl w:val="1"/>
      </w:pPr>
      <w:r>
        <w:drawing>
          <wp:inline distT="0" distB="0" distL="114300" distR="114300">
            <wp:extent cx="5700395" cy="7939405"/>
            <wp:effectExtent l="0" t="0" r="14605" b="444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
                    <a:stretch>
                      <a:fillRect/>
                    </a:stretch>
                  </pic:blipFill>
                  <pic:spPr>
                    <a:xfrm>
                      <a:off x="0" y="0"/>
                      <a:ext cx="5700395" cy="7939405"/>
                    </a:xfrm>
                    <a:prstGeom prst="rect">
                      <a:avLst/>
                    </a:prstGeom>
                    <a:noFill/>
                    <a:ln>
                      <a:noFill/>
                    </a:ln>
                  </pic:spPr>
                </pic:pic>
              </a:graphicData>
            </a:graphic>
          </wp:inline>
        </w:drawing>
      </w:r>
    </w:p>
    <w:p>
      <w:pPr>
        <w:ind w:firstLine="420" w:firstLineChars="200"/>
        <w:jc w:val="left"/>
        <w:outlineLvl w:val="1"/>
      </w:pPr>
    </w:p>
    <w:p>
      <w:pPr>
        <w:ind w:firstLine="420" w:firstLineChars="200"/>
        <w:jc w:val="left"/>
        <w:outlineLvl w:val="1"/>
      </w:pPr>
    </w:p>
    <w:p>
      <w:pPr>
        <w:ind w:firstLine="420" w:firstLineChars="200"/>
        <w:jc w:val="left"/>
        <w:outlineLvl w:val="1"/>
      </w:pPr>
    </w:p>
    <w:p>
      <w:pPr>
        <w:jc w:val="left"/>
        <w:outlineLvl w:val="1"/>
      </w:pPr>
      <w:r>
        <w:drawing>
          <wp:inline distT="0" distB="0" distL="114300" distR="114300">
            <wp:extent cx="5271770" cy="8187690"/>
            <wp:effectExtent l="0" t="0" r="5080" b="381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9"/>
                    <a:stretch>
                      <a:fillRect/>
                    </a:stretch>
                  </pic:blipFill>
                  <pic:spPr>
                    <a:xfrm>
                      <a:off x="0" y="0"/>
                      <a:ext cx="5271770" cy="8187690"/>
                    </a:xfrm>
                    <a:prstGeom prst="rect">
                      <a:avLst/>
                    </a:prstGeom>
                    <a:noFill/>
                    <a:ln>
                      <a:noFill/>
                    </a:ln>
                  </pic:spPr>
                </pic:pic>
              </a:graphicData>
            </a:graphic>
          </wp:inline>
        </w:drawing>
      </w:r>
    </w:p>
    <w:p>
      <w:pPr>
        <w:jc w:val="left"/>
        <w:outlineLvl w:val="1"/>
      </w:pPr>
    </w:p>
    <w:p>
      <w:pPr>
        <w:jc w:val="left"/>
        <w:outlineLvl w:val="1"/>
      </w:pPr>
      <w:r>
        <w:drawing>
          <wp:anchor distT="0" distB="0" distL="114300" distR="114300" simplePos="0" relativeHeight="251660288" behindDoc="0" locked="0" layoutInCell="1" allowOverlap="1">
            <wp:simplePos x="0" y="0"/>
            <wp:positionH relativeFrom="column">
              <wp:posOffset>0</wp:posOffset>
            </wp:positionH>
            <wp:positionV relativeFrom="paragraph">
              <wp:posOffset>80010</wp:posOffset>
            </wp:positionV>
            <wp:extent cx="5267960" cy="8625840"/>
            <wp:effectExtent l="0" t="0" r="8890" b="3810"/>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5267960" cy="8625840"/>
                    </a:xfrm>
                    <a:prstGeom prst="rect">
                      <a:avLst/>
                    </a:prstGeom>
                    <a:noFill/>
                    <a:ln>
                      <a:noFill/>
                    </a:ln>
                  </pic:spPr>
                </pic:pic>
              </a:graphicData>
            </a:graphic>
          </wp:anchor>
        </w:drawing>
      </w:r>
    </w:p>
    <w:p>
      <w:pPr>
        <w:jc w:val="left"/>
        <w:outlineLvl w:val="1"/>
      </w:pPr>
    </w:p>
    <w:p>
      <w:pPr>
        <w:jc w:val="left"/>
        <w:outlineLvl w:val="1"/>
      </w:pPr>
    </w:p>
    <w:p>
      <w:pPr>
        <w:jc w:val="left"/>
        <w:outlineLvl w:val="1"/>
      </w:pPr>
    </w:p>
    <w:p>
      <w:pPr>
        <w:jc w:val="left"/>
        <w:outlineLvl w:val="1"/>
      </w:pPr>
      <w:r>
        <w:drawing>
          <wp:inline distT="0" distB="0" distL="114300" distR="114300">
            <wp:extent cx="5262245" cy="1997710"/>
            <wp:effectExtent l="0" t="0" r="14605" b="254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1"/>
                    <a:stretch>
                      <a:fillRect/>
                    </a:stretch>
                  </pic:blipFill>
                  <pic:spPr>
                    <a:xfrm>
                      <a:off x="0" y="0"/>
                      <a:ext cx="5262245" cy="1997710"/>
                    </a:xfrm>
                    <a:prstGeom prst="rect">
                      <a:avLst/>
                    </a:prstGeom>
                    <a:noFill/>
                    <a:ln>
                      <a:noFill/>
                    </a:ln>
                  </pic:spPr>
                </pic:pic>
              </a:graphicData>
            </a:graphic>
          </wp:inline>
        </w:drawing>
      </w: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r>
        <w:drawing>
          <wp:inline distT="0" distB="0" distL="114300" distR="114300">
            <wp:extent cx="5272405" cy="1758315"/>
            <wp:effectExtent l="0" t="0" r="4445" b="13335"/>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2"/>
                    <a:stretch>
                      <a:fillRect/>
                    </a:stretch>
                  </pic:blipFill>
                  <pic:spPr>
                    <a:xfrm>
                      <a:off x="0" y="0"/>
                      <a:ext cx="5272405" cy="1758315"/>
                    </a:xfrm>
                    <a:prstGeom prst="rect">
                      <a:avLst/>
                    </a:prstGeom>
                    <a:noFill/>
                    <a:ln>
                      <a:noFill/>
                    </a:ln>
                  </pic:spPr>
                </pic:pic>
              </a:graphicData>
            </a:graphic>
          </wp:inline>
        </w:drawing>
      </w: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r>
        <w:drawing>
          <wp:inline distT="0" distB="0" distL="114300" distR="114300">
            <wp:extent cx="5268595" cy="1835785"/>
            <wp:effectExtent l="0" t="0" r="8255" b="12065"/>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3"/>
                    <a:stretch>
                      <a:fillRect/>
                    </a:stretch>
                  </pic:blipFill>
                  <pic:spPr>
                    <a:xfrm>
                      <a:off x="0" y="0"/>
                      <a:ext cx="5268595" cy="1835785"/>
                    </a:xfrm>
                    <a:prstGeom prst="rect">
                      <a:avLst/>
                    </a:prstGeom>
                    <a:noFill/>
                    <a:ln>
                      <a:noFill/>
                    </a:ln>
                  </pic:spPr>
                </pic:pic>
              </a:graphicData>
            </a:graphic>
          </wp:inline>
        </w:drawing>
      </w: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p>
      <w:pPr>
        <w:jc w:val="left"/>
        <w:outlineLvl w:val="1"/>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20</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20</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abstractNum w:abstractNumId="1">
    <w:nsid w:val="69E77EF5"/>
    <w:multiLevelType w:val="multilevel"/>
    <w:tmpl w:val="69E77EF5"/>
    <w:lvl w:ilvl="0" w:tentative="0">
      <w:start w:val="1"/>
      <w:numFmt w:val="chineseCounting"/>
      <w:pStyle w:val="2"/>
      <w:suff w:val="nothing"/>
      <w:lvlText w:val="%1、"/>
      <w:lvlJc w:val="left"/>
      <w:pPr>
        <w:tabs>
          <w:tab w:val="left" w:pos="851"/>
        </w:tabs>
        <w:ind w:left="851" w:firstLine="0"/>
      </w:pPr>
      <w:rPr>
        <w:rFonts w:hint="eastAsia" w:eastAsia="黑体"/>
        <w:sz w:val="32"/>
        <w:lang w:val="en-US"/>
      </w:rPr>
    </w:lvl>
    <w:lvl w:ilvl="1" w:tentative="0">
      <w:start w:val="1"/>
      <w:numFmt w:val="chineseCounting"/>
      <w:suff w:val="nothing"/>
      <w:lvlText w:val="（%2）"/>
      <w:lvlJc w:val="left"/>
      <w:pPr>
        <w:ind w:left="851" w:firstLine="0"/>
      </w:pPr>
      <w:rPr>
        <w:rFonts w:hint="eastAsia"/>
      </w:rPr>
    </w:lvl>
    <w:lvl w:ilvl="2" w:tentative="0">
      <w:start w:val="1"/>
      <w:numFmt w:val="decimal"/>
      <w:suff w:val="nothing"/>
      <w:lvlText w:val="%3．"/>
      <w:lvlJc w:val="left"/>
      <w:pPr>
        <w:ind w:left="851" w:firstLine="400"/>
      </w:pPr>
      <w:rPr>
        <w:rFonts w:hint="eastAsia"/>
      </w:rPr>
    </w:lvl>
    <w:lvl w:ilvl="3" w:tentative="0">
      <w:start w:val="1"/>
      <w:numFmt w:val="decimal"/>
      <w:suff w:val="nothing"/>
      <w:lvlText w:val="（%4）"/>
      <w:lvlJc w:val="left"/>
      <w:pPr>
        <w:ind w:left="851" w:firstLine="402"/>
      </w:pPr>
      <w:rPr>
        <w:rFonts w:hint="eastAsia"/>
      </w:rPr>
    </w:lvl>
    <w:lvl w:ilvl="4" w:tentative="0">
      <w:start w:val="1"/>
      <w:numFmt w:val="decimalEnclosedCircleChinese"/>
      <w:suff w:val="nothing"/>
      <w:lvlText w:val="%5"/>
      <w:lvlJc w:val="left"/>
      <w:pPr>
        <w:ind w:left="851" w:firstLine="402"/>
      </w:pPr>
      <w:rPr>
        <w:rFonts w:hint="eastAsia"/>
      </w:rPr>
    </w:lvl>
    <w:lvl w:ilvl="5" w:tentative="0">
      <w:start w:val="1"/>
      <w:numFmt w:val="decimal"/>
      <w:suff w:val="nothing"/>
      <w:lvlText w:val="%6）"/>
      <w:lvlJc w:val="left"/>
      <w:pPr>
        <w:ind w:left="851" w:firstLine="402"/>
      </w:pPr>
      <w:rPr>
        <w:rFonts w:hint="eastAsia"/>
      </w:rPr>
    </w:lvl>
    <w:lvl w:ilvl="6" w:tentative="0">
      <w:start w:val="1"/>
      <w:numFmt w:val="lowerLetter"/>
      <w:suff w:val="nothing"/>
      <w:lvlText w:val="%7．"/>
      <w:lvlJc w:val="left"/>
      <w:pPr>
        <w:ind w:left="851" w:firstLine="402"/>
      </w:pPr>
      <w:rPr>
        <w:rFonts w:hint="eastAsia"/>
      </w:rPr>
    </w:lvl>
    <w:lvl w:ilvl="7" w:tentative="0">
      <w:start w:val="1"/>
      <w:numFmt w:val="lowerLetter"/>
      <w:suff w:val="nothing"/>
      <w:lvlText w:val="%8）"/>
      <w:lvlJc w:val="left"/>
      <w:pPr>
        <w:ind w:left="851" w:firstLine="402"/>
      </w:pPr>
      <w:rPr>
        <w:rFonts w:hint="eastAsia"/>
      </w:rPr>
    </w:lvl>
    <w:lvl w:ilvl="8" w:tentative="0">
      <w:start w:val="1"/>
      <w:numFmt w:val="lowerRoman"/>
      <w:suff w:val="nothing"/>
      <w:lvlText w:val="%9 "/>
      <w:lvlJc w:val="left"/>
      <w:pPr>
        <w:ind w:left="851"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ZjZDkzNDQ4NTc2YzZkMWRmMjYwMjhkYzI4NjdmYTYifQ=="/>
    <w:docVar w:name="KSO_WPS_MARK_KEY" w:val="41ee2a61-2d54-4f93-83be-afdb9a40d732"/>
  </w:docVars>
  <w:rsids>
    <w:rsidRoot w:val="00646EBD"/>
    <w:rsid w:val="000F19EC"/>
    <w:rsid w:val="001013A5"/>
    <w:rsid w:val="00156379"/>
    <w:rsid w:val="00170023"/>
    <w:rsid w:val="00213C59"/>
    <w:rsid w:val="0027539F"/>
    <w:rsid w:val="002B433F"/>
    <w:rsid w:val="003210CE"/>
    <w:rsid w:val="00335AC1"/>
    <w:rsid w:val="00401E1B"/>
    <w:rsid w:val="004A126A"/>
    <w:rsid w:val="00533D3C"/>
    <w:rsid w:val="00646EBD"/>
    <w:rsid w:val="00741E97"/>
    <w:rsid w:val="00823B8D"/>
    <w:rsid w:val="00986E1A"/>
    <w:rsid w:val="009A1975"/>
    <w:rsid w:val="009A391D"/>
    <w:rsid w:val="009A4C2E"/>
    <w:rsid w:val="009D554B"/>
    <w:rsid w:val="00A94D84"/>
    <w:rsid w:val="00B372F0"/>
    <w:rsid w:val="00B4000C"/>
    <w:rsid w:val="00B70D59"/>
    <w:rsid w:val="00BB5CC4"/>
    <w:rsid w:val="00E756F3"/>
    <w:rsid w:val="00E832DA"/>
    <w:rsid w:val="00F52A8D"/>
    <w:rsid w:val="019404F8"/>
    <w:rsid w:val="02783976"/>
    <w:rsid w:val="02BD3108"/>
    <w:rsid w:val="02F73D26"/>
    <w:rsid w:val="034D4FEF"/>
    <w:rsid w:val="035D1785"/>
    <w:rsid w:val="039F47CE"/>
    <w:rsid w:val="03E05CE8"/>
    <w:rsid w:val="03F973EE"/>
    <w:rsid w:val="043E5B56"/>
    <w:rsid w:val="04C04386"/>
    <w:rsid w:val="04D96608"/>
    <w:rsid w:val="04FA68C4"/>
    <w:rsid w:val="053F5AE6"/>
    <w:rsid w:val="057C0B0F"/>
    <w:rsid w:val="05B80C59"/>
    <w:rsid w:val="05EF4B48"/>
    <w:rsid w:val="05F76ECA"/>
    <w:rsid w:val="06792773"/>
    <w:rsid w:val="06ED5E76"/>
    <w:rsid w:val="07093795"/>
    <w:rsid w:val="07804730"/>
    <w:rsid w:val="079052BE"/>
    <w:rsid w:val="08145C21"/>
    <w:rsid w:val="08422688"/>
    <w:rsid w:val="085854ED"/>
    <w:rsid w:val="0879188F"/>
    <w:rsid w:val="08A0354D"/>
    <w:rsid w:val="08CD4C49"/>
    <w:rsid w:val="08E73DFD"/>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C7D1F"/>
    <w:rsid w:val="0D4903E8"/>
    <w:rsid w:val="0D7A4A46"/>
    <w:rsid w:val="0E640559"/>
    <w:rsid w:val="0ED463D8"/>
    <w:rsid w:val="0F1113DA"/>
    <w:rsid w:val="0F78534A"/>
    <w:rsid w:val="0F89358A"/>
    <w:rsid w:val="0F8C6D51"/>
    <w:rsid w:val="105B0B5E"/>
    <w:rsid w:val="112E58D0"/>
    <w:rsid w:val="115A6C26"/>
    <w:rsid w:val="115B693C"/>
    <w:rsid w:val="11731CAC"/>
    <w:rsid w:val="119500A0"/>
    <w:rsid w:val="11BA3167"/>
    <w:rsid w:val="11C0733B"/>
    <w:rsid w:val="11C23777"/>
    <w:rsid w:val="11D50D17"/>
    <w:rsid w:val="120E0809"/>
    <w:rsid w:val="127F665A"/>
    <w:rsid w:val="12A367ED"/>
    <w:rsid w:val="12F7068C"/>
    <w:rsid w:val="14207DC0"/>
    <w:rsid w:val="14B932DA"/>
    <w:rsid w:val="150A66AF"/>
    <w:rsid w:val="154C1139"/>
    <w:rsid w:val="158C5B77"/>
    <w:rsid w:val="160D1149"/>
    <w:rsid w:val="163563C0"/>
    <w:rsid w:val="164315EF"/>
    <w:rsid w:val="16557DFE"/>
    <w:rsid w:val="167268FB"/>
    <w:rsid w:val="16745F63"/>
    <w:rsid w:val="16770D0A"/>
    <w:rsid w:val="16D50C50"/>
    <w:rsid w:val="16E120E1"/>
    <w:rsid w:val="16E463B6"/>
    <w:rsid w:val="17385A05"/>
    <w:rsid w:val="173B3901"/>
    <w:rsid w:val="176747F9"/>
    <w:rsid w:val="17954A6E"/>
    <w:rsid w:val="180059E9"/>
    <w:rsid w:val="184510FD"/>
    <w:rsid w:val="190648B0"/>
    <w:rsid w:val="19071D6C"/>
    <w:rsid w:val="19D26CD4"/>
    <w:rsid w:val="19E60D19"/>
    <w:rsid w:val="1A295829"/>
    <w:rsid w:val="1A3E3450"/>
    <w:rsid w:val="1AD807E5"/>
    <w:rsid w:val="1B39345B"/>
    <w:rsid w:val="1B400E2A"/>
    <w:rsid w:val="1BEA70D9"/>
    <w:rsid w:val="1BFB2A1F"/>
    <w:rsid w:val="1C015D4A"/>
    <w:rsid w:val="1C290ED5"/>
    <w:rsid w:val="1C317E4F"/>
    <w:rsid w:val="1C472464"/>
    <w:rsid w:val="1C8B5FB5"/>
    <w:rsid w:val="1D22799A"/>
    <w:rsid w:val="1D5C1A72"/>
    <w:rsid w:val="1DAF458D"/>
    <w:rsid w:val="1E086ACE"/>
    <w:rsid w:val="1E62130A"/>
    <w:rsid w:val="1E97358B"/>
    <w:rsid w:val="1EAA4A5F"/>
    <w:rsid w:val="1EE869A7"/>
    <w:rsid w:val="1FA15E62"/>
    <w:rsid w:val="1FED69B6"/>
    <w:rsid w:val="2064678E"/>
    <w:rsid w:val="20DC1AB9"/>
    <w:rsid w:val="20DD6197"/>
    <w:rsid w:val="21040255"/>
    <w:rsid w:val="212631E0"/>
    <w:rsid w:val="21A53757"/>
    <w:rsid w:val="221236C6"/>
    <w:rsid w:val="22D7662C"/>
    <w:rsid w:val="23326B7F"/>
    <w:rsid w:val="2380045B"/>
    <w:rsid w:val="239E6CA4"/>
    <w:rsid w:val="23BC04D2"/>
    <w:rsid w:val="23EF1892"/>
    <w:rsid w:val="2483647E"/>
    <w:rsid w:val="24A32D55"/>
    <w:rsid w:val="25292727"/>
    <w:rsid w:val="252E5CA9"/>
    <w:rsid w:val="255E75F0"/>
    <w:rsid w:val="256F7692"/>
    <w:rsid w:val="25BA2154"/>
    <w:rsid w:val="25C8773F"/>
    <w:rsid w:val="264A7253"/>
    <w:rsid w:val="26F0170C"/>
    <w:rsid w:val="27201D62"/>
    <w:rsid w:val="27286E73"/>
    <w:rsid w:val="27454BA5"/>
    <w:rsid w:val="27CF2642"/>
    <w:rsid w:val="27E777F5"/>
    <w:rsid w:val="27EA1D4C"/>
    <w:rsid w:val="27EA2E41"/>
    <w:rsid w:val="282459E2"/>
    <w:rsid w:val="283A7FE5"/>
    <w:rsid w:val="285F51FF"/>
    <w:rsid w:val="2861262D"/>
    <w:rsid w:val="28DF2665"/>
    <w:rsid w:val="29072599"/>
    <w:rsid w:val="291029F3"/>
    <w:rsid w:val="2979274E"/>
    <w:rsid w:val="29CB58F0"/>
    <w:rsid w:val="2A053397"/>
    <w:rsid w:val="2A145E96"/>
    <w:rsid w:val="2A2131BB"/>
    <w:rsid w:val="2AF5378F"/>
    <w:rsid w:val="2BB94DBF"/>
    <w:rsid w:val="2C6F314E"/>
    <w:rsid w:val="2CC206BE"/>
    <w:rsid w:val="2D1136DF"/>
    <w:rsid w:val="2D20606D"/>
    <w:rsid w:val="2D287D0A"/>
    <w:rsid w:val="2DB87198"/>
    <w:rsid w:val="2DB93C54"/>
    <w:rsid w:val="2E3D144C"/>
    <w:rsid w:val="2E891204"/>
    <w:rsid w:val="2EE67A09"/>
    <w:rsid w:val="2EF61241"/>
    <w:rsid w:val="2F3F0A28"/>
    <w:rsid w:val="2FBF7029"/>
    <w:rsid w:val="2FD0187F"/>
    <w:rsid w:val="2FD27414"/>
    <w:rsid w:val="2FFE4BB0"/>
    <w:rsid w:val="300E7B60"/>
    <w:rsid w:val="300F6E18"/>
    <w:rsid w:val="30862F5F"/>
    <w:rsid w:val="314029C9"/>
    <w:rsid w:val="31C63837"/>
    <w:rsid w:val="31C82E39"/>
    <w:rsid w:val="32601BAD"/>
    <w:rsid w:val="328F56E5"/>
    <w:rsid w:val="329F6389"/>
    <w:rsid w:val="3389023A"/>
    <w:rsid w:val="33CB74FA"/>
    <w:rsid w:val="343642F2"/>
    <w:rsid w:val="343F3010"/>
    <w:rsid w:val="345D0A00"/>
    <w:rsid w:val="34713BFD"/>
    <w:rsid w:val="34C13589"/>
    <w:rsid w:val="34EC7728"/>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462ABC"/>
    <w:rsid w:val="398D3668"/>
    <w:rsid w:val="39DA0497"/>
    <w:rsid w:val="3A893816"/>
    <w:rsid w:val="3A893B6D"/>
    <w:rsid w:val="3AD1763A"/>
    <w:rsid w:val="3B6716E3"/>
    <w:rsid w:val="3B6C6B2D"/>
    <w:rsid w:val="3B87150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0840574"/>
    <w:rsid w:val="41431AD5"/>
    <w:rsid w:val="414B3C0F"/>
    <w:rsid w:val="417C1CE7"/>
    <w:rsid w:val="41900018"/>
    <w:rsid w:val="41944406"/>
    <w:rsid w:val="41B8730F"/>
    <w:rsid w:val="41CE128F"/>
    <w:rsid w:val="41DA6F12"/>
    <w:rsid w:val="42171FB1"/>
    <w:rsid w:val="42474855"/>
    <w:rsid w:val="434E6957"/>
    <w:rsid w:val="439675D0"/>
    <w:rsid w:val="43BA0E31"/>
    <w:rsid w:val="43C15147"/>
    <w:rsid w:val="43E14DD2"/>
    <w:rsid w:val="43F800E9"/>
    <w:rsid w:val="443A7E4B"/>
    <w:rsid w:val="451A356F"/>
    <w:rsid w:val="452F5B3A"/>
    <w:rsid w:val="454E7FD2"/>
    <w:rsid w:val="46061BDC"/>
    <w:rsid w:val="461404F8"/>
    <w:rsid w:val="46413018"/>
    <w:rsid w:val="464B7E04"/>
    <w:rsid w:val="465952BF"/>
    <w:rsid w:val="468041AA"/>
    <w:rsid w:val="468123C6"/>
    <w:rsid w:val="46901EEE"/>
    <w:rsid w:val="469C74D2"/>
    <w:rsid w:val="47445515"/>
    <w:rsid w:val="474B4782"/>
    <w:rsid w:val="475249B4"/>
    <w:rsid w:val="47D90D14"/>
    <w:rsid w:val="4820548F"/>
    <w:rsid w:val="48387FB0"/>
    <w:rsid w:val="483A6114"/>
    <w:rsid w:val="48535370"/>
    <w:rsid w:val="488727DB"/>
    <w:rsid w:val="48B82268"/>
    <w:rsid w:val="48BA5C21"/>
    <w:rsid w:val="48C354B3"/>
    <w:rsid w:val="48E5010E"/>
    <w:rsid w:val="493D58B5"/>
    <w:rsid w:val="494A7A04"/>
    <w:rsid w:val="49E83B87"/>
    <w:rsid w:val="4A0A26D2"/>
    <w:rsid w:val="4A2019A5"/>
    <w:rsid w:val="4A241A0B"/>
    <w:rsid w:val="4A7B2875"/>
    <w:rsid w:val="4A934476"/>
    <w:rsid w:val="4A9B332A"/>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4F0A3C"/>
    <w:rsid w:val="56510474"/>
    <w:rsid w:val="56861525"/>
    <w:rsid w:val="56A93273"/>
    <w:rsid w:val="56AA78A5"/>
    <w:rsid w:val="56BD550C"/>
    <w:rsid w:val="56E07045"/>
    <w:rsid w:val="56FF28AF"/>
    <w:rsid w:val="57236B81"/>
    <w:rsid w:val="57540E7D"/>
    <w:rsid w:val="5769678C"/>
    <w:rsid w:val="57715B3F"/>
    <w:rsid w:val="577B4878"/>
    <w:rsid w:val="57926973"/>
    <w:rsid w:val="58175352"/>
    <w:rsid w:val="581F2200"/>
    <w:rsid w:val="583059FA"/>
    <w:rsid w:val="584A0929"/>
    <w:rsid w:val="58CD2491"/>
    <w:rsid w:val="591B41B2"/>
    <w:rsid w:val="59254A26"/>
    <w:rsid w:val="59290C1D"/>
    <w:rsid w:val="59326325"/>
    <w:rsid w:val="595C505B"/>
    <w:rsid w:val="595E55C3"/>
    <w:rsid w:val="596E7E20"/>
    <w:rsid w:val="59D312E6"/>
    <w:rsid w:val="5A60780B"/>
    <w:rsid w:val="5AB34579"/>
    <w:rsid w:val="5AFC6609"/>
    <w:rsid w:val="5B113480"/>
    <w:rsid w:val="5BD456CE"/>
    <w:rsid w:val="5BD4669C"/>
    <w:rsid w:val="5C0D1F49"/>
    <w:rsid w:val="5CA22C5B"/>
    <w:rsid w:val="5CBB0CE2"/>
    <w:rsid w:val="5CBB1321"/>
    <w:rsid w:val="5CC17177"/>
    <w:rsid w:val="5CF306BC"/>
    <w:rsid w:val="5D3F3D64"/>
    <w:rsid w:val="5D833043"/>
    <w:rsid w:val="5DD92690"/>
    <w:rsid w:val="5DDB1CFD"/>
    <w:rsid w:val="5E4775F9"/>
    <w:rsid w:val="5E7E6D93"/>
    <w:rsid w:val="5ED44800"/>
    <w:rsid w:val="5F350BDE"/>
    <w:rsid w:val="5F61632C"/>
    <w:rsid w:val="5FA17648"/>
    <w:rsid w:val="5FE705CB"/>
    <w:rsid w:val="603D5080"/>
    <w:rsid w:val="608667FC"/>
    <w:rsid w:val="60D0261B"/>
    <w:rsid w:val="618E3791"/>
    <w:rsid w:val="61947DCA"/>
    <w:rsid w:val="61A46A97"/>
    <w:rsid w:val="61CC22AE"/>
    <w:rsid w:val="61D1382F"/>
    <w:rsid w:val="61F114A2"/>
    <w:rsid w:val="622B0ABA"/>
    <w:rsid w:val="62512BB4"/>
    <w:rsid w:val="625D7D1A"/>
    <w:rsid w:val="62DD7D21"/>
    <w:rsid w:val="637D586B"/>
    <w:rsid w:val="63803D4F"/>
    <w:rsid w:val="63A5560B"/>
    <w:rsid w:val="63E9091F"/>
    <w:rsid w:val="64322AF9"/>
    <w:rsid w:val="64D6010D"/>
    <w:rsid w:val="64D82665"/>
    <w:rsid w:val="64E0255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7EC244A"/>
    <w:rsid w:val="683F0658"/>
    <w:rsid w:val="689C6793"/>
    <w:rsid w:val="68DB0208"/>
    <w:rsid w:val="68FB170C"/>
    <w:rsid w:val="691B3D98"/>
    <w:rsid w:val="693748F0"/>
    <w:rsid w:val="69476FCF"/>
    <w:rsid w:val="69846A0E"/>
    <w:rsid w:val="69AA1366"/>
    <w:rsid w:val="69AD798C"/>
    <w:rsid w:val="69D005C0"/>
    <w:rsid w:val="69D80B96"/>
    <w:rsid w:val="6AA65180"/>
    <w:rsid w:val="6B68175F"/>
    <w:rsid w:val="6BED0FB2"/>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C08E6"/>
    <w:rsid w:val="770719AC"/>
    <w:rsid w:val="776526CC"/>
    <w:rsid w:val="77A262E1"/>
    <w:rsid w:val="77B13C33"/>
    <w:rsid w:val="77ED6F44"/>
    <w:rsid w:val="77F45548"/>
    <w:rsid w:val="781E4A3C"/>
    <w:rsid w:val="784E7CA6"/>
    <w:rsid w:val="78574801"/>
    <w:rsid w:val="7873527F"/>
    <w:rsid w:val="78D36201"/>
    <w:rsid w:val="790A6425"/>
    <w:rsid w:val="790E2D96"/>
    <w:rsid w:val="791B54B2"/>
    <w:rsid w:val="795A0A34"/>
    <w:rsid w:val="797339C3"/>
    <w:rsid w:val="79D57D57"/>
    <w:rsid w:val="79EC1482"/>
    <w:rsid w:val="79F00650"/>
    <w:rsid w:val="7A6242BF"/>
    <w:rsid w:val="7A794513"/>
    <w:rsid w:val="7AE952D2"/>
    <w:rsid w:val="7C413482"/>
    <w:rsid w:val="7C7248A0"/>
    <w:rsid w:val="7C976D69"/>
    <w:rsid w:val="7CA34727"/>
    <w:rsid w:val="7CD752DA"/>
    <w:rsid w:val="7CDE40AB"/>
    <w:rsid w:val="7CF057E2"/>
    <w:rsid w:val="7D1548B5"/>
    <w:rsid w:val="7DF84014"/>
    <w:rsid w:val="7E207949"/>
    <w:rsid w:val="7E4E26A3"/>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numPr>
        <w:ilvl w:val="0"/>
        <w:numId w:val="1"/>
      </w:numPr>
      <w:tabs>
        <w:tab w:val="left" w:pos="0"/>
      </w:tabs>
      <w:spacing w:line="576" w:lineRule="auto"/>
      <w:outlineLvl w:val="0"/>
    </w:pPr>
    <w:rPr>
      <w:b/>
      <w:kern w:val="44"/>
      <w:sz w:val="44"/>
    </w:rPr>
  </w:style>
  <w:style w:type="character" w:default="1" w:styleId="11">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Company</Company>
  <Pages>29</Pages>
  <Words>7804</Words>
  <Characters>8930</Characters>
  <Lines>18</Lines>
  <Paragraphs>20</Paragraphs>
  <TotalTime>20</TotalTime>
  <ScaleCrop>false</ScaleCrop>
  <LinksUpToDate>false</LinksUpToDate>
  <CharactersWithSpaces>8943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2024-08-20T14:57:00Z</dcterms:created>
  <dc:creator>GXR</dc:creator>
  <cp:lastModifiedBy>Administrator</cp:lastModifiedBy>
  <dcterms:modified xsi:type="dcterms:W3CDTF">2024-11-29T05:10:47Z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BACE9F6A739E4F80B589D96435F08813_13</vt:lpwstr>
  </property>
</Properties>
</file>