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库尔勒市退役军人事务局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0" w:name="_Toc24028"/>
      <w:bookmarkStart w:id="1" w:name="_Toc32314"/>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单位</w:t>
      </w:r>
      <w:r>
        <w:rPr>
          <w:rFonts w:hint="eastAsia" w:ascii="Times New Roman" w:hAnsi="Times New Roman"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Times New Roman" w:hAnsi="Times New Roman" w:eastAsia="黑体"/>
          <w:color w:val="auto"/>
          <w:sz w:val="32"/>
          <w:szCs w:val="32"/>
          <w:highlight w:val="none"/>
        </w:rPr>
      </w:pPr>
      <w:bookmarkStart w:id="2" w:name="_Toc30567"/>
      <w:bookmarkStart w:id="3" w:name="_Toc30738"/>
      <w:r>
        <w:rPr>
          <w:rFonts w:hint="eastAsia" w:ascii="Times New Roman" w:hAnsi="Times New Roman" w:eastAsia="黑体"/>
          <w:color w:val="auto"/>
          <w:sz w:val="32"/>
          <w:szCs w:val="32"/>
          <w:highlight w:val="none"/>
        </w:rPr>
        <w:t>一、主要职能</w:t>
      </w:r>
      <w:bookmarkEnd w:id="2"/>
      <w:bookmarkEnd w:id="3"/>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hint="eastAsia" w:ascii="Times New Roman" w:hAnsi="Times New Roman" w:eastAsia="仿宋_GB2312" w:cs="宋体"/>
          <w:bCs/>
          <w:color w:val="auto"/>
          <w:sz w:val="32"/>
          <w:szCs w:val="32"/>
          <w:highlight w:val="none"/>
        </w:rPr>
      </w:pPr>
      <w:bookmarkStart w:id="4" w:name="_Toc31238"/>
      <w:bookmarkStart w:id="5" w:name="_Toc2151"/>
      <w:r>
        <w:rPr>
          <w:rFonts w:hint="eastAsia" w:ascii="Times New Roman" w:hAnsi="Times New Roman" w:eastAsia="仿宋_GB2312" w:cs="宋体"/>
          <w:bCs/>
          <w:color w:val="auto"/>
          <w:sz w:val="32"/>
          <w:szCs w:val="32"/>
          <w:highlight w:val="none"/>
        </w:rPr>
        <w:t>（一）组织实施退役军人思想政治、管理保障和安置优抚等工作政策法规，褒扬彰显退役军人为党、国家和人民牺牲奉献的精神风范和价值导向，发挥退役军人在新疆社会稳定和长治久安总目标中的作用。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（二）负责军队转业干部、复员干部、离退休干部、退役士兵和无军籍退休退职职工的移交安置工作和自主择业、就业退役军人服务管理工作；组织实施退役军人留库尔勒市安置优惠优待政策。</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（三）组织指导开展退役军人教育培训工作；协调扶持退役军人和随军随调家属就业创业。</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（四）会同有关部门拟定退役军人特殊保障政策并组织落实。</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（五）组织落实移交地方的离休退休军人、符合条件的其他退役军人和无军籍退休退职职工的住房保障，以及退役军人医疗保障、社会保险等待遇保障工作。</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（六）组织指导伤病残退役军人服务管理和抚恤工作，指导并落实有关退役军人医疗、疗养、养老等机构的规划政策；承担不适宜继续服役的伤病残军人相关工作。</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（七）组织指导拥军优属工作。负责现役军人、退役军人、军队文职人员和军属优待、抚恤等工作，落实国民党抗战老兵等有关人员优待政策并指导实施。</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八）负责烈士及退役军人荣誉奖励、军人公墓规划建设、管理维护、纪念活动等工作；依法承担英雄烈士保护相关工作；审核拟列入全国和自治区重点保护单位的烈士纪念建筑物名录；总结表彰和宣扬退役军人、退役军人工作单位先进典型事迹。</w:t>
      </w:r>
    </w:p>
    <w:p>
      <w:pPr>
        <w:keepNext w:val="0"/>
        <w:keepLines w:val="0"/>
        <w:pageBreakBefore w:val="0"/>
        <w:widowControl/>
        <w:kinsoku/>
        <w:wordWrap/>
        <w:overflowPunct/>
        <w:topLinePunct w:val="0"/>
        <w:autoSpaceDE/>
        <w:autoSpaceDN/>
        <w:bidi w:val="0"/>
        <w:adjustRightInd/>
        <w:snapToGrid/>
        <w:spacing w:line="240" w:lineRule="auto"/>
        <w:ind w:firstLine="640"/>
        <w:jc w:val="left"/>
        <w:textAlignment w:val="auto"/>
        <w:rPr>
          <w:rFonts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（九）指导并监督检查退役军人相关法律法规和政策措施的落实；组织指导退役军人权益维护和有关人员的帮扶援助工作。</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hint="eastAsia" w:ascii="Times New Roman" w:hAnsi="Times New Roman" w:eastAsia="仿宋_GB2312" w:cs="宋体"/>
          <w:bCs/>
          <w:color w:val="auto"/>
          <w:sz w:val="32"/>
          <w:szCs w:val="32"/>
          <w:highlight w:val="none"/>
        </w:rPr>
      </w:pPr>
      <w:r>
        <w:rPr>
          <w:rFonts w:hint="eastAsia" w:ascii="Times New Roman" w:hAnsi="Times New Roman" w:eastAsia="仿宋_GB2312" w:cs="宋体"/>
          <w:bCs/>
          <w:color w:val="auto"/>
          <w:sz w:val="32"/>
          <w:szCs w:val="32"/>
          <w:highlight w:val="none"/>
        </w:rPr>
        <w:t>（十）完成市党委、市人民政府交办的其他事项。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pacing w:val="0"/>
          <w:sz w:val="32"/>
          <w:szCs w:val="32"/>
          <w:highlight w:val="none"/>
          <w:lang w:eastAsia="zh-CN"/>
        </w:rPr>
      </w:pPr>
      <w:r>
        <w:rPr>
          <w:rFonts w:hint="eastAsia" w:ascii="Times New Roman" w:hAnsi="Times New Roman" w:eastAsia="仿宋_GB2312" w:cs="宋体"/>
          <w:bCs/>
          <w:color w:val="auto"/>
          <w:sz w:val="32"/>
          <w:szCs w:val="32"/>
          <w:highlight w:val="none"/>
          <w:lang w:val="en-US" w:eastAsia="zh-CN"/>
        </w:rPr>
        <w:t>库尔勒市退役军人事务</w:t>
      </w:r>
      <w:r>
        <w:rPr>
          <w:rFonts w:hint="eastAsia" w:ascii="仿宋_GB2312" w:hAnsi="Times New Roman" w:eastAsia="仿宋_GB2312" w:cs="Times New Roman"/>
          <w:spacing w:val="0"/>
          <w:sz w:val="32"/>
          <w:szCs w:val="32"/>
          <w:highlight w:val="none"/>
          <w:lang w:val="en-US" w:eastAsia="zh-CN"/>
        </w:rPr>
        <w:t>局</w:t>
      </w:r>
      <w:r>
        <w:rPr>
          <w:rFonts w:hint="eastAsia" w:ascii="仿宋_GB2312" w:hAnsi="Times New Roman" w:eastAsia="仿宋_GB2312" w:cs="Times New Roman"/>
          <w:spacing w:val="0"/>
          <w:sz w:val="32"/>
          <w:szCs w:val="32"/>
          <w:highlight w:val="none"/>
          <w:lang w:eastAsia="zh-CN"/>
        </w:rPr>
        <w:t>2023年度，实有人数</w:t>
      </w:r>
      <w:r>
        <w:rPr>
          <w:rFonts w:hint="eastAsia" w:ascii="仿宋_GB2312" w:hAnsi="Times New Roman" w:eastAsia="仿宋_GB2312" w:cs="Times New Roman"/>
          <w:spacing w:val="0"/>
          <w:sz w:val="32"/>
          <w:szCs w:val="32"/>
          <w:highlight w:val="none"/>
          <w:lang w:val="zh-CN" w:eastAsia="zh-CN"/>
        </w:rPr>
        <w:t>17</w:t>
      </w:r>
      <w:r>
        <w:rPr>
          <w:rFonts w:hint="eastAsia" w:ascii="仿宋_GB2312" w:hAnsi="Times New Roman" w:eastAsia="仿宋_GB2312" w:cs="Times New Roman"/>
          <w:spacing w:val="0"/>
          <w:sz w:val="32"/>
          <w:szCs w:val="32"/>
          <w:highlight w:val="none"/>
          <w:lang w:eastAsia="zh-CN"/>
        </w:rPr>
        <w:t>人，其中：在职人员</w:t>
      </w:r>
      <w:r>
        <w:rPr>
          <w:rFonts w:hint="eastAsia" w:ascii="仿宋_GB2312" w:hAnsi="Times New Roman" w:eastAsia="仿宋_GB2312" w:cs="Times New Roman"/>
          <w:spacing w:val="0"/>
          <w:sz w:val="32"/>
          <w:szCs w:val="32"/>
          <w:highlight w:val="none"/>
          <w:lang w:val="zh-CN" w:eastAsia="zh-CN"/>
        </w:rPr>
        <w:t>16</w:t>
      </w:r>
      <w:r>
        <w:rPr>
          <w:rFonts w:hint="eastAsia" w:ascii="仿宋_GB2312" w:hAnsi="Times New Roman" w:eastAsia="仿宋_GB2312" w:cs="Times New Roman"/>
          <w:spacing w:val="0"/>
          <w:sz w:val="32"/>
          <w:szCs w:val="32"/>
          <w:highlight w:val="none"/>
          <w:lang w:eastAsia="zh-CN"/>
        </w:rPr>
        <w:t>人，离休人员</w:t>
      </w:r>
      <w:r>
        <w:rPr>
          <w:rFonts w:hint="eastAsia" w:ascii="仿宋_GB2312" w:hAnsi="Times New Roman" w:eastAsia="仿宋_GB2312" w:cs="Times New Roman"/>
          <w:spacing w:val="0"/>
          <w:sz w:val="32"/>
          <w:szCs w:val="32"/>
          <w:highlight w:val="none"/>
          <w:lang w:val="zh-CN" w:eastAsia="zh-CN"/>
        </w:rPr>
        <w:t>0</w:t>
      </w:r>
      <w:r>
        <w:rPr>
          <w:rFonts w:hint="eastAsia" w:ascii="仿宋_GB2312" w:hAnsi="Times New Roman" w:eastAsia="仿宋_GB2312" w:cs="Times New Roman"/>
          <w:spacing w:val="0"/>
          <w:sz w:val="32"/>
          <w:szCs w:val="32"/>
          <w:highlight w:val="none"/>
          <w:lang w:eastAsia="zh-CN"/>
        </w:rPr>
        <w:t>人，退休人员</w:t>
      </w:r>
      <w:r>
        <w:rPr>
          <w:rFonts w:hint="eastAsia" w:ascii="仿宋_GB2312" w:hAnsi="Times New Roman" w:eastAsia="仿宋_GB2312" w:cs="Times New Roman"/>
          <w:spacing w:val="0"/>
          <w:sz w:val="32"/>
          <w:szCs w:val="32"/>
          <w:highlight w:val="none"/>
          <w:lang w:val="zh-CN" w:eastAsia="zh-CN"/>
        </w:rPr>
        <w:t>1</w:t>
      </w:r>
      <w:r>
        <w:rPr>
          <w:rFonts w:hint="eastAsia" w:ascii="仿宋_GB2312" w:hAnsi="Times New Roman" w:eastAsia="仿宋_GB2312" w:cs="Times New Roman"/>
          <w:spacing w:val="0"/>
          <w:sz w:val="32"/>
          <w:szCs w:val="32"/>
          <w:highlight w:val="none"/>
          <w:lang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宋体"/>
          <w:bCs/>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Times New Roman" w:eastAsia="仿宋_GB2312" w:cs="Times New Roman"/>
          <w:spacing w:val="0"/>
          <w:sz w:val="32"/>
          <w:szCs w:val="32"/>
          <w:highlight w:val="none"/>
          <w:lang w:eastAsia="zh-CN"/>
        </w:rPr>
        <w:t>单位无下属预算单位，下设</w:t>
      </w:r>
      <w:r>
        <w:rPr>
          <w:rFonts w:hint="eastAsia" w:ascii="仿宋_GB2312" w:hAnsi="Times New Roman" w:eastAsia="仿宋_GB2312" w:cs="Times New Roman"/>
          <w:spacing w:val="0"/>
          <w:sz w:val="32"/>
          <w:szCs w:val="32"/>
          <w:highlight w:val="none"/>
          <w:lang w:val="en-US" w:eastAsia="zh-CN"/>
        </w:rPr>
        <w:t>4</w:t>
      </w:r>
      <w:r>
        <w:rPr>
          <w:rFonts w:hint="eastAsia" w:ascii="仿宋_GB2312" w:hAnsi="Times New Roman" w:eastAsia="仿宋_GB2312" w:cs="Times New Roman"/>
          <w:spacing w:val="0"/>
          <w:sz w:val="32"/>
          <w:szCs w:val="32"/>
          <w:highlight w:val="none"/>
          <w:lang w:eastAsia="zh-CN"/>
        </w:rPr>
        <w:t>个处室，分别是：</w:t>
      </w:r>
      <w:r>
        <w:rPr>
          <w:rFonts w:hint="eastAsia" w:ascii="Times New Roman" w:hAnsi="Times New Roman" w:eastAsia="仿宋_GB2312" w:cs="宋体"/>
          <w:bCs/>
          <w:color w:val="auto"/>
          <w:sz w:val="32"/>
          <w:szCs w:val="32"/>
          <w:highlight w:val="none"/>
        </w:rPr>
        <w:t>市双拥</w:t>
      </w:r>
      <w:r>
        <w:rPr>
          <w:rFonts w:hint="eastAsia" w:ascii="Times New Roman" w:hAnsi="Times New Roman" w:eastAsia="仿宋_GB2312" w:cs="宋体"/>
          <w:bCs/>
          <w:color w:val="auto"/>
          <w:sz w:val="32"/>
          <w:szCs w:val="32"/>
          <w:highlight w:val="none"/>
          <w:lang w:eastAsia="zh-CN"/>
        </w:rPr>
        <w:t>办公室</w:t>
      </w:r>
      <w:r>
        <w:rPr>
          <w:rFonts w:hint="eastAsia" w:ascii="Times New Roman" w:hAnsi="Times New Roman" w:eastAsia="仿宋_GB2312" w:cs="宋体"/>
          <w:bCs/>
          <w:color w:val="auto"/>
          <w:sz w:val="32"/>
          <w:szCs w:val="32"/>
          <w:highlight w:val="none"/>
        </w:rPr>
        <w:t>、优抚</w:t>
      </w:r>
      <w:r>
        <w:rPr>
          <w:rFonts w:hint="eastAsia" w:ascii="Times New Roman" w:hAnsi="Times New Roman" w:eastAsia="仿宋_GB2312" w:cs="宋体"/>
          <w:bCs/>
          <w:color w:val="auto"/>
          <w:sz w:val="32"/>
          <w:szCs w:val="32"/>
          <w:highlight w:val="none"/>
          <w:lang w:eastAsia="zh-CN"/>
        </w:rPr>
        <w:t>办公室</w:t>
      </w:r>
      <w:r>
        <w:rPr>
          <w:rFonts w:hint="eastAsia" w:ascii="Times New Roman" w:hAnsi="Times New Roman" w:eastAsia="仿宋_GB2312" w:cs="宋体"/>
          <w:bCs/>
          <w:color w:val="auto"/>
          <w:sz w:val="32"/>
          <w:szCs w:val="32"/>
          <w:highlight w:val="none"/>
        </w:rPr>
        <w:t>、军队转业干部安置办公室</w:t>
      </w:r>
      <w:r>
        <w:rPr>
          <w:rFonts w:hint="eastAsia" w:ascii="Times New Roman" w:hAnsi="Times New Roman" w:eastAsia="仿宋_GB2312" w:cs="宋体"/>
          <w:bCs/>
          <w:color w:val="auto"/>
          <w:sz w:val="32"/>
          <w:szCs w:val="32"/>
          <w:highlight w:val="none"/>
          <w:lang w:eastAsia="zh-CN"/>
        </w:rPr>
        <w:t>、库尔勒烈士陵园管理办公室。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6" w:name="_Toc3092"/>
      <w:bookmarkStart w:id="7" w:name="_Toc29374"/>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12566"/>
      <w:bookmarkStart w:id="9" w:name="_Toc25314"/>
      <w:r>
        <w:rPr>
          <w:rFonts w:hint="eastAsia" w:ascii="Times New Roman" w:hAnsi="Times New Roman"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7,270.96万元，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7,270.96万元，使用非财政拨款结余0.00万元，年初结转和结余0.00万元。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7,270.96万元，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7,270.96万元，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增加1,613.28万元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增长28.51%</w:t>
      </w:r>
      <w:r>
        <w:rPr>
          <w:rFonts w:hint="eastAsia" w:ascii="Times New Roman" w:hAnsi="Times New Roman" w:eastAsia="仿宋_GB2312"/>
          <w:color w:val="auto"/>
          <w:spacing w:val="0"/>
          <w:sz w:val="32"/>
          <w:szCs w:val="32"/>
          <w:highlight w:val="none"/>
          <w:lang w:eastAsia="zh-CN"/>
        </w:rPr>
        <w:t>，主要原因是：本年度自主就业退役士兵的一次性经济补助支出和义务兵家庭优待支出以及优抚对象补助支出较上年增加较多。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2142"/>
      <w:bookmarkStart w:id="11" w:name="_Toc1979"/>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7,270.96</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7,270.96</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100.00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13201"/>
      <w:bookmarkStart w:id="13" w:name="_Toc2796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本年支出7,270.96万元，其中：基本支出572.06万元，占7.87%；项目支出6,698.90万元，占92.13%；上缴上级支出0.00万元，占0.00%；经营支出0.00万元，占0.00%；对附属单位补助支出0.00万元，占0.00%。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4393"/>
      <w:bookmarkStart w:id="15" w:name="_Toc26564"/>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7,270.96</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7,270.96</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7,270.96</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7,270.96</w:t>
      </w:r>
      <w:r>
        <w:rPr>
          <w:rFonts w:hint="eastAsia" w:ascii="Times New Roman" w:hAnsi="Times New Roman"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增加1,613.28万元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增长28.51%，</w:t>
      </w:r>
      <w:r>
        <w:rPr>
          <w:rFonts w:hint="eastAsia" w:ascii="Times New Roman" w:hAnsi="Times New Roman" w:eastAsia="仿宋_GB2312"/>
          <w:color w:val="auto"/>
          <w:spacing w:val="0"/>
          <w:sz w:val="32"/>
          <w:szCs w:val="32"/>
          <w:highlight w:val="none"/>
          <w:lang w:eastAsia="zh-CN"/>
        </w:rPr>
        <w:t>主要原因是：本年度自主就业退役士兵的一次性经济补助支出和义务兵家庭优待支出以及优抚对象补助支出较上年增加较多。与年初预算相比，年初预算数</w:t>
      </w:r>
      <w:r>
        <w:rPr>
          <w:rFonts w:hint="eastAsia" w:ascii="Times New Roman" w:hAnsi="Times New Roman" w:eastAsia="仿宋_GB2312"/>
          <w:color w:val="auto"/>
          <w:spacing w:val="0"/>
          <w:sz w:val="32"/>
          <w:szCs w:val="32"/>
          <w:highlight w:val="none"/>
          <w:lang w:val="zh-CN" w:eastAsia="zh-CN"/>
        </w:rPr>
        <w:t>7,456.69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7,270.96</w:t>
      </w:r>
      <w:r>
        <w:rPr>
          <w:rFonts w:hint="eastAsia" w:ascii="Times New Roman" w:hAnsi="Times New Roman" w:eastAsia="仿宋_GB2312"/>
          <w:color w:val="auto"/>
          <w:spacing w:val="0"/>
          <w:sz w:val="32"/>
          <w:szCs w:val="32"/>
          <w:highlight w:val="none"/>
          <w:lang w:eastAsia="zh-CN"/>
        </w:rPr>
        <w:t>万元，预决算差异率-2.49%，主要原因是：</w:t>
      </w:r>
      <w:r>
        <w:rPr>
          <w:rFonts w:hint="eastAsia" w:ascii="Times New Roman" w:hAnsi="Times New Roman" w:eastAsia="仿宋_GB2312" w:cs="Times New Roman"/>
          <w:sz w:val="32"/>
          <w:szCs w:val="32"/>
          <w:lang w:eastAsia="zh-CN"/>
        </w:rPr>
        <w:t>年初预算安排政府性基金预算支出烈士陵园项目支出率低</w:t>
      </w:r>
      <w:r>
        <w:rPr>
          <w:rFonts w:hint="eastAsia" w:ascii="Times New Roman" w:hAnsi="Times New Roman"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20360"/>
      <w:bookmarkStart w:id="17" w:name="_Toc13833"/>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2023年度一般公共预算财政拨款支出6,985.13万元，占本年支出合计的</w:t>
      </w:r>
      <w:r>
        <w:rPr>
          <w:rFonts w:hint="eastAsia" w:ascii="Times New Roman" w:hAnsi="Times New Roman" w:eastAsia="仿宋_GB2312"/>
          <w:color w:val="auto"/>
          <w:spacing w:val="0"/>
          <w:sz w:val="32"/>
          <w:szCs w:val="32"/>
          <w:highlight w:val="none"/>
          <w:lang w:val="zh-CN" w:eastAsia="zh-CN"/>
        </w:rPr>
        <w:t>96.07%</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增加1,327.45万元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增长23.46%，</w:t>
      </w:r>
      <w:r>
        <w:rPr>
          <w:rFonts w:hint="eastAsia" w:ascii="Times New Roman" w:hAnsi="Times New Roman" w:eastAsia="仿宋_GB2312"/>
          <w:color w:val="auto"/>
          <w:spacing w:val="0"/>
          <w:sz w:val="32"/>
          <w:szCs w:val="32"/>
          <w:highlight w:val="none"/>
          <w:lang w:eastAsia="zh-CN"/>
        </w:rPr>
        <w:t>主要原因是：本年度自主就业退役士兵的一次性经济补助支出和义务兵家庭优待支出以及优抚对象补助支出较上年增加较多。与年初预算相比，年初预算数</w:t>
      </w:r>
      <w:r>
        <w:rPr>
          <w:rFonts w:hint="eastAsia" w:ascii="Times New Roman" w:hAnsi="Times New Roman" w:eastAsia="仿宋_GB2312"/>
          <w:color w:val="auto"/>
          <w:spacing w:val="0"/>
          <w:sz w:val="32"/>
          <w:szCs w:val="32"/>
          <w:highlight w:val="none"/>
          <w:lang w:val="zh-CN" w:eastAsia="zh-CN"/>
        </w:rPr>
        <w:t>6,756.69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6,985.13</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3.38%</w:t>
      </w:r>
      <w:r>
        <w:rPr>
          <w:rFonts w:hint="eastAsia" w:ascii="Times New Roman" w:hAnsi="Times New Roman" w:eastAsia="仿宋_GB2312"/>
          <w:color w:val="auto"/>
          <w:spacing w:val="0"/>
          <w:sz w:val="32"/>
          <w:szCs w:val="32"/>
          <w:highlight w:val="none"/>
          <w:lang w:eastAsia="zh-CN"/>
        </w:rPr>
        <w:t>，主要原因是：优抚对象补助发放标准提高以及追加烈士陵园土地证办理费用导致决算数较年初预算数增加。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教育支出（类）</w:t>
      </w:r>
      <w:r>
        <w:rPr>
          <w:rFonts w:hint="eastAsia" w:ascii="Times New Roman" w:hAnsi="Times New Roman" w:eastAsia="仿宋_GB2312" w:cs="Times New Roman"/>
          <w:color w:val="auto"/>
          <w:spacing w:val="0"/>
          <w:kern w:val="2"/>
          <w:sz w:val="32"/>
          <w:szCs w:val="32"/>
          <w:highlight w:val="none"/>
          <w:lang w:val="zh-CN" w:eastAsia="zh-CN" w:bidi="ar-SA"/>
        </w:rPr>
        <w:t>0.79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0.01</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eastAsia" w:ascii="Times New Roman" w:hAnsi="Times New Roman" w:eastAsia="仿宋_GB2312" w:cs="Times New Roman"/>
          <w:color w:val="auto"/>
          <w:spacing w:val="0"/>
          <w:kern w:val="2"/>
          <w:sz w:val="32"/>
          <w:szCs w:val="32"/>
          <w:highlight w:val="none"/>
          <w:lang w:val="zh-CN" w:eastAsia="zh-CN" w:bidi="ar-SA"/>
        </w:rPr>
        <w:t>6,943.87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99.41</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eastAsia" w:ascii="Times New Roman" w:hAnsi="Times New Roman" w:eastAsia="仿宋_GB2312" w:cs="Times New Roman"/>
          <w:color w:val="auto"/>
          <w:spacing w:val="0"/>
          <w:kern w:val="2"/>
          <w:sz w:val="32"/>
          <w:szCs w:val="32"/>
          <w:highlight w:val="none"/>
          <w:lang w:val="zh-CN" w:eastAsia="zh-CN" w:bidi="ar-SA"/>
        </w:rPr>
        <w:t>22.24</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0.32</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eastAsia" w:ascii="Times New Roman" w:hAnsi="Times New Roman" w:eastAsia="仿宋_GB2312" w:cs="Times New Roman"/>
          <w:color w:val="auto"/>
          <w:spacing w:val="0"/>
          <w:kern w:val="2"/>
          <w:sz w:val="32"/>
          <w:szCs w:val="32"/>
          <w:highlight w:val="none"/>
          <w:lang w:val="zh-CN" w:eastAsia="zh-CN" w:bidi="ar-SA"/>
        </w:rPr>
        <w:t>18.23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0.26</w:t>
      </w:r>
      <w:r>
        <w:rPr>
          <w:rFonts w:hint="default" w:ascii="Times New Roman"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.教育支出（类）进修及培训（款）培训支出（项）:支出决算数为0.79万元，比上年决算增加0.14万元，增长21.</w:t>
      </w:r>
      <w:r>
        <w:rPr>
          <w:rFonts w:hint="eastAsia" w:eastAsia="仿宋_GB2312" w:cs="Times New Roman"/>
          <w:color w:val="auto"/>
          <w:kern w:val="2"/>
          <w:sz w:val="32"/>
          <w:szCs w:val="32"/>
          <w:highlight w:val="none"/>
          <w:lang w:val="en-US" w:eastAsia="zh-CN" w:bidi="ar-SA"/>
        </w:rPr>
        <w:t>54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退役军人系统组织各类培训增加。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.社会保障和就业支出（类）行政事业单位养老支出（款）机关事业单位基本养老保险缴费支出（项）:支出决算数为23.67万元，比上年决算增加6.32万元，增长36.42%，主要原因是：</w:t>
      </w:r>
      <w:r>
        <w:rPr>
          <w:rFonts w:hint="eastAsia" w:eastAsia="仿宋_GB2312"/>
          <w:sz w:val="32"/>
          <w:szCs w:val="32"/>
          <w:highlight w:val="none"/>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2023机关事业单位基本养老保险缴费基数增加，决算数增加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.社会保障和就业支出（类）行政事业单位养老支出（款）机关事业单位职业年金缴费支出（项）:支出决算数为6.04万元，比上年决算增加6.04万元，增长100%，主要原因是：</w:t>
      </w:r>
      <w:r>
        <w:rPr>
          <w:rFonts w:hint="eastAsia" w:eastAsia="仿宋_GB2312" w:cs="Times New Roman"/>
          <w:color w:val="auto"/>
          <w:kern w:val="2"/>
          <w:sz w:val="32"/>
          <w:szCs w:val="32"/>
          <w:highlight w:val="none"/>
          <w:lang w:val="en-US" w:eastAsia="zh-CN" w:bidi="ar-SA"/>
        </w:rPr>
        <w:t>本年度有新增退休人员，职业年金个人账户记实，支出增加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.社会保障和就业支出（类）抚恤（款）死亡抚恤（项）:支出决算数为295.61万元，比上年决算增加287.03万元，增长</w:t>
      </w:r>
      <w:r>
        <w:rPr>
          <w:rFonts w:hint="eastAsia" w:eastAsia="仿宋_GB2312" w:cs="Times New Roman"/>
          <w:color w:val="auto"/>
          <w:kern w:val="2"/>
          <w:sz w:val="32"/>
          <w:szCs w:val="32"/>
          <w:highlight w:val="none"/>
          <w:lang w:val="en-US" w:eastAsia="zh-CN" w:bidi="ar-SA"/>
        </w:rPr>
        <w:t>3345.34</w:t>
      </w:r>
      <w:r>
        <w:rPr>
          <w:rFonts w:hint="eastAsia" w:ascii="Times New Roman" w:hAnsi="Times New Roman" w:eastAsia="仿宋_GB2312" w:cs="Times New Roman"/>
          <w:color w:val="auto"/>
          <w:kern w:val="2"/>
          <w:sz w:val="32"/>
          <w:szCs w:val="32"/>
          <w:highlight w:val="none"/>
          <w:lang w:val="en-US" w:eastAsia="zh-CN" w:bidi="ar-SA"/>
        </w:rPr>
        <w:t>%，主要原因是：无军籍职工去世丧抚费以及2023年新增</w:t>
      </w:r>
      <w:r>
        <w:rPr>
          <w:rFonts w:hint="eastAsia" w:ascii="Times New Roman" w:hAnsi="Times New Roman" w:eastAsia="仿宋_GB2312" w:cs="Times New Roman"/>
          <w:color w:val="auto"/>
          <w:kern w:val="2"/>
          <w:sz w:val="32"/>
          <w:szCs w:val="32"/>
          <w:highlight w:val="none"/>
          <w:lang w:val="zh-CN" w:eastAsia="zh-CN" w:bidi="ar-SA"/>
        </w:rPr>
        <w:t>烈士王裕海褒扬金及死亡抚恤金增加。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.社会保障和就业支出（类）抚恤（款）伤残抚恤（项）:支出决算数为226.98万元，比上年决算减少198.94万元，下降46.71%，主要原因是：202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年优抚对象</w:t>
      </w:r>
      <w:r>
        <w:rPr>
          <w:rFonts w:hint="eastAsia" w:eastAsia="仿宋_GB2312" w:cs="Times New Roman"/>
          <w:color w:val="auto"/>
          <w:kern w:val="2"/>
          <w:sz w:val="32"/>
          <w:szCs w:val="32"/>
          <w:highlight w:val="none"/>
          <w:lang w:val="en-US" w:eastAsia="zh-CN" w:bidi="ar-SA"/>
        </w:rPr>
        <w:t>补助部分调整至</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社会保障和就业支出（类）抚恤（款）其他优抚支出（项）</w:t>
      </w:r>
      <w:r>
        <w:rPr>
          <w:rFonts w:hint="eastAsia" w:eastAsia="仿宋_GB2312" w:cs="Times New Roman"/>
          <w:color w:val="auto"/>
          <w:kern w:val="2"/>
          <w:sz w:val="32"/>
          <w:szCs w:val="32"/>
          <w:highlight w:val="none"/>
          <w:lang w:val="en-US" w:eastAsia="zh-CN" w:bidi="ar-SA"/>
        </w:rPr>
        <w:t>科目下</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6.社会保障和就业支出（类）抚恤（款）义务兵优待（项）:支出决算数为395.23万元，比上年决算增加80.70万元，增长25.66%，主要原因是：</w:t>
      </w:r>
      <w:r>
        <w:rPr>
          <w:rFonts w:hint="eastAsia" w:ascii="Times New Roman" w:hAnsi="Times New Roman" w:eastAsia="仿宋_GB2312" w:cs="仿宋_GB2312"/>
          <w:color w:val="auto"/>
          <w:kern w:val="0"/>
          <w:sz w:val="31"/>
          <w:szCs w:val="31"/>
          <w:highlight w:val="none"/>
          <w:lang w:val="en-US" w:eastAsia="zh-CN"/>
        </w:rPr>
        <w:t>2023年</w:t>
      </w:r>
      <w:r>
        <w:rPr>
          <w:rFonts w:hint="eastAsia" w:eastAsia="仿宋_GB2312" w:cs="仿宋_GB2312"/>
          <w:color w:val="auto"/>
          <w:kern w:val="0"/>
          <w:sz w:val="31"/>
          <w:szCs w:val="31"/>
          <w:highlight w:val="none"/>
          <w:lang w:val="en-US" w:eastAsia="zh-CN"/>
        </w:rPr>
        <w:t>领取</w:t>
      </w:r>
      <w:r>
        <w:rPr>
          <w:rFonts w:hint="eastAsia" w:ascii="Times New Roman" w:hAnsi="Times New Roman" w:eastAsia="仿宋_GB2312" w:cs="仿宋_GB2312"/>
          <w:color w:val="auto"/>
          <w:kern w:val="0"/>
          <w:sz w:val="31"/>
          <w:szCs w:val="31"/>
          <w:highlight w:val="none"/>
          <w:lang w:val="en-US" w:eastAsia="zh-CN"/>
        </w:rPr>
        <w:t>义务兵家庭优待金</w:t>
      </w:r>
      <w:r>
        <w:rPr>
          <w:rFonts w:hint="eastAsia" w:eastAsia="仿宋_GB2312" w:cs="仿宋_GB2312"/>
          <w:color w:val="auto"/>
          <w:kern w:val="0"/>
          <w:sz w:val="31"/>
          <w:szCs w:val="31"/>
          <w:highlight w:val="none"/>
          <w:lang w:val="en-US" w:eastAsia="zh-CN"/>
        </w:rPr>
        <w:t>人数</w:t>
      </w:r>
      <w:r>
        <w:rPr>
          <w:rFonts w:hint="eastAsia" w:ascii="Times New Roman" w:hAnsi="Times New Roman" w:eastAsia="仿宋_GB2312" w:cs="仿宋_GB2312"/>
          <w:color w:val="auto"/>
          <w:kern w:val="0"/>
          <w:sz w:val="31"/>
          <w:szCs w:val="31"/>
          <w:highlight w:val="none"/>
          <w:lang w:val="en-US" w:eastAsia="zh-CN"/>
        </w:rPr>
        <w:t>较</w:t>
      </w:r>
      <w:r>
        <w:rPr>
          <w:rFonts w:hint="eastAsia" w:eastAsia="仿宋_GB2312" w:cs="仿宋_GB2312"/>
          <w:color w:val="auto"/>
          <w:kern w:val="0"/>
          <w:sz w:val="31"/>
          <w:szCs w:val="31"/>
          <w:highlight w:val="none"/>
          <w:lang w:val="en-US" w:eastAsia="zh-CN"/>
        </w:rPr>
        <w:t>上</w:t>
      </w:r>
      <w:r>
        <w:rPr>
          <w:rFonts w:hint="eastAsia" w:ascii="Times New Roman" w:hAnsi="Times New Roman" w:eastAsia="仿宋_GB2312" w:cs="仿宋_GB2312"/>
          <w:color w:val="auto"/>
          <w:kern w:val="0"/>
          <w:sz w:val="31"/>
          <w:szCs w:val="31"/>
          <w:highlight w:val="none"/>
          <w:lang w:val="en-US" w:eastAsia="zh-CN"/>
        </w:rPr>
        <w:t>年度增加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抚恤（款）烈士纪念设施管理维护（项）:支出决算数为18.48万元，比上年决算减少73.05万元，下降79.81%，主要原因是：2023年烈士纪念设施因烈士陵园建设项目实施致使项目施工费用增加的同时，管理维护费用降低</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.社会保障和就业支出（类）抚恤（款）其他优抚支出（项）:支出决算数为1,777.73万元，比上年决算增加429.74万元，增长31.88%，主要原因是：2023年</w:t>
      </w:r>
      <w:r>
        <w:rPr>
          <w:rFonts w:hint="eastAsia" w:ascii="Times New Roman" w:hAnsi="Times New Roman" w:eastAsia="仿宋_GB2312"/>
          <w:color w:val="auto"/>
          <w:spacing w:val="0"/>
          <w:sz w:val="32"/>
          <w:szCs w:val="32"/>
          <w:highlight w:val="none"/>
          <w:lang w:eastAsia="zh-CN"/>
        </w:rPr>
        <w:t>优抚对象人数增</w:t>
      </w:r>
      <w:r>
        <w:rPr>
          <w:rFonts w:hint="eastAsia" w:ascii="Times New Roman" w:hAnsi="Times New Roman" w:eastAsia="仿宋_GB2312" w:cs="Times New Roman"/>
          <w:color w:val="auto"/>
          <w:kern w:val="2"/>
          <w:sz w:val="32"/>
          <w:szCs w:val="32"/>
          <w:highlight w:val="none"/>
          <w:lang w:val="en-US" w:eastAsia="zh-CN" w:bidi="ar-SA"/>
        </w:rPr>
        <w:t>加以及补助发放标准提高导致其他优抚支出增加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9.社会保障和就业支出（类）退役安置（款）退役士兵安置（项）:支出决算数为712.10万元，比上年决算增加712.10万元，增长100%，主要原因是：</w:t>
      </w:r>
      <w:r>
        <w:rPr>
          <w:rFonts w:hint="eastAsia" w:eastAsia="仿宋_GB2312" w:cs="Times New Roman"/>
          <w:color w:val="auto"/>
          <w:kern w:val="2"/>
          <w:sz w:val="32"/>
          <w:szCs w:val="32"/>
          <w:highlight w:val="none"/>
          <w:lang w:val="en-US" w:eastAsia="zh-CN" w:bidi="ar-SA"/>
        </w:rPr>
        <w:t>对2022年因疫情原因未及时</w:t>
      </w:r>
      <w:r>
        <w:rPr>
          <w:rFonts w:hint="eastAsia" w:ascii="Times New Roman" w:hAnsi="Times New Roman" w:eastAsia="仿宋_GB2312" w:cs="Times New Roman"/>
          <w:color w:val="auto"/>
          <w:kern w:val="2"/>
          <w:sz w:val="32"/>
          <w:szCs w:val="32"/>
          <w:highlight w:val="none"/>
          <w:lang w:val="en-US" w:eastAsia="zh-CN" w:bidi="ar-SA"/>
        </w:rPr>
        <w:t>领取</w:t>
      </w:r>
      <w:r>
        <w:rPr>
          <w:rFonts w:hint="eastAsia" w:ascii="Times New Roman" w:hAnsi="Times New Roman" w:eastAsia="仿宋_GB2312" w:cs="Times New Roman"/>
          <w:color w:val="auto"/>
          <w:kern w:val="2"/>
          <w:sz w:val="32"/>
          <w:szCs w:val="32"/>
          <w:highlight w:val="none"/>
          <w:lang w:val="zh-CN" w:eastAsia="zh-CN" w:bidi="ar-SA"/>
        </w:rPr>
        <w:t>一次性就业经济补助金</w:t>
      </w:r>
      <w:r>
        <w:rPr>
          <w:rFonts w:hint="eastAsia" w:eastAsia="仿宋_GB2312" w:cs="Times New Roman"/>
          <w:color w:val="auto"/>
          <w:kern w:val="2"/>
          <w:sz w:val="32"/>
          <w:szCs w:val="32"/>
          <w:highlight w:val="none"/>
          <w:lang w:val="zh-CN" w:eastAsia="zh-CN" w:bidi="ar-SA"/>
        </w:rPr>
        <w:t>的退役士兵于</w:t>
      </w:r>
      <w:r>
        <w:rPr>
          <w:rFonts w:hint="eastAsia" w:eastAsia="仿宋_GB2312" w:cs="Times New Roman"/>
          <w:color w:val="auto"/>
          <w:kern w:val="2"/>
          <w:sz w:val="32"/>
          <w:szCs w:val="32"/>
          <w:highlight w:val="none"/>
          <w:lang w:val="en-US" w:eastAsia="zh-CN" w:bidi="ar-SA"/>
        </w:rPr>
        <w:t>2023年进行补发，导致2023年</w:t>
      </w:r>
      <w:r>
        <w:rPr>
          <w:rFonts w:hint="eastAsia" w:ascii="Times New Roman" w:hAnsi="Times New Roman" w:eastAsia="仿宋_GB2312" w:cs="Times New Roman"/>
          <w:color w:val="auto"/>
          <w:kern w:val="2"/>
          <w:sz w:val="32"/>
          <w:szCs w:val="32"/>
          <w:highlight w:val="none"/>
          <w:lang w:val="zh-CN" w:eastAsia="zh-CN" w:bidi="ar-SA"/>
        </w:rPr>
        <w:t>补助金较上年增加。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军队移交政府的离退休人员安置（项）:支出决算数为0.28万元，比上年决算增加0.28万元，增长100%，主要原因是：2023年本单位新增1名退休人员，由财政发放退休工资部分增加，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640" w:firstLineChars="200"/>
        <w:textAlignment w:val="auto"/>
        <w:rPr>
          <w:rFonts w:hint="default" w:ascii="Times New Roman" w:hAnsi="Times New Roman" w:eastAsia="仿宋_GB2312" w:cs="仿宋_GB2312"/>
          <w:color w:val="auto"/>
          <w:kern w:val="0"/>
          <w:sz w:val="31"/>
          <w:szCs w:val="31"/>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11.社会保障和就业支出（类）退役安置（款）军队转业干部安置（项）:支出决算数为105.31万元，比上年决算减少257.49万元，下降70.97%，主要原因是：</w:t>
      </w:r>
      <w:r>
        <w:rPr>
          <w:rFonts w:hint="eastAsia" w:ascii="Times New Roman" w:hAnsi="Times New Roman" w:eastAsia="仿宋_GB2312" w:cs="仿宋_GB2312"/>
          <w:color w:val="auto"/>
          <w:kern w:val="0"/>
          <w:sz w:val="31"/>
          <w:szCs w:val="31"/>
          <w:highlight w:val="none"/>
          <w:lang w:val="en-US" w:eastAsia="zh-CN"/>
        </w:rPr>
        <w:t>2022年无军籍职工工资支出在此功能科目下体现，而2023年在</w:t>
      </w:r>
      <w:r>
        <w:rPr>
          <w:rFonts w:hint="eastAsia" w:ascii="Times New Roman" w:hAnsi="Times New Roman" w:eastAsia="仿宋_GB2312" w:cs="Times New Roman"/>
          <w:color w:val="auto"/>
          <w:kern w:val="2"/>
          <w:sz w:val="32"/>
          <w:szCs w:val="32"/>
          <w:highlight w:val="none"/>
          <w:lang w:val="en-US" w:eastAsia="zh-CN" w:bidi="ar-SA"/>
        </w:rPr>
        <w:t>其他退役安置支出</w:t>
      </w:r>
      <w:r>
        <w:rPr>
          <w:rFonts w:hint="eastAsia" w:ascii="Times New Roman" w:hAnsi="Times New Roman" w:eastAsia="仿宋_GB2312" w:cs="仿宋_GB2312"/>
          <w:color w:val="auto"/>
          <w:kern w:val="0"/>
          <w:sz w:val="31"/>
          <w:szCs w:val="31"/>
          <w:highlight w:val="none"/>
          <w:lang w:val="en-US" w:eastAsia="zh-CN"/>
        </w:rPr>
        <w:t>科目下反映。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.社会保障和就业支出（类）退役安置（款）其他退役安置支出（项）:支出决算数为3,121.03万元，比上年决算增加415.05万元，增长15.34%，主要原因是：</w:t>
      </w:r>
      <w:bookmarkStart w:id="48" w:name="_GoBack"/>
      <w:r>
        <w:rPr>
          <w:rFonts w:hint="eastAsia" w:ascii="Times New Roman" w:hAnsi="Times New Roman" w:eastAsia="仿宋_GB2312" w:cs="仿宋_GB2312"/>
          <w:color w:val="auto"/>
          <w:kern w:val="0"/>
          <w:sz w:val="31"/>
          <w:szCs w:val="31"/>
          <w:highlight w:val="none"/>
          <w:lang w:val="en-US" w:eastAsia="zh-CN"/>
        </w:rPr>
        <w:t>自主择业干部</w:t>
      </w:r>
      <w:r>
        <w:rPr>
          <w:rFonts w:hint="eastAsia" w:eastAsia="仿宋_GB2312" w:cs="仿宋_GB2312"/>
          <w:color w:val="auto"/>
          <w:kern w:val="0"/>
          <w:sz w:val="31"/>
          <w:szCs w:val="31"/>
          <w:highlight w:val="none"/>
          <w:lang w:val="en-US" w:eastAsia="zh-CN"/>
        </w:rPr>
        <w:t>工资调标，</w:t>
      </w:r>
      <w:r>
        <w:rPr>
          <w:rFonts w:hint="eastAsia" w:ascii="Times New Roman" w:hAnsi="Times New Roman" w:eastAsia="仿宋_GB2312" w:cs="仿宋_GB2312"/>
          <w:color w:val="auto"/>
          <w:kern w:val="0"/>
          <w:sz w:val="31"/>
          <w:szCs w:val="31"/>
          <w:highlight w:val="none"/>
          <w:lang w:val="en-US" w:eastAsia="zh-CN"/>
        </w:rPr>
        <w:t>医疗费</w:t>
      </w:r>
      <w:r>
        <w:rPr>
          <w:rFonts w:hint="eastAsia" w:eastAsia="仿宋_GB2312" w:cs="仿宋_GB2312"/>
          <w:color w:val="auto"/>
          <w:kern w:val="0"/>
          <w:sz w:val="31"/>
          <w:szCs w:val="31"/>
          <w:highlight w:val="none"/>
          <w:lang w:val="en-US" w:eastAsia="zh-CN"/>
        </w:rPr>
        <w:t>缴费基数增加导致</w:t>
      </w:r>
      <w:r>
        <w:rPr>
          <w:rFonts w:hint="eastAsia" w:ascii="Times New Roman" w:hAnsi="Times New Roman" w:eastAsia="仿宋_GB2312" w:cs="仿宋_GB2312"/>
          <w:color w:val="auto"/>
          <w:kern w:val="0"/>
          <w:sz w:val="31"/>
          <w:szCs w:val="31"/>
          <w:highlight w:val="none"/>
          <w:lang w:val="en-US" w:eastAsia="zh-CN"/>
        </w:rPr>
        <w:t>2023年</w:t>
      </w:r>
      <w:r>
        <w:rPr>
          <w:rFonts w:hint="eastAsia" w:eastAsia="仿宋_GB2312" w:cs="仿宋_GB2312"/>
          <w:color w:val="auto"/>
          <w:kern w:val="0"/>
          <w:sz w:val="31"/>
          <w:szCs w:val="31"/>
          <w:highlight w:val="none"/>
          <w:lang w:val="en-US" w:eastAsia="zh-CN"/>
        </w:rPr>
        <w:t>自主择业干部医疗费</w:t>
      </w:r>
      <w:r>
        <w:rPr>
          <w:rFonts w:hint="eastAsia" w:ascii="Times New Roman" w:hAnsi="Times New Roman" w:eastAsia="仿宋_GB2312" w:cs="仿宋_GB2312"/>
          <w:color w:val="auto"/>
          <w:kern w:val="0"/>
          <w:sz w:val="31"/>
          <w:szCs w:val="31"/>
          <w:highlight w:val="none"/>
          <w:lang w:val="en-US" w:eastAsia="zh-CN"/>
        </w:rPr>
        <w:t>较上年增加</w:t>
      </w:r>
      <w:r>
        <w:rPr>
          <w:rFonts w:hint="eastAsia" w:ascii="Times New Roman" w:hAnsi="Times New Roman" w:eastAsia="仿宋_GB2312" w:cs="Times New Roman"/>
          <w:color w:val="auto"/>
          <w:kern w:val="2"/>
          <w:sz w:val="32"/>
          <w:szCs w:val="32"/>
          <w:highlight w:val="none"/>
          <w:lang w:val="zh-CN" w:eastAsia="zh-CN" w:bidi="ar-SA"/>
        </w:rPr>
        <w:t>。</w:t>
      </w:r>
    </w:p>
    <w:bookmarkEnd w:id="48"/>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13</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.社会保障和就业支出（类）退役军人管理事务（款）行政运行（项）:支出决算数为207.48万元，比上年决算增加36.12万元，增长21.07%，主要原因是：2023年</w:t>
      </w:r>
      <w:r>
        <w:rPr>
          <w:rFonts w:hint="eastAsia" w:eastAsia="仿宋_GB2312"/>
          <w:sz w:val="32"/>
          <w:szCs w:val="32"/>
          <w:highlight w:val="none"/>
          <w:lang w:val="zh-CN"/>
        </w:rPr>
        <w:t>人员调资及2022年、2023年基础绩效奖金导致</w:t>
      </w:r>
      <w:r>
        <w:rPr>
          <w:rFonts w:hint="eastAsia" w:ascii="Times New Roman" w:hAnsi="Times New Roman" w:eastAsia="仿宋_GB2312" w:cs="仿宋_GB2312"/>
          <w:color w:val="auto"/>
          <w:kern w:val="0"/>
          <w:sz w:val="31"/>
          <w:szCs w:val="31"/>
          <w:highlight w:val="none"/>
          <w:lang w:val="en-US" w:eastAsia="zh-CN"/>
        </w:rPr>
        <w:t>决算支出较上年度增加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14.社会保障和就业支出（类）退役军人管理事务（款）拥军优属（项）:支出决算数为53.92万元，比上年决算增加34.47万元，增长177.</w:t>
      </w:r>
      <w:r>
        <w:rPr>
          <w:rFonts w:hint="eastAsia" w:eastAsia="仿宋_GB2312" w:cs="Times New Roman"/>
          <w:color w:val="auto"/>
          <w:kern w:val="2"/>
          <w:sz w:val="32"/>
          <w:szCs w:val="32"/>
          <w:highlight w:val="none"/>
          <w:lang w:val="en-US" w:eastAsia="zh-CN" w:bidi="ar-SA"/>
        </w:rPr>
        <w:t>22</w:t>
      </w:r>
      <w:r>
        <w:rPr>
          <w:rFonts w:hint="eastAsia" w:ascii="Times New Roman" w:hAnsi="Times New Roman" w:eastAsia="仿宋_GB2312" w:cs="Times New Roman"/>
          <w:color w:val="auto"/>
          <w:kern w:val="2"/>
          <w:sz w:val="32"/>
          <w:szCs w:val="32"/>
          <w:highlight w:val="none"/>
          <w:lang w:val="en-US" w:eastAsia="zh-CN" w:bidi="ar-SA"/>
        </w:rPr>
        <w:t>%，主要原因是：2023年创建双拥模范城，双拥展厅建设和专题片制作费用增加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15.卫生健康支出（类）行政事业单位医疗（款）行政单位医疗（项）:支出决算数为10.96万元，比上年决算增加2.29万元，增长</w:t>
      </w:r>
      <w:r>
        <w:rPr>
          <w:rFonts w:hint="eastAsia" w:eastAsia="仿宋_GB2312" w:cs="Times New Roman"/>
          <w:color w:val="auto"/>
          <w:kern w:val="2"/>
          <w:sz w:val="32"/>
          <w:szCs w:val="32"/>
          <w:highlight w:val="none"/>
          <w:lang w:val="en-US" w:eastAsia="zh-CN" w:bidi="ar-SA"/>
        </w:rPr>
        <w:t>26.41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sz w:val="32"/>
          <w:szCs w:val="32"/>
          <w:lang w:val="zh-CN"/>
        </w:rPr>
        <w:t>因工资调标，</w:t>
      </w:r>
      <w:r>
        <w:rPr>
          <w:rFonts w:hint="eastAsia" w:ascii="Times New Roman" w:hAnsi="Times New Roman" w:eastAsia="仿宋_GB2312" w:cs="Times New Roman"/>
          <w:color w:val="auto"/>
          <w:kern w:val="2"/>
          <w:sz w:val="32"/>
          <w:szCs w:val="32"/>
          <w:highlight w:val="none"/>
          <w:lang w:val="en-US" w:eastAsia="zh-CN" w:bidi="ar-SA"/>
        </w:rPr>
        <w:t>2023年行</w:t>
      </w:r>
      <w:r>
        <w:rPr>
          <w:rFonts w:hint="eastAsia" w:ascii="Times New Roman" w:hAnsi="Times New Roman" w:eastAsia="仿宋_GB2312" w:cs="仿宋_GB2312"/>
          <w:b w:val="0"/>
          <w:bCs w:val="0"/>
          <w:color w:val="auto"/>
          <w:kern w:val="0"/>
          <w:sz w:val="31"/>
          <w:szCs w:val="31"/>
          <w:highlight w:val="none"/>
          <w:lang w:val="en-US" w:eastAsia="zh-CN" w:bidi="ar-SA"/>
        </w:rPr>
        <w:t>政单位医疗缴费基数调整，决算数增加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.卫生健康支出（类）行政事业单位医疗（款）公务员医疗补助（项）:支出决算数为2.05万元，比上年决算增加0.48万元，增长</w:t>
      </w:r>
      <w:r>
        <w:rPr>
          <w:rFonts w:hint="eastAsia" w:eastAsia="仿宋_GB2312" w:cs="Times New Roman"/>
          <w:color w:val="auto"/>
          <w:kern w:val="2"/>
          <w:sz w:val="32"/>
          <w:szCs w:val="32"/>
          <w:highlight w:val="none"/>
          <w:lang w:val="en-US" w:eastAsia="zh-CN" w:bidi="ar-SA"/>
        </w:rPr>
        <w:t>30.57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sz w:val="32"/>
          <w:szCs w:val="32"/>
          <w:lang w:val="zh-CN"/>
        </w:rPr>
        <w:t>因工资调标，</w:t>
      </w:r>
      <w:r>
        <w:rPr>
          <w:rFonts w:hint="eastAsia" w:ascii="Times New Roman" w:hAnsi="Times New Roman" w:eastAsia="仿宋_GB2312" w:cs="仿宋_GB2312"/>
          <w:b w:val="0"/>
          <w:bCs w:val="0"/>
          <w:color w:val="auto"/>
          <w:kern w:val="0"/>
          <w:sz w:val="31"/>
          <w:szCs w:val="31"/>
          <w:highlight w:val="none"/>
          <w:lang w:val="en-US" w:eastAsia="zh-CN" w:bidi="ar-SA"/>
        </w:rPr>
        <w:t>2023年行政单位公务员医疗补助缴费基数调整，决算数增加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.卫生健康支出（类）优抚对象医疗（款）其他优抚对象医疗支出（项）:支出决算数为9.23万元，比上年决算减少128.23万元，下降93.28%，主要原因是：2023年优抚对象医疗报销人数及金额较2022年减少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.住房保障支出（类）住房改革支出（款）住房公积金（项）:支出决算数为18.23万元，比上年决算增加3.63万元，增长24.85%，主要原因是：</w:t>
      </w:r>
      <w:r>
        <w:rPr>
          <w:rFonts w:hint="eastAsia" w:eastAsia="仿宋_GB2312"/>
          <w:sz w:val="32"/>
          <w:szCs w:val="32"/>
          <w:lang w:val="zh-CN"/>
        </w:rPr>
        <w:t>因工资调标，</w:t>
      </w:r>
      <w:r>
        <w:rPr>
          <w:rFonts w:hint="eastAsia" w:ascii="Times New Roman" w:hAnsi="Times New Roman" w:eastAsia="仿宋_GB2312" w:cs="仿宋_GB2312"/>
          <w:b w:val="0"/>
          <w:bCs w:val="0"/>
          <w:color w:val="auto"/>
          <w:kern w:val="0"/>
          <w:sz w:val="31"/>
          <w:szCs w:val="31"/>
          <w:highlight w:val="none"/>
          <w:lang w:val="en-US" w:eastAsia="zh-CN" w:bidi="ar-SA"/>
        </w:rPr>
        <w:t>2023年住房公积金缴费基数调整，决算数增加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19.社会保障和就业支出（类）就业补助（款）其他就业补助支出（项）:支出决算数为0.00万元，比上年决算减少1.45万元，下降100%，主要原因是：</w:t>
      </w:r>
      <w:r>
        <w:rPr>
          <w:rFonts w:hint="eastAsia" w:eastAsia="仿宋_GB2312" w:cs="Times New Roman"/>
          <w:color w:val="auto"/>
          <w:kern w:val="2"/>
          <w:sz w:val="32"/>
          <w:szCs w:val="32"/>
          <w:highlight w:val="none"/>
          <w:lang w:val="en-US" w:eastAsia="zh-CN" w:bidi="ar-SA"/>
        </w:rPr>
        <w:t>2022年开展退役士兵适应性培训1.45万元，本年无此项目支出</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20.社会保障和就业支出（类）退役军人管理事务（款）其他退役军人事务管理支出（项）:支出决算数为0.00万元，比上年决算减少1.98万元，下降100%，主要原因是：</w:t>
      </w:r>
      <w:r>
        <w:rPr>
          <w:rFonts w:hint="eastAsia" w:eastAsia="仿宋_GB2312" w:cs="Times New Roman"/>
          <w:color w:val="auto"/>
          <w:kern w:val="2"/>
          <w:sz w:val="32"/>
          <w:szCs w:val="32"/>
          <w:highlight w:val="none"/>
          <w:lang w:val="en-US" w:eastAsia="zh-CN" w:bidi="ar-SA"/>
        </w:rPr>
        <w:t>2022年</w:t>
      </w:r>
      <w:r>
        <w:rPr>
          <w:rFonts w:hint="eastAsia" w:eastAsia="仿宋_GB2312" w:cs="Times New Roman"/>
          <w:color w:val="auto"/>
          <w:kern w:val="2"/>
          <w:sz w:val="32"/>
          <w:szCs w:val="32"/>
          <w:highlight w:val="none"/>
          <w:lang w:val="zh-CN" w:eastAsia="zh-CN" w:bidi="ar-SA"/>
        </w:rPr>
        <w:t>烈士陵园</w:t>
      </w:r>
      <w:r>
        <w:rPr>
          <w:rFonts w:hint="eastAsia" w:ascii="Times New Roman" w:hAnsi="Times New Roman" w:eastAsia="仿宋_GB2312" w:cs="Times New Roman"/>
          <w:color w:val="auto"/>
          <w:kern w:val="2"/>
          <w:sz w:val="32"/>
          <w:szCs w:val="32"/>
          <w:highlight w:val="none"/>
          <w:lang w:val="zh-CN" w:eastAsia="zh-CN" w:bidi="ar-SA"/>
        </w:rPr>
        <w:t>烈士名录制作费</w:t>
      </w:r>
      <w:r>
        <w:rPr>
          <w:rFonts w:hint="eastAsia" w:eastAsia="仿宋_GB2312" w:cs="Times New Roman"/>
          <w:color w:val="auto"/>
          <w:kern w:val="2"/>
          <w:sz w:val="32"/>
          <w:szCs w:val="32"/>
          <w:highlight w:val="none"/>
          <w:lang w:val="en-US" w:eastAsia="zh-CN" w:bidi="ar-SA"/>
        </w:rPr>
        <w:t>1.98万元，本年无此项目支出</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21.卫生健康支出（类）优抚对象医疗（款）优抚对象医疗补助（项）:支出决算数为0.00万元，比上年决算减少25.80万元，下降100%，主要原因是：</w:t>
      </w:r>
      <w:r>
        <w:rPr>
          <w:rFonts w:hint="eastAsia" w:eastAsia="仿宋_GB2312" w:cs="Times New Roman"/>
          <w:color w:val="auto"/>
          <w:kern w:val="2"/>
          <w:sz w:val="32"/>
          <w:szCs w:val="32"/>
          <w:highlight w:val="none"/>
          <w:lang w:val="en-US" w:eastAsia="zh-CN" w:bidi="ar-SA"/>
        </w:rPr>
        <w:t>2022年上级拨付优抚对象医疗保障经费25.8万元通过该功能科目核算，2023年调整至</w:t>
      </w:r>
      <w:r>
        <w:rPr>
          <w:rFonts w:hint="eastAsia" w:ascii="Times New Roman" w:hAnsi="Times New Roman" w:eastAsia="仿宋_GB2312" w:cs="Times New Roman"/>
          <w:color w:val="auto"/>
          <w:kern w:val="2"/>
          <w:sz w:val="32"/>
          <w:szCs w:val="32"/>
          <w:highlight w:val="none"/>
          <w:lang w:val="en-US" w:eastAsia="zh-CN" w:bidi="ar-SA"/>
        </w:rPr>
        <w:t>卫生健康支出（类）优抚对象医疗（款）其他优抚对象医疗支出（项）</w:t>
      </w:r>
      <w:r>
        <w:rPr>
          <w:rFonts w:hint="eastAsia" w:eastAsia="仿宋_GB2312" w:cs="Times New Roman"/>
          <w:color w:val="auto"/>
          <w:kern w:val="2"/>
          <w:sz w:val="32"/>
          <w:szCs w:val="32"/>
          <w:highlight w:val="none"/>
          <w:lang w:val="en-US" w:eastAsia="zh-CN" w:bidi="ar-SA"/>
        </w:rPr>
        <w:t>下进行支出并反映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572.06</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552.04</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退休费、抚恤金、医疗费补助、奖励金、其他对个人和家庭的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olor w:val="auto"/>
          <w:sz w:val="32"/>
          <w:szCs w:val="32"/>
          <w:highlight w:val="red"/>
          <w:lang w:val="en-US" w:eastAsia="zh-CN"/>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20.02</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办公费、印刷费、水费、邮电费、差旅费、维修（护）费、培训费、劳务费、委托业务费、工会经费、福利费、公务用车运行维护费。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“三公”经费支出4.80万元，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1.60万元，增长50.00%，主要原因是：2023年开展四下基层活动指导乡镇退役军人服务站开展工作较多，因此公务用车运行维护费增加。其中：因公出国（境）费支出0.00万元，占0.00%，比上年增加0.00万元，增长0.00%，主要原因是：</w:t>
      </w:r>
      <w:r>
        <w:rPr>
          <w:rFonts w:hint="eastAsia"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因公出国（境）费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hint="eastAsia" w:ascii="Times New Roman" w:hAnsi="Times New Roman" w:eastAsia="仿宋_GB2312"/>
          <w:color w:val="auto"/>
          <w:sz w:val="32"/>
          <w:szCs w:val="32"/>
          <w:highlight w:val="none"/>
          <w:lang w:val="zh-CN" w:eastAsia="zh-CN"/>
        </w:rPr>
        <w:t>；公务用车购置及运行维护费支出4.80万元，占100.00%，比上年增加1.60万元，增长50.00%，主要原因是：2023年开展四下基层活动指导乡镇退役军人服务站开展工作较多，因此公务用车运行维护费增加；公务接待费支出0.00万元，占0.00%，比上年增加0.00万元，增长0.00%，主要原因是：</w:t>
      </w:r>
      <w:r>
        <w:rPr>
          <w:rFonts w:hint="eastAsia"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公务接待费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1"/>
          <w:szCs w:val="31"/>
          <w:highlight w:val="none"/>
        </w:rPr>
        <w:t>与上年相比无变</w:t>
      </w:r>
      <w:r>
        <w:rPr>
          <w:rFonts w:hint="eastAsia" w:ascii="Times New Roman" w:hAnsi="Times New Roman" w:eastAsia="仿宋_GB2312"/>
          <w:color w:val="auto"/>
          <w:sz w:val="31"/>
          <w:szCs w:val="31"/>
          <w:highlight w:val="none"/>
          <w:lang w:eastAsia="zh-CN"/>
        </w:rPr>
        <w:t>动</w:t>
      </w:r>
      <w:r>
        <w:rPr>
          <w:rFonts w:hint="eastAsia" w:ascii="Times New Roman" w:hAnsi="Times New Roman"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1"/>
          <w:szCs w:val="31"/>
          <w:highlight w:val="none"/>
          <w:lang w:eastAsia="zh-CN"/>
        </w:rPr>
        <w:t>本</w:t>
      </w:r>
      <w:r>
        <w:rPr>
          <w:rFonts w:hint="eastAsia" w:ascii="Times New Roman" w:hAnsi="Times New Roman" w:eastAsia="仿宋_GB2312"/>
          <w:color w:val="auto"/>
          <w:sz w:val="31"/>
          <w:szCs w:val="31"/>
          <w:highlight w:val="none"/>
        </w:rPr>
        <w:t>年未安排因公出国（境）费支出，无开支内</w:t>
      </w:r>
      <w:r>
        <w:rPr>
          <w:rFonts w:hint="eastAsia" w:ascii="Times New Roman" w:hAnsi="Times New Roman" w:eastAsia="仿宋_GB2312"/>
          <w:color w:val="auto"/>
          <w:sz w:val="31"/>
          <w:szCs w:val="31"/>
          <w:highlight w:val="none"/>
          <w:lang w:eastAsia="zh-CN"/>
        </w:rPr>
        <w:t>容</w:t>
      </w:r>
      <w:r>
        <w:rPr>
          <w:rFonts w:hint="eastAsia" w:ascii="Times New Roman" w:hAnsi="Times New Roman" w:eastAsia="仿宋_GB2312"/>
          <w:color w:val="auto"/>
          <w:sz w:val="32"/>
          <w:szCs w:val="32"/>
          <w:highlight w:val="none"/>
          <w:lang w:val="zh-CN" w:eastAsia="zh-CN"/>
        </w:rPr>
        <w:t>。单位全年安排的因公出国（境）团组0个，因公出国（境）0人次。</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yellow"/>
          <w:lang w:val="en-US" w:eastAsia="zh-CN"/>
        </w:rPr>
      </w:pPr>
      <w:r>
        <w:rPr>
          <w:rFonts w:hint="eastAsia" w:ascii="Times New Roman" w:hAnsi="Times New Roman" w:eastAsia="仿宋_GB2312"/>
          <w:color w:val="auto"/>
          <w:sz w:val="32"/>
          <w:szCs w:val="32"/>
          <w:highlight w:val="none"/>
          <w:lang w:val="zh-CN" w:eastAsia="zh-CN"/>
        </w:rPr>
        <w:t>公务用车购置及运行维护费4.80万元，其中：公务用车购置费0.00万元，公务用车运行维护费4.80万元。公务用车运行维护费开支内容包括</w:t>
      </w:r>
      <w:r>
        <w:rPr>
          <w:rFonts w:hint="eastAsia" w:ascii="Times New Roman" w:hAnsi="Times New Roman" w:eastAsia="仿宋_GB2312"/>
          <w:color w:val="auto"/>
          <w:sz w:val="31"/>
          <w:szCs w:val="31"/>
          <w:highlight w:val="none"/>
          <w:lang w:eastAsia="zh-CN"/>
        </w:rPr>
        <w:t>公</w:t>
      </w:r>
      <w:r>
        <w:rPr>
          <w:rFonts w:hint="eastAsia" w:ascii="Times New Roman" w:hAnsi="Times New Roman" w:eastAsia="仿宋_GB2312" w:cs="宋体"/>
          <w:color w:val="auto"/>
          <w:kern w:val="0"/>
          <w:sz w:val="31"/>
          <w:szCs w:val="31"/>
          <w:highlight w:val="none"/>
          <w:lang w:eastAsia="zh-CN"/>
        </w:rPr>
        <w:t>务用车加油费、公务用车维修费、车辆保险费</w:t>
      </w:r>
      <w:r>
        <w:rPr>
          <w:rFonts w:hint="eastAsia" w:ascii="Times New Roman" w:hAnsi="Times New Roman" w:eastAsia="仿宋_GB2312"/>
          <w:color w:val="auto"/>
          <w:sz w:val="32"/>
          <w:szCs w:val="32"/>
          <w:highlight w:val="none"/>
          <w:lang w:val="zh-CN" w:eastAsia="zh-CN"/>
        </w:rPr>
        <w:t>。公务用车购置数0辆，公务用车保有量2辆。国有资产占用情况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2辆，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1"/>
          <w:szCs w:val="31"/>
          <w:highlight w:val="none"/>
        </w:rPr>
        <w:t>公务用车保有量</w:t>
      </w:r>
      <w:r>
        <w:rPr>
          <w:rFonts w:hint="eastAsia" w:ascii="Times New Roman" w:hAnsi="Times New Roman" w:eastAsia="仿宋_GB2312"/>
          <w:color w:val="auto"/>
          <w:sz w:val="31"/>
          <w:szCs w:val="31"/>
          <w:highlight w:val="none"/>
          <w:lang w:val="en-US" w:eastAsia="zh-CN"/>
        </w:rPr>
        <w:t>2</w:t>
      </w:r>
      <w:r>
        <w:rPr>
          <w:rFonts w:hint="eastAsia" w:ascii="Times New Roman" w:hAnsi="Times New Roman" w:eastAsia="仿宋_GB2312"/>
          <w:color w:val="auto"/>
          <w:sz w:val="31"/>
          <w:szCs w:val="31"/>
          <w:highlight w:val="none"/>
        </w:rPr>
        <w:t>辆</w:t>
      </w:r>
      <w:r>
        <w:rPr>
          <w:rFonts w:hint="eastAsia" w:ascii="Times New Roman" w:hAnsi="Times New Roman" w:eastAsia="仿宋_GB2312"/>
          <w:color w:val="auto"/>
          <w:sz w:val="31"/>
          <w:szCs w:val="31"/>
          <w:highlight w:val="none"/>
          <w:lang w:val="en-US" w:eastAsia="zh-CN"/>
        </w:rPr>
        <w:t>,无差异。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公务接待费0.00万元，开支内容包括：</w:t>
      </w:r>
      <w:r>
        <w:rPr>
          <w:rFonts w:hint="eastAsia" w:ascii="Times New Roman" w:hAnsi="Times New Roman" w:eastAsia="仿宋_GB2312"/>
          <w:color w:val="auto"/>
          <w:sz w:val="31"/>
          <w:szCs w:val="31"/>
          <w:highlight w:val="none"/>
        </w:rPr>
        <w:t>未安排</w:t>
      </w:r>
      <w:r>
        <w:rPr>
          <w:rFonts w:hint="eastAsia" w:ascii="Times New Roman" w:hAnsi="Times New Roman" w:eastAsia="仿宋_GB2312"/>
          <w:color w:val="auto"/>
          <w:sz w:val="31"/>
          <w:szCs w:val="31"/>
          <w:highlight w:val="none"/>
          <w:lang w:eastAsia="zh-CN"/>
        </w:rPr>
        <w:t>公务接待费</w:t>
      </w:r>
      <w:r>
        <w:rPr>
          <w:rFonts w:hint="eastAsia" w:ascii="Times New Roman" w:hAnsi="Times New Roman" w:eastAsia="仿宋_GB2312"/>
          <w:color w:val="auto"/>
          <w:sz w:val="31"/>
          <w:szCs w:val="31"/>
          <w:highlight w:val="none"/>
        </w:rPr>
        <w:t>，无开支内</w:t>
      </w:r>
      <w:r>
        <w:rPr>
          <w:rFonts w:hint="eastAsia" w:ascii="Times New Roman" w:hAnsi="Times New Roman" w:eastAsia="仿宋_GB2312"/>
          <w:color w:val="auto"/>
          <w:sz w:val="31"/>
          <w:szCs w:val="31"/>
          <w:highlight w:val="none"/>
          <w:lang w:eastAsia="zh-CN"/>
        </w:rPr>
        <w:t>容</w:t>
      </w:r>
      <w:r>
        <w:rPr>
          <w:rFonts w:hint="eastAsia" w:ascii="Times New Roman" w:hAnsi="Times New Roman"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预算数4.80万元，决算数4.80万元，预决算差异率0.00%，主要原因是：</w:t>
      </w:r>
      <w:r>
        <w:rPr>
          <w:rFonts w:hint="eastAsia" w:ascii="Times New Roman" w:hAnsi="Times New Roman" w:eastAsia="仿宋_GB2312"/>
          <w:color w:val="auto"/>
          <w:sz w:val="31"/>
          <w:szCs w:val="31"/>
          <w:highlight w:val="none"/>
          <w:lang w:eastAsia="zh-CN"/>
        </w:rPr>
        <w:t>预决算无差异</w:t>
      </w:r>
      <w:r>
        <w:rPr>
          <w:rFonts w:hint="eastAsia" w:ascii="Times New Roman" w:hAnsi="Times New Roman" w:eastAsia="仿宋_GB2312"/>
          <w:color w:val="auto"/>
          <w:sz w:val="32"/>
          <w:szCs w:val="32"/>
          <w:highlight w:val="none"/>
          <w:lang w:val="zh-CN" w:eastAsia="zh-CN"/>
        </w:rPr>
        <w:t>。其中：因公出国（境）费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因公出国（境）费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公务用车购置费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预算数4.80万元，决算数4.80万元，预决算差异率0.00%，主要原因是：</w:t>
      </w:r>
      <w:r>
        <w:rPr>
          <w:rFonts w:hint="eastAsia" w:ascii="Times New Roman" w:hAnsi="Times New Roman" w:eastAsia="仿宋_GB2312"/>
          <w:color w:val="auto"/>
          <w:sz w:val="31"/>
          <w:szCs w:val="31"/>
          <w:highlight w:val="none"/>
          <w:lang w:eastAsia="zh-CN"/>
        </w:rPr>
        <w:t>预决算无差异</w:t>
      </w:r>
      <w:r>
        <w:rPr>
          <w:rFonts w:hint="eastAsia" w:ascii="Times New Roman" w:hAnsi="Times New Roman" w:eastAsia="仿宋_GB2312"/>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eastAsia="仿宋_GB2312"/>
          <w:color w:val="auto"/>
          <w:sz w:val="31"/>
          <w:szCs w:val="31"/>
          <w:highlight w:val="none"/>
          <w:lang w:eastAsia="zh-CN"/>
        </w:rPr>
        <w:t>我单位无</w:t>
      </w:r>
      <w:r>
        <w:rPr>
          <w:rFonts w:hint="eastAsia" w:ascii="Times New Roman" w:hAnsi="Times New Roman" w:eastAsia="仿宋_GB2312"/>
          <w:color w:val="auto"/>
          <w:sz w:val="32"/>
          <w:szCs w:val="32"/>
          <w:highlight w:val="none"/>
          <w:lang w:val="zh-CN" w:eastAsia="zh-CN"/>
        </w:rPr>
        <w:t>公务接待费</w:t>
      </w:r>
      <w:r>
        <w:rPr>
          <w:rFonts w:hint="eastAsia" w:eastAsia="仿宋_GB2312"/>
          <w:color w:val="auto"/>
          <w:sz w:val="32"/>
          <w:szCs w:val="32"/>
          <w:highlight w:val="none"/>
          <w:lang w:val="zh-CN" w:eastAsia="zh-CN"/>
        </w:rPr>
        <w:t>支出</w:t>
      </w:r>
      <w:r>
        <w:rPr>
          <w:rFonts w:hint="eastAsia" w:ascii="Times New Roman" w:hAnsi="Times New Roman"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8" w:name="_Toc5810"/>
      <w:bookmarkStart w:id="19" w:name="_Toc7927"/>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本年支出285.83</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与上年相比，增加285.83万元，增长</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中央彩票公益金支持</w:t>
      </w:r>
      <w:r>
        <w:rPr>
          <w:rFonts w:hint="eastAsia" w:ascii="Times New Roman" w:hAnsi="Times New Roman" w:eastAsia="仿宋_GB2312" w:cs="Times New Roman"/>
          <w:color w:val="auto"/>
          <w:sz w:val="32"/>
          <w:szCs w:val="32"/>
          <w:highlight w:val="none"/>
          <w:lang w:val="zh-CN"/>
        </w:rPr>
        <w:t>库尔勒烈士陵园建设项目支出</w:t>
      </w:r>
      <w:r>
        <w:rPr>
          <w:rFonts w:hint="eastAsia" w:ascii="Times New Roman" w:hAnsi="Times New Roman" w:eastAsia="仿宋_GB2312" w:cs="Times New Roman"/>
          <w:color w:val="auto"/>
          <w:sz w:val="32"/>
          <w:szCs w:val="32"/>
          <w:highlight w:val="none"/>
          <w:lang w:val="en-US" w:eastAsia="zh-CN"/>
        </w:rPr>
        <w:t>285.83万元，上年无此项目</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700.00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285.83</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-59.17%，主要原因是：</w:t>
      </w:r>
      <w:r>
        <w:rPr>
          <w:rFonts w:hint="eastAsia" w:ascii="Times New Roman" w:hAnsi="Times New Roman" w:eastAsia="仿宋_GB2312" w:cs="Times New Roman"/>
          <w:color w:val="auto"/>
          <w:sz w:val="32"/>
          <w:szCs w:val="32"/>
          <w:highlight w:val="none"/>
          <w:lang w:val="en-US" w:eastAsia="zh-CN"/>
        </w:rPr>
        <w:t>2023年中央彩票公益金支持</w:t>
      </w:r>
      <w:r>
        <w:rPr>
          <w:rFonts w:hint="eastAsia" w:ascii="Times New Roman" w:hAnsi="Times New Roman" w:eastAsia="仿宋_GB2312" w:cs="Times New Roman"/>
          <w:color w:val="auto"/>
          <w:sz w:val="32"/>
          <w:szCs w:val="32"/>
          <w:highlight w:val="none"/>
          <w:lang w:val="zh-CN"/>
        </w:rPr>
        <w:t>库尔勒烈士陵园建设项目预算资金</w:t>
      </w:r>
      <w:r>
        <w:rPr>
          <w:rFonts w:hint="eastAsia" w:ascii="Times New Roman" w:hAnsi="Times New Roman" w:eastAsia="仿宋_GB2312" w:cs="Times New Roman"/>
          <w:color w:val="auto"/>
          <w:sz w:val="32"/>
          <w:szCs w:val="32"/>
          <w:highlight w:val="none"/>
          <w:lang w:val="en-US" w:eastAsia="zh-CN"/>
        </w:rPr>
        <w:t>700万元，该项目2023年未完工，资金支付285.83万元，造成预决算差异</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285.83</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1.其他支出（类）彩票公益金安排的支出（款）用于社会福利的彩票公益金支出（项）:支出决算数为285.83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285.83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ascii="Times New Roman" w:hAnsi="Times New Roman" w:eastAsia="仿宋_GB2312" w:cs="Times New Roman"/>
          <w:color w:val="auto"/>
          <w:sz w:val="32"/>
          <w:szCs w:val="32"/>
          <w:highlight w:val="none"/>
          <w:lang w:val="en-US" w:eastAsia="zh-CN"/>
        </w:rPr>
        <w:t>中央彩票公益金支持</w:t>
      </w:r>
      <w:r>
        <w:rPr>
          <w:rFonts w:hint="eastAsia" w:ascii="Times New Roman" w:hAnsi="Times New Roman" w:eastAsia="仿宋_GB2312" w:cs="Times New Roman"/>
          <w:color w:val="auto"/>
          <w:sz w:val="32"/>
          <w:szCs w:val="32"/>
          <w:highlight w:val="none"/>
          <w:lang w:val="zh-CN"/>
        </w:rPr>
        <w:t>库尔勒烈士陵园建设项目支出</w:t>
      </w:r>
      <w:r>
        <w:rPr>
          <w:rFonts w:hint="eastAsia" w:ascii="Times New Roman" w:hAnsi="Times New Roman" w:eastAsia="仿宋_GB2312" w:cs="Times New Roman"/>
          <w:color w:val="auto"/>
          <w:sz w:val="32"/>
          <w:szCs w:val="32"/>
          <w:highlight w:val="none"/>
          <w:lang w:val="en-US" w:eastAsia="zh-CN"/>
        </w:rPr>
        <w:t>285.83万元，上年无此项目</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3105"/>
      <w:bookmarkStart w:id="23" w:name="_Toc14519"/>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库尔勒市退役军人事务局（行政单位和参照公务员法管理事业单位）机关运行经费支出20.02万元，比上年减少29.89万元，下降59.89%，主要原因是：</w:t>
      </w:r>
      <w:r>
        <w:rPr>
          <w:rFonts w:hint="eastAsia" w:eastAsia="仿宋_GB2312" w:cs="Times New Roman"/>
          <w:color w:val="auto"/>
          <w:sz w:val="32"/>
          <w:szCs w:val="32"/>
          <w:highlight w:val="none"/>
          <w:lang w:val="en-US" w:eastAsia="zh-CN"/>
        </w:rPr>
        <w:t>落实过紧日子要求，厉行节约，压减机关运行经费开支</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369.93万元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其中：政府采购货物支出28.89万元、政府采购工程支出186.95万元、政府采购服务支出154.09万元。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授予中小企业合同金额369.93万元，占政府采购支出总额的100.00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，其中：授予小微企业合同金额369.93万元，占政府采购支出总额的100.00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83.68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屋0.0平方米，价值0.00万元。车辆2辆，价值29.72万元，其中：副部（省）级及以上领导用车0辆、主要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Times New Roman" w:hAnsi="Times New Roman" w:eastAsia="仿宋_GB2312"/>
          <w:color w:val="auto"/>
          <w:sz w:val="31"/>
          <w:szCs w:val="31"/>
          <w:highlight w:val="none"/>
          <w:lang w:eastAsia="zh-CN"/>
        </w:rPr>
        <w:t>单位办公用轿车</w:t>
      </w:r>
      <w:r>
        <w:rPr>
          <w:rFonts w:hint="eastAsia" w:ascii="Times New Roman" w:hAnsi="Times New Roman" w:eastAsia="仿宋_GB2312"/>
          <w:color w:val="auto"/>
          <w:sz w:val="31"/>
          <w:szCs w:val="31"/>
          <w:highlight w:val="none"/>
          <w:lang w:val="en-US" w:eastAsia="zh-CN"/>
        </w:rPr>
        <w:t>2辆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435"/>
      <w:bookmarkStart w:id="29" w:name="_Toc11283"/>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w:t>
      </w:r>
      <w:r>
        <w:rPr>
          <w:rFonts w:hint="eastAsia" w:eastAsia="仿宋_GB2312"/>
          <w:color w:val="auto"/>
          <w:sz w:val="32"/>
          <w:szCs w:val="32"/>
          <w:highlight w:val="none"/>
          <w:lang w:val="en-US" w:eastAsia="zh-CN"/>
        </w:rPr>
        <w:t>7270.96</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实际执行总额7270.96</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32</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全年预算数7736.91</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全年执行数6698.91</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；其中涉密项目</w:t>
      </w:r>
      <w:r>
        <w:rPr>
          <w:rFonts w:hint="eastAsia" w:ascii="Times New Roman" w:hAnsi="Times New Roman" w:eastAsia="仿宋_GB2312"/>
          <w:color w:val="auto"/>
          <w:sz w:val="32"/>
          <w:szCs w:val="32"/>
          <w:highlight w:val="none"/>
          <w:lang w:val="en-US" w:eastAsia="zh-CN"/>
        </w:rPr>
        <w:t>31个，涉及预算资金7036.91万元。</w:t>
      </w:r>
      <w:r>
        <w:rPr>
          <w:rFonts w:hint="eastAsia" w:ascii="Times New Roman" w:hAnsi="Times New Roman" w:eastAsia="仿宋_GB2312"/>
          <w:color w:val="auto"/>
          <w:sz w:val="32"/>
          <w:szCs w:val="32"/>
          <w:highlight w:val="none"/>
          <w:lang w:eastAsia="zh-CN"/>
        </w:rPr>
        <w:t>预算绩效管理取得的成效：</w:t>
      </w:r>
      <w:r>
        <w:rPr>
          <w:rStyle w:val="13"/>
          <w:rFonts w:hint="eastAsia" w:ascii="Times New Roman" w:hAnsi="Times New Roman" w:eastAsia="仿宋_GB2312" w:cs="仿宋_GB2312"/>
          <w:b w:val="0"/>
          <w:bCs w:val="0"/>
          <w:spacing w:val="-4"/>
          <w:sz w:val="32"/>
          <w:szCs w:val="32"/>
          <w:highlight w:val="none"/>
          <w:lang w:val="en-US" w:eastAsia="zh-CN"/>
        </w:rPr>
        <w:t>一是</w:t>
      </w:r>
      <w:r>
        <w:rPr>
          <w:rStyle w:val="13"/>
          <w:rFonts w:hint="eastAsia" w:ascii="Times New Roman" w:hAnsi="Times New Roman" w:eastAsia="仿宋_GB2312" w:cs="仿宋_GB2312"/>
          <w:b w:val="0"/>
          <w:bCs w:val="0"/>
          <w:spacing w:val="-4"/>
          <w:sz w:val="32"/>
          <w:szCs w:val="32"/>
          <w:highlight w:val="none"/>
          <w:lang w:eastAsia="zh-CN"/>
        </w:rPr>
        <w:t>单位预算绩效管理意识已经形成；二是绩效管理目标有序实施；三</w:t>
      </w:r>
      <w:r>
        <w:rPr>
          <w:rStyle w:val="13"/>
          <w:rFonts w:hint="eastAsia" w:ascii="Times New Roman" w:hAnsi="Times New Roman" w:eastAsia="仿宋_GB2312" w:cs="仿宋_GB2312"/>
          <w:b w:val="0"/>
          <w:bCs w:val="0"/>
          <w:spacing w:val="-4"/>
          <w:sz w:val="32"/>
          <w:szCs w:val="32"/>
          <w:highlight w:val="none"/>
          <w:lang w:val="en-US" w:eastAsia="zh-CN"/>
        </w:rPr>
        <w:t>是</w:t>
      </w:r>
      <w:r>
        <w:rPr>
          <w:rFonts w:hint="eastAsia" w:ascii="Times New Roman" w:hAnsi="Times New Roman" w:eastAsia="仿宋_GB2312" w:cs="仿宋_GB2312"/>
          <w:sz w:val="32"/>
          <w:szCs w:val="32"/>
          <w:highlight w:val="none"/>
          <w:lang w:eastAsia="zh-CN"/>
        </w:rPr>
        <w:t>绩效管理制度不断完善</w:t>
      </w:r>
      <w:r>
        <w:rPr>
          <w:rFonts w:hint="eastAsia" w:ascii="Times New Roman" w:hAnsi="Times New Roman" w:eastAsia="仿宋_GB2312" w:cs="仿宋_GB2312"/>
          <w:sz w:val="32"/>
          <w:szCs w:val="32"/>
        </w:rPr>
        <w:t>。发现的问题及原因：</w:t>
      </w:r>
      <w:r>
        <w:rPr>
          <w:rStyle w:val="13"/>
          <w:rFonts w:hint="eastAsia" w:ascii="Times New Roman" w:hAnsi="Times New Roman" w:eastAsia="仿宋_GB2312" w:cs="仿宋_GB2312"/>
          <w:b w:val="0"/>
          <w:bCs w:val="0"/>
          <w:spacing w:val="-4"/>
          <w:sz w:val="32"/>
          <w:szCs w:val="32"/>
          <w:highlight w:val="none"/>
          <w:lang w:val="en-US" w:eastAsia="zh-CN"/>
        </w:rPr>
        <w:t>一是</w:t>
      </w:r>
      <w:r>
        <w:rPr>
          <w:rStyle w:val="13"/>
          <w:rFonts w:hint="eastAsia" w:ascii="Times New Roman" w:hAnsi="Times New Roman" w:eastAsia="仿宋_GB2312" w:cs="仿宋_GB2312"/>
          <w:b w:val="0"/>
          <w:bCs w:val="0"/>
          <w:spacing w:val="-4"/>
          <w:sz w:val="32"/>
          <w:szCs w:val="32"/>
          <w:highlight w:val="none"/>
        </w:rPr>
        <w:t>对</w:t>
      </w:r>
      <w:r>
        <w:rPr>
          <w:rFonts w:hint="eastAsia" w:ascii="Times New Roman" w:hAnsi="Times New Roman" w:eastAsia="仿宋_GB2312" w:cs="仿宋_GB2312"/>
          <w:sz w:val="32"/>
          <w:szCs w:val="32"/>
          <w:highlight w:val="none"/>
          <w:lang w:val="en-US" w:eastAsia="zh-CN"/>
        </w:rPr>
        <w:t>预算绩效</w:t>
      </w:r>
      <w:r>
        <w:rPr>
          <w:rStyle w:val="13"/>
          <w:rFonts w:hint="eastAsia" w:ascii="Times New Roman" w:hAnsi="Times New Roman" w:eastAsia="仿宋_GB2312" w:cs="仿宋_GB2312"/>
          <w:b w:val="0"/>
          <w:bCs w:val="0"/>
          <w:spacing w:val="-4"/>
          <w:sz w:val="32"/>
          <w:szCs w:val="32"/>
          <w:highlight w:val="none"/>
        </w:rPr>
        <w:t>的认识</w:t>
      </w:r>
      <w:r>
        <w:rPr>
          <w:rStyle w:val="13"/>
          <w:rFonts w:hint="eastAsia" w:ascii="Times New Roman" w:hAnsi="Times New Roman" w:eastAsia="仿宋_GB2312" w:cs="仿宋_GB2312"/>
          <w:b w:val="0"/>
          <w:bCs w:val="0"/>
          <w:spacing w:val="-4"/>
          <w:sz w:val="32"/>
          <w:szCs w:val="32"/>
          <w:highlight w:val="none"/>
          <w:lang w:eastAsia="zh-CN"/>
        </w:rPr>
        <w:t>还</w:t>
      </w:r>
      <w:r>
        <w:rPr>
          <w:rStyle w:val="13"/>
          <w:rFonts w:hint="eastAsia" w:ascii="Times New Roman" w:hAnsi="Times New Roman" w:eastAsia="仿宋_GB2312" w:cs="仿宋_GB2312"/>
          <w:b w:val="0"/>
          <w:bCs w:val="0"/>
          <w:spacing w:val="-4"/>
          <w:sz w:val="32"/>
          <w:szCs w:val="32"/>
          <w:highlight w:val="none"/>
        </w:rPr>
        <w:t>不够深入，</w:t>
      </w:r>
      <w:r>
        <w:rPr>
          <w:rFonts w:hint="eastAsia" w:ascii="Times New Roman" w:hAnsi="Times New Roman" w:eastAsia="仿宋_GB2312" w:cs="仿宋_GB2312"/>
          <w:sz w:val="32"/>
          <w:szCs w:val="32"/>
          <w:highlight w:val="none"/>
          <w:lang w:val="en-US" w:eastAsia="zh-CN"/>
        </w:rPr>
        <w:t>相关知识了解还不够、掌握还不够多，</w:t>
      </w:r>
      <w:r>
        <w:rPr>
          <w:rStyle w:val="13"/>
          <w:rFonts w:hint="eastAsia" w:ascii="Times New Roman" w:hAnsi="Times New Roman" w:eastAsia="仿宋_GB2312" w:cs="仿宋_GB2312"/>
          <w:b w:val="0"/>
          <w:bCs w:val="0"/>
          <w:spacing w:val="-4"/>
          <w:sz w:val="32"/>
          <w:szCs w:val="32"/>
          <w:highlight w:val="none"/>
        </w:rPr>
        <w:t>把绩效管理简单等同于工作目标、工作考核和业务管理</w:t>
      </w:r>
      <w:r>
        <w:rPr>
          <w:rStyle w:val="13"/>
          <w:rFonts w:hint="eastAsia" w:ascii="Times New Roman" w:hAnsi="Times New Roman" w:eastAsia="仿宋_GB2312" w:cs="仿宋_GB2312"/>
          <w:b w:val="0"/>
          <w:bCs w:val="0"/>
          <w:spacing w:val="-4"/>
          <w:sz w:val="32"/>
          <w:szCs w:val="32"/>
          <w:highlight w:val="none"/>
          <w:lang w:eastAsia="zh-CN"/>
        </w:rPr>
        <w:t>；</w:t>
      </w:r>
      <w:r>
        <w:rPr>
          <w:rStyle w:val="13"/>
          <w:rFonts w:hint="eastAsia" w:ascii="Times New Roman" w:hAnsi="Times New Roman" w:eastAsia="仿宋_GB2312" w:cs="仿宋_GB2312"/>
          <w:b w:val="0"/>
          <w:bCs w:val="0"/>
          <w:spacing w:val="-4"/>
          <w:sz w:val="32"/>
          <w:szCs w:val="32"/>
          <w:highlight w:val="none"/>
          <w:lang w:val="en-US" w:eastAsia="zh-CN"/>
        </w:rPr>
        <w:t>二是</w:t>
      </w:r>
      <w:r>
        <w:rPr>
          <w:rFonts w:hint="eastAsia" w:ascii="Times New Roman" w:hAnsi="Times New Roman" w:eastAsia="仿宋_GB2312" w:cs="仿宋_GB2312"/>
          <w:sz w:val="32"/>
          <w:szCs w:val="32"/>
          <w:highlight w:val="none"/>
        </w:rPr>
        <w:t>资金管理水平有待</w:t>
      </w:r>
      <w:r>
        <w:rPr>
          <w:rFonts w:hint="eastAsia" w:ascii="Times New Roman" w:hAnsi="Times New Roman" w:eastAsia="仿宋_GB2312" w:cs="仿宋_GB2312"/>
          <w:sz w:val="32"/>
          <w:szCs w:val="32"/>
          <w:highlight w:val="none"/>
          <w:lang w:eastAsia="zh-CN"/>
        </w:rPr>
        <w:t>进一步</w:t>
      </w:r>
      <w:r>
        <w:rPr>
          <w:rFonts w:hint="eastAsia" w:ascii="Times New Roman" w:hAnsi="Times New Roman" w:eastAsia="仿宋_GB2312" w:cs="仿宋_GB2312"/>
          <w:sz w:val="32"/>
          <w:szCs w:val="32"/>
          <w:highlight w:val="none"/>
        </w:rPr>
        <w:t>提高</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财务审核还需进一步加强</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rPr>
        <w:t>下一步改进措施：</w:t>
      </w:r>
      <w:r>
        <w:rPr>
          <w:rStyle w:val="13"/>
          <w:rFonts w:hint="eastAsia" w:ascii="Times New Roman" w:hAnsi="Times New Roman" w:eastAsia="仿宋_GB2312" w:cs="仿宋_GB2312"/>
          <w:b w:val="0"/>
          <w:bCs w:val="0"/>
          <w:spacing w:val="-4"/>
          <w:sz w:val="32"/>
          <w:szCs w:val="32"/>
          <w:highlight w:val="none"/>
          <w:lang w:val="en-US" w:eastAsia="zh-CN"/>
        </w:rPr>
        <w:t>一是</w:t>
      </w:r>
      <w:r>
        <w:rPr>
          <w:rStyle w:val="13"/>
          <w:rFonts w:hint="eastAsia" w:ascii="Times New Roman" w:hAnsi="Times New Roman" w:eastAsia="仿宋_GB2312" w:cs="仿宋_GB2312"/>
          <w:b w:val="0"/>
          <w:bCs w:val="0"/>
          <w:spacing w:val="-4"/>
          <w:sz w:val="32"/>
          <w:szCs w:val="32"/>
          <w:highlight w:val="none"/>
        </w:rPr>
        <w:t>建立</w:t>
      </w:r>
      <w:r>
        <w:rPr>
          <w:rStyle w:val="13"/>
          <w:rFonts w:hint="eastAsia" w:ascii="Times New Roman" w:hAnsi="Times New Roman" w:eastAsia="仿宋_GB2312" w:cs="仿宋_GB2312"/>
          <w:b w:val="0"/>
          <w:bCs w:val="0"/>
          <w:spacing w:val="-4"/>
          <w:sz w:val="32"/>
          <w:szCs w:val="32"/>
          <w:highlight w:val="none"/>
          <w:lang w:eastAsia="zh-CN"/>
        </w:rPr>
        <w:t>健全</w:t>
      </w:r>
      <w:r>
        <w:rPr>
          <w:rStyle w:val="13"/>
          <w:rFonts w:hint="eastAsia" w:ascii="Times New Roman" w:hAnsi="Times New Roman" w:eastAsia="仿宋_GB2312" w:cs="仿宋_GB2312"/>
          <w:b w:val="0"/>
          <w:bCs w:val="0"/>
          <w:spacing w:val="-4"/>
          <w:sz w:val="32"/>
          <w:szCs w:val="32"/>
          <w:highlight w:val="none"/>
        </w:rPr>
        <w:t>的预算绩效管理体制，</w:t>
      </w:r>
      <w:r>
        <w:rPr>
          <w:rStyle w:val="13"/>
          <w:rFonts w:hint="eastAsia" w:ascii="Times New Roman" w:hAnsi="Times New Roman" w:eastAsia="仿宋_GB2312" w:cs="仿宋_GB2312"/>
          <w:b w:val="0"/>
          <w:bCs w:val="0"/>
          <w:spacing w:val="-4"/>
          <w:sz w:val="32"/>
          <w:szCs w:val="32"/>
          <w:highlight w:val="none"/>
          <w:lang w:eastAsia="zh-CN"/>
        </w:rPr>
        <w:t>加强对预算绩效相关知识的了解和掌握，</w:t>
      </w:r>
      <w:r>
        <w:rPr>
          <w:rStyle w:val="13"/>
          <w:rFonts w:hint="eastAsia" w:ascii="Times New Roman" w:hAnsi="Times New Roman" w:eastAsia="仿宋_GB2312" w:cs="仿宋_GB2312"/>
          <w:b w:val="0"/>
          <w:bCs w:val="0"/>
          <w:spacing w:val="-4"/>
          <w:sz w:val="32"/>
          <w:szCs w:val="32"/>
          <w:highlight w:val="none"/>
        </w:rPr>
        <w:t>促进绩效管理工作向广度和深度延伸</w:t>
      </w:r>
      <w:r>
        <w:rPr>
          <w:rStyle w:val="13"/>
          <w:rFonts w:hint="eastAsia" w:ascii="Times New Roman" w:hAnsi="Times New Roman" w:eastAsia="仿宋_GB2312" w:cs="仿宋_GB2312"/>
          <w:b w:val="0"/>
          <w:bCs w:val="0"/>
          <w:spacing w:val="-4"/>
          <w:sz w:val="32"/>
          <w:szCs w:val="32"/>
          <w:highlight w:val="none"/>
          <w:lang w:eastAsia="zh-CN"/>
        </w:rPr>
        <w:t>，切实提高部门预算收支管理水平；</w:t>
      </w:r>
      <w:r>
        <w:rPr>
          <w:rStyle w:val="13"/>
          <w:rFonts w:hint="eastAsia" w:ascii="Times New Roman" w:hAnsi="Times New Roman" w:eastAsia="仿宋_GB2312" w:cs="仿宋_GB2312"/>
          <w:b w:val="0"/>
          <w:bCs w:val="0"/>
          <w:spacing w:val="-4"/>
          <w:sz w:val="32"/>
          <w:szCs w:val="32"/>
          <w:highlight w:val="none"/>
          <w:lang w:val="en-US" w:eastAsia="zh-CN"/>
        </w:rPr>
        <w:t>二是</w:t>
      </w:r>
      <w:r>
        <w:rPr>
          <w:rFonts w:hint="eastAsia" w:ascii="Times New Roman" w:hAnsi="Times New Roman" w:eastAsia="仿宋_GB2312" w:cs="仿宋_GB2312"/>
          <w:sz w:val="32"/>
          <w:szCs w:val="32"/>
          <w:highlight w:val="none"/>
        </w:rPr>
        <w:t>加强财务管理，严格财务审核</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在费用报账支付时，按照预算规定费用项目和用途进行资金使用审核、列报支付、财务核算，杜绝超支现象发生</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olor w:val="auto"/>
          <w:sz w:val="32"/>
          <w:szCs w:val="32"/>
          <w:highlight w:val="none"/>
          <w:lang w:eastAsia="zh-CN"/>
        </w:rPr>
        <w:t>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2023年，本单位涉密项目31个，</w:t>
      </w:r>
      <w:r>
        <w:rPr>
          <w:rFonts w:hint="eastAsia" w:ascii="Times New Roman" w:hAnsi="Times New Roman" w:eastAsia="仿宋_GB2312"/>
          <w:color w:val="auto"/>
          <w:sz w:val="32"/>
          <w:szCs w:val="32"/>
          <w:highlight w:val="none"/>
          <w:lang w:val="en-US" w:eastAsia="zh-CN"/>
        </w:rPr>
        <w:t>涉及预算资金7036.91万元。</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Times New Roman" w:hAnsi="Times New Roman"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3"/>
        <w:rPr>
          <w:rFonts w:hint="eastAsia" w:ascii="黑体" w:hAnsi="黑体" w:eastAsia="黑体" w:cs="宋体"/>
          <w:bCs/>
          <w:color w:val="auto"/>
          <w:kern w:val="0"/>
          <w:sz w:val="32"/>
          <w:szCs w:val="32"/>
          <w:highlight w:val="none"/>
          <w:lang w:eastAsia="zh-CN"/>
        </w:rPr>
      </w:pPr>
    </w:p>
    <w:p/>
    <w:p>
      <w:pPr>
        <w:pStyle w:val="3"/>
      </w:pPr>
    </w:p>
    <w:p/>
    <w:p>
      <w:r>
        <w:drawing>
          <wp:inline distT="0" distB="0" distL="114300" distR="114300">
            <wp:extent cx="5273675" cy="6337935"/>
            <wp:effectExtent l="0" t="0" r="317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273675" cy="6337935"/>
                    </a:xfrm>
                    <a:prstGeom prst="rect">
                      <a:avLst/>
                    </a:prstGeom>
                    <a:noFill/>
                    <a:ln>
                      <a:noFill/>
                    </a:ln>
                  </pic:spPr>
                </pic:pic>
              </a:graphicData>
            </a:graphic>
          </wp:inline>
        </w:drawing>
      </w:r>
    </w:p>
    <w:p>
      <w:pPr>
        <w:pStyle w:val="3"/>
      </w:pPr>
    </w:p>
    <w:p/>
    <w:p>
      <w:pPr>
        <w:pStyle w:val="3"/>
      </w:pPr>
      <w:r>
        <w:drawing>
          <wp:inline distT="0" distB="0" distL="114300" distR="114300">
            <wp:extent cx="5273675" cy="7520305"/>
            <wp:effectExtent l="0" t="0" r="3175"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73675" cy="7520305"/>
                    </a:xfrm>
                    <a:prstGeom prst="rect">
                      <a:avLst/>
                    </a:prstGeom>
                    <a:noFill/>
                    <a:ln>
                      <a:noFill/>
                    </a:ln>
                  </pic:spPr>
                </pic:pic>
              </a:graphicData>
            </a:graphic>
          </wp:inline>
        </w:drawing>
      </w:r>
    </w:p>
    <w:p/>
    <w:p>
      <w:pPr>
        <w:pStyle w:val="2"/>
      </w:pPr>
    </w:p>
    <w:p/>
    <w:p>
      <w:pPr>
        <w:pStyle w:val="2"/>
      </w:pPr>
    </w:p>
    <w:p/>
    <w:p>
      <w:pPr>
        <w:pStyle w:val="2"/>
      </w:pPr>
    </w:p>
    <w:p>
      <w:r>
        <w:drawing>
          <wp:inline distT="0" distB="0" distL="114300" distR="114300">
            <wp:extent cx="5264785" cy="6583680"/>
            <wp:effectExtent l="0" t="0" r="12065"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5264785" cy="658368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
      <w:pPr>
        <w:pStyle w:val="2"/>
      </w:pPr>
      <w:r>
        <w:drawing>
          <wp:inline distT="0" distB="0" distL="114300" distR="114300">
            <wp:extent cx="5267325" cy="6567170"/>
            <wp:effectExtent l="0" t="0" r="952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267325" cy="656717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Pr>
        <w:pStyle w:val="2"/>
      </w:pPr>
      <w:r>
        <w:drawing>
          <wp:inline distT="0" distB="0" distL="114300" distR="114300">
            <wp:extent cx="5269865" cy="6276340"/>
            <wp:effectExtent l="0" t="0" r="6985" b="1016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269865" cy="6276340"/>
                    </a:xfrm>
                    <a:prstGeom prst="rect">
                      <a:avLst/>
                    </a:prstGeom>
                    <a:noFill/>
                    <a:ln>
                      <a:noFill/>
                    </a:ln>
                  </pic:spPr>
                </pic:pic>
              </a:graphicData>
            </a:graphic>
          </wp:inline>
        </w:drawing>
      </w:r>
    </w:p>
    <w:p>
      <w:pPr>
        <w:pStyle w:val="3"/>
      </w:pPr>
    </w:p>
    <w:p>
      <w:pPr>
        <w:pStyle w:val="3"/>
      </w:pPr>
    </w:p>
    <w:p/>
    <w:p>
      <w:pPr>
        <w:pStyle w:val="3"/>
      </w:pPr>
      <w:r>
        <w:drawing>
          <wp:inline distT="0" distB="0" distL="114300" distR="114300">
            <wp:extent cx="5264150" cy="7527925"/>
            <wp:effectExtent l="0" t="0" r="12700" b="1587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5264150" cy="7527925"/>
                    </a:xfrm>
                    <a:prstGeom prst="rect">
                      <a:avLst/>
                    </a:prstGeom>
                    <a:noFill/>
                    <a:ln>
                      <a:noFill/>
                    </a:ln>
                  </pic:spPr>
                </pic:pic>
              </a:graphicData>
            </a:graphic>
          </wp:inline>
        </w:drawing>
      </w:r>
    </w:p>
    <w:p/>
    <w:p>
      <w:pPr>
        <w:pStyle w:val="2"/>
      </w:pPr>
    </w:p>
    <w:p/>
    <w:p>
      <w:pPr>
        <w:pStyle w:val="2"/>
      </w:pPr>
    </w:p>
    <w:p/>
    <w:p>
      <w:pPr>
        <w:pStyle w:val="2"/>
      </w:pPr>
    </w:p>
    <w:p/>
    <w:p>
      <w:pPr>
        <w:pStyle w:val="2"/>
      </w:pPr>
    </w:p>
    <w:p/>
    <w:p/>
    <w:p>
      <w:pPr>
        <w:pStyle w:val="2"/>
      </w:pPr>
    </w:p>
    <w:p/>
    <w:p>
      <w:pPr>
        <w:pStyle w:val="2"/>
      </w:pPr>
    </w:p>
    <w:p>
      <w:r>
        <w:drawing>
          <wp:inline distT="0" distB="0" distL="114300" distR="114300">
            <wp:extent cx="5273040" cy="3091180"/>
            <wp:effectExtent l="0" t="0" r="3810" b="1397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5273040" cy="3091180"/>
                    </a:xfrm>
                    <a:prstGeom prst="rect">
                      <a:avLst/>
                    </a:prstGeom>
                    <a:noFill/>
                    <a:ln>
                      <a:noFill/>
                    </a:ln>
                  </pic:spPr>
                </pic:pic>
              </a:graphicData>
            </a:graphic>
          </wp:inline>
        </w:drawing>
      </w:r>
    </w:p>
    <w:p/>
    <w:p>
      <w:pPr>
        <w:pStyle w:val="3"/>
      </w:pPr>
    </w:p>
    <w:p/>
    <w:p/>
    <w:p/>
    <w:p>
      <w:pPr>
        <w:pStyle w:val="3"/>
      </w:pPr>
    </w:p>
    <w:p/>
    <w:p>
      <w:pPr>
        <w:pStyle w:val="3"/>
      </w:pPr>
    </w:p>
    <w:p/>
    <w:p>
      <w:pPr>
        <w:pStyle w:val="3"/>
      </w:pPr>
    </w:p>
    <w:p/>
    <w:p>
      <w:pPr>
        <w:pStyle w:val="3"/>
      </w:pPr>
    </w:p>
    <w:p/>
    <w:p>
      <w:pPr>
        <w:pStyle w:val="3"/>
      </w:pPr>
      <w:r>
        <w:drawing>
          <wp:inline distT="0" distB="0" distL="114300" distR="114300">
            <wp:extent cx="5264785" cy="3133090"/>
            <wp:effectExtent l="0" t="0" r="12065" b="1016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2"/>
                    <a:stretch>
                      <a:fillRect/>
                    </a:stretch>
                  </pic:blipFill>
                  <pic:spPr>
                    <a:xfrm>
                      <a:off x="0" y="0"/>
                      <a:ext cx="5264785" cy="313309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3"/>
      </w:pPr>
      <w:r>
        <w:drawing>
          <wp:anchor distT="0" distB="0" distL="114300" distR="114300" simplePos="0" relativeHeight="251659264" behindDoc="0" locked="0" layoutInCell="1" allowOverlap="1">
            <wp:simplePos x="0" y="0"/>
            <wp:positionH relativeFrom="column">
              <wp:posOffset>0</wp:posOffset>
            </wp:positionH>
            <wp:positionV relativeFrom="paragraph">
              <wp:posOffset>225425</wp:posOffset>
            </wp:positionV>
            <wp:extent cx="5266690" cy="2872105"/>
            <wp:effectExtent l="0" t="0" r="10160" b="4445"/>
            <wp:wrapSquare wrapText="bothSides"/>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5266690" cy="2872105"/>
                    </a:xfrm>
                    <a:prstGeom prst="rect">
                      <a:avLst/>
                    </a:prstGeom>
                    <a:noFill/>
                    <a:ln>
                      <a:noFill/>
                    </a:ln>
                  </pic:spPr>
                </pic:pic>
              </a:graphicData>
            </a:graphic>
          </wp:anchor>
        </w:drawing>
      </w:r>
    </w:p>
    <w:p/>
    <w:p>
      <w:pPr>
        <w:pStyle w:val="3"/>
      </w:pPr>
    </w:p>
    <w:p/>
    <w:p>
      <w:pPr>
        <w:pStyle w:val="3"/>
      </w:pPr>
    </w:p>
    <w:p/>
    <w:p>
      <w:pPr>
        <w:pStyle w:val="3"/>
      </w:pPr>
    </w:p>
    <w:p/>
    <w:p>
      <w:pPr>
        <w:pStyle w:val="3"/>
      </w:pPr>
    </w:p>
    <w:p/>
    <w:p/>
    <w:p>
      <w:pPr>
        <w:bidi w:val="0"/>
        <w:rPr>
          <w:rFonts w:hint="eastAsia" w:ascii="Times New Roman" w:hAnsi="Times New Roman" w:eastAsia="宋体" w:cs="Times New Roman"/>
          <w:kern w:val="2"/>
          <w:sz w:val="21"/>
          <w:szCs w:val="24"/>
          <w:lang w:val="en-US" w:eastAsia="zh-CN" w:bidi="ar-SA"/>
        </w:rPr>
      </w:pPr>
    </w:p>
    <w:p>
      <w:pPr>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89001F"/>
    <w:rsid w:val="07093795"/>
    <w:rsid w:val="070D1730"/>
    <w:rsid w:val="07804730"/>
    <w:rsid w:val="079052BE"/>
    <w:rsid w:val="08145C21"/>
    <w:rsid w:val="08422688"/>
    <w:rsid w:val="085854ED"/>
    <w:rsid w:val="0879188F"/>
    <w:rsid w:val="08A0354D"/>
    <w:rsid w:val="08B37564"/>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DC3906"/>
    <w:rsid w:val="16E120E1"/>
    <w:rsid w:val="17385A05"/>
    <w:rsid w:val="173B3901"/>
    <w:rsid w:val="176747F9"/>
    <w:rsid w:val="17954A6E"/>
    <w:rsid w:val="180059E9"/>
    <w:rsid w:val="182B27FC"/>
    <w:rsid w:val="184510FD"/>
    <w:rsid w:val="190648B0"/>
    <w:rsid w:val="19071D6C"/>
    <w:rsid w:val="19D26CD4"/>
    <w:rsid w:val="19E60D19"/>
    <w:rsid w:val="1A207B0D"/>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CF13C2"/>
    <w:rsid w:val="221236C6"/>
    <w:rsid w:val="22D7662C"/>
    <w:rsid w:val="23010A55"/>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3D7330"/>
    <w:rsid w:val="29CB58F0"/>
    <w:rsid w:val="2A053397"/>
    <w:rsid w:val="2A145E96"/>
    <w:rsid w:val="2AF5378F"/>
    <w:rsid w:val="2BB94DBF"/>
    <w:rsid w:val="2C6F314E"/>
    <w:rsid w:val="2CC206BE"/>
    <w:rsid w:val="2D1136DF"/>
    <w:rsid w:val="2D20606D"/>
    <w:rsid w:val="2DB87198"/>
    <w:rsid w:val="2DB93C54"/>
    <w:rsid w:val="2E3D144C"/>
    <w:rsid w:val="2E891204"/>
    <w:rsid w:val="2ECE5DF6"/>
    <w:rsid w:val="2EDA1C51"/>
    <w:rsid w:val="2F3F0A28"/>
    <w:rsid w:val="2FBF7029"/>
    <w:rsid w:val="2FD0187F"/>
    <w:rsid w:val="2FD27414"/>
    <w:rsid w:val="2FFE4BB0"/>
    <w:rsid w:val="300E7B60"/>
    <w:rsid w:val="300F6E18"/>
    <w:rsid w:val="30862F5F"/>
    <w:rsid w:val="30F65465"/>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A7D71"/>
    <w:rsid w:val="4A0A26D2"/>
    <w:rsid w:val="4A2019A5"/>
    <w:rsid w:val="4A241A0B"/>
    <w:rsid w:val="4A7642DA"/>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C4F7A"/>
    <w:rsid w:val="58CD2491"/>
    <w:rsid w:val="591B41B2"/>
    <w:rsid w:val="59254A26"/>
    <w:rsid w:val="59326325"/>
    <w:rsid w:val="595C505B"/>
    <w:rsid w:val="595E55C3"/>
    <w:rsid w:val="596E7E20"/>
    <w:rsid w:val="5A60780B"/>
    <w:rsid w:val="5AB34579"/>
    <w:rsid w:val="5AFC6609"/>
    <w:rsid w:val="5B113480"/>
    <w:rsid w:val="5BC27018"/>
    <w:rsid w:val="5BD456CE"/>
    <w:rsid w:val="5C0D1F49"/>
    <w:rsid w:val="5C450261"/>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0D452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 w:type="paragraph" w:styleId="4">
    <w:name w:val="annotation text"/>
    <w:basedOn w:val="1"/>
    <w:qFormat/>
    <w:uiPriority w:val="0"/>
    <w:pPr>
      <w:jc w:val="left"/>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10</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青葱</cp:lastModifiedBy>
  <dcterms:modified xsi:type="dcterms:W3CDTF">2024-10-30T08:12:38Z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