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bookmarkStart w:id="0" w:name="_GoBack"/>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964" w:firstLineChars="200"/>
        <w:jc w:val="center"/>
        <w:textAlignment w:val="auto"/>
        <w:rPr>
          <w:rFonts w:hint="eastAsia" w:ascii="黑体" w:hAnsi="黑体" w:eastAsia="黑体" w:cs="黑体"/>
          <w:b/>
          <w:color w:val="auto"/>
          <w:kern w:val="0"/>
          <w:sz w:val="48"/>
          <w:szCs w:val="48"/>
          <w:highlight w:val="none"/>
        </w:rPr>
      </w:pPr>
      <w:r>
        <w:rPr>
          <w:rFonts w:hint="eastAsia" w:ascii="黑体" w:hAnsi="黑体" w:eastAsia="黑体" w:cs="黑体"/>
          <w:b/>
          <w:color w:val="auto"/>
          <w:kern w:val="0"/>
          <w:sz w:val="48"/>
          <w:szCs w:val="48"/>
          <w:highlight w:val="none"/>
          <w:lang w:val="en-US" w:eastAsia="zh-CN"/>
        </w:rPr>
        <w:t>库尔勒市</w:t>
      </w:r>
      <w:r>
        <w:rPr>
          <w:rFonts w:hint="eastAsia" w:ascii="黑体" w:hAnsi="黑体" w:eastAsia="黑体" w:cs="黑体"/>
          <w:b/>
          <w:color w:val="auto"/>
          <w:kern w:val="0"/>
          <w:sz w:val="48"/>
          <w:szCs w:val="48"/>
          <w:highlight w:val="none"/>
        </w:rPr>
        <w:t>部门单位整体支出绩效</w:t>
      </w:r>
    </w:p>
    <w:p>
      <w:pPr>
        <w:pageBreakBefore w:val="0"/>
        <w:kinsoku/>
        <w:wordWrap/>
        <w:overflowPunct/>
        <w:topLinePunct w:val="0"/>
        <w:autoSpaceDE/>
        <w:autoSpaceDN/>
        <w:bidi w:val="0"/>
        <w:adjustRightInd/>
        <w:spacing w:line="540" w:lineRule="exact"/>
        <w:ind w:firstLine="964" w:firstLineChars="200"/>
        <w:jc w:val="center"/>
        <w:textAlignment w:val="auto"/>
        <w:rPr>
          <w:rFonts w:hint="eastAsia" w:ascii="黑体" w:hAnsi="黑体" w:eastAsia="黑体" w:cs="黑体"/>
          <w:b/>
          <w:color w:val="auto"/>
          <w:kern w:val="0"/>
          <w:sz w:val="48"/>
          <w:szCs w:val="48"/>
          <w:highlight w:val="none"/>
        </w:rPr>
      </w:pPr>
      <w:r>
        <w:rPr>
          <w:rFonts w:hint="eastAsia" w:ascii="黑体" w:hAnsi="黑体" w:eastAsia="黑体" w:cs="黑体"/>
          <w:b/>
          <w:color w:val="auto"/>
          <w:kern w:val="0"/>
          <w:sz w:val="48"/>
          <w:szCs w:val="48"/>
          <w:highlight w:val="none"/>
        </w:rPr>
        <w:t>自评报告</w:t>
      </w: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720" w:firstLineChars="200"/>
        <w:jc w:val="center"/>
        <w:textAlignment w:val="auto"/>
        <w:rPr>
          <w:rFonts w:hint="eastAsia" w:ascii="黑体" w:hAnsi="黑体" w:eastAsia="黑体" w:cs="黑体"/>
          <w:color w:val="auto"/>
          <w:kern w:val="0"/>
          <w:sz w:val="36"/>
          <w:szCs w:val="36"/>
          <w:highlight w:val="none"/>
        </w:rPr>
      </w:pPr>
      <w:r>
        <w:rPr>
          <w:rFonts w:hint="eastAsia" w:ascii="黑体" w:hAnsi="黑体" w:eastAsia="黑体" w:cs="黑体"/>
          <w:color w:val="auto"/>
          <w:kern w:val="0"/>
          <w:sz w:val="36"/>
          <w:szCs w:val="36"/>
          <w:highlight w:val="none"/>
        </w:rPr>
        <w:t>（</w:t>
      </w:r>
      <w:r>
        <w:rPr>
          <w:rFonts w:hint="eastAsia" w:ascii="黑体" w:hAnsi="黑体" w:eastAsia="黑体" w:cs="黑体"/>
          <w:color w:val="auto"/>
          <w:kern w:val="0"/>
          <w:sz w:val="36"/>
          <w:szCs w:val="36"/>
          <w:highlight w:val="none"/>
          <w:lang w:val="en-US" w:eastAsia="zh-CN"/>
        </w:rPr>
        <w:t>2023</w:t>
      </w:r>
      <w:r>
        <w:rPr>
          <w:rFonts w:hint="eastAsia" w:ascii="黑体" w:hAnsi="黑体" w:eastAsia="黑体" w:cs="黑体"/>
          <w:color w:val="auto"/>
          <w:kern w:val="0"/>
          <w:sz w:val="36"/>
          <w:szCs w:val="36"/>
          <w:highlight w:val="none"/>
        </w:rPr>
        <w:t>年度）</w:t>
      </w: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 xml:space="preserve">  </w:t>
      </w: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lang w:val="en-US" w:eastAsia="zh-CN"/>
        </w:rPr>
      </w:pPr>
      <w:r>
        <w:rPr>
          <w:rFonts w:hint="eastAsia" w:ascii="仿宋" w:hAnsi="仿宋" w:eastAsia="仿宋" w:cs="仿宋"/>
          <w:color w:val="auto"/>
          <w:kern w:val="0"/>
          <w:sz w:val="36"/>
          <w:szCs w:val="36"/>
          <w:highlight w:val="none"/>
        </w:rPr>
        <w:t>部门单位名称（公章）：</w:t>
      </w: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填报时间：</w:t>
      </w:r>
      <w:r>
        <w:rPr>
          <w:rFonts w:hint="eastAsia" w:ascii="仿宋" w:hAnsi="仿宋" w:eastAsia="仿宋" w:cs="仿宋"/>
          <w:color w:val="auto"/>
          <w:kern w:val="0"/>
          <w:sz w:val="36"/>
          <w:szCs w:val="36"/>
          <w:highlight w:val="none"/>
          <w:lang w:val="en-US" w:eastAsia="zh-CN"/>
        </w:rPr>
        <w:t>2024</w:t>
      </w:r>
      <w:r>
        <w:rPr>
          <w:rFonts w:hint="eastAsia" w:ascii="仿宋" w:hAnsi="仿宋" w:eastAsia="仿宋" w:cs="仿宋"/>
          <w:color w:val="auto"/>
          <w:kern w:val="0"/>
          <w:sz w:val="36"/>
          <w:szCs w:val="36"/>
          <w:highlight w:val="none"/>
        </w:rPr>
        <w:t>年</w:t>
      </w:r>
      <w:r>
        <w:rPr>
          <w:rFonts w:hint="eastAsia" w:ascii="仿宋" w:hAnsi="仿宋" w:eastAsia="仿宋" w:cs="仿宋"/>
          <w:color w:val="auto"/>
          <w:kern w:val="0"/>
          <w:sz w:val="36"/>
          <w:szCs w:val="36"/>
          <w:highlight w:val="none"/>
          <w:lang w:val="en-US" w:eastAsia="zh-CN"/>
        </w:rPr>
        <w:t>4</w:t>
      </w:r>
      <w:r>
        <w:rPr>
          <w:rFonts w:hint="eastAsia" w:ascii="仿宋" w:hAnsi="仿宋" w:eastAsia="仿宋" w:cs="仿宋"/>
          <w:color w:val="auto"/>
          <w:kern w:val="0"/>
          <w:sz w:val="36"/>
          <w:szCs w:val="36"/>
          <w:highlight w:val="none"/>
        </w:rPr>
        <w:t>月</w:t>
      </w:r>
      <w:r>
        <w:rPr>
          <w:rFonts w:hint="eastAsia" w:ascii="仿宋" w:hAnsi="仿宋" w:eastAsia="仿宋" w:cs="仿宋"/>
          <w:color w:val="auto"/>
          <w:kern w:val="0"/>
          <w:sz w:val="36"/>
          <w:szCs w:val="36"/>
          <w:highlight w:val="none"/>
          <w:lang w:val="en-US" w:eastAsia="zh-CN"/>
        </w:rPr>
        <w:t>28</w:t>
      </w:r>
      <w:r>
        <w:rPr>
          <w:rFonts w:hint="eastAsia" w:ascii="仿宋" w:hAnsi="仿宋" w:eastAsia="仿宋" w:cs="仿宋"/>
          <w:color w:val="auto"/>
          <w:kern w:val="0"/>
          <w:sz w:val="36"/>
          <w:szCs w:val="36"/>
          <w:highlight w:val="none"/>
        </w:rPr>
        <w:t>日</w:t>
      </w:r>
    </w:p>
    <w:p>
      <w:pPr>
        <w:pageBreakBefore w:val="0"/>
        <w:kinsoku/>
        <w:wordWrap/>
        <w:overflowPunct/>
        <w:topLinePunct w:val="0"/>
        <w:autoSpaceDE/>
        <w:autoSpaceDN/>
        <w:bidi w:val="0"/>
        <w:adjustRightInd/>
        <w:ind w:firstLine="720" w:firstLineChars="200"/>
        <w:textAlignment w:val="auto"/>
        <w:rPr>
          <w:rFonts w:hAnsi="宋体" w:eastAsia="仿宋_GB2312" w:cs="宋体"/>
          <w:color w:val="auto"/>
          <w:kern w:val="0"/>
          <w:sz w:val="36"/>
          <w:szCs w:val="36"/>
          <w:highlight w:val="none"/>
        </w:rPr>
      </w:pPr>
      <w:r>
        <w:rPr>
          <w:rFonts w:hAnsi="宋体" w:eastAsia="仿宋_GB2312" w:cs="宋体"/>
          <w:color w:val="auto"/>
          <w:kern w:val="0"/>
          <w:sz w:val="36"/>
          <w:szCs w:val="36"/>
          <w:highlight w:val="none"/>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一、基本概况</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rPr>
      </w:pPr>
      <w:r>
        <w:rPr>
          <w:rStyle w:val="9"/>
          <w:rFonts w:hint="eastAsia" w:ascii="黑体" w:hAnsi="黑体" w:eastAsia="黑体" w:cs="黑体"/>
          <w:b w:val="0"/>
          <w:bCs/>
          <w:color w:val="auto"/>
          <w:spacing w:val="-4"/>
          <w:sz w:val="32"/>
          <w:szCs w:val="32"/>
          <w:highlight w:val="none"/>
          <w:lang w:val="en-US" w:eastAsia="zh-CN"/>
        </w:rPr>
        <w:t>(一)</w:t>
      </w:r>
      <w:r>
        <w:rPr>
          <w:rStyle w:val="9"/>
          <w:rFonts w:hint="eastAsia" w:ascii="黑体" w:hAnsi="黑体" w:eastAsia="黑体" w:cs="黑体"/>
          <w:b w:val="0"/>
          <w:bCs/>
          <w:color w:val="auto"/>
          <w:spacing w:val="-4"/>
          <w:sz w:val="32"/>
          <w:szCs w:val="32"/>
          <w:highlight w:val="none"/>
        </w:rPr>
        <w:t>部门单位基本情况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1.部门职能</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bCs/>
          <w:color w:val="auto"/>
          <w:sz w:val="32"/>
          <w:szCs w:val="32"/>
          <w:highlight w:val="none"/>
        </w:rPr>
      </w:pPr>
      <w:r>
        <w:rPr>
          <w:rFonts w:hint="eastAsia" w:ascii="仿宋" w:hAnsi="仿宋" w:eastAsia="仿宋" w:cs="仿宋"/>
          <w:bCs/>
          <w:color w:val="auto"/>
          <w:sz w:val="32"/>
          <w:szCs w:val="32"/>
          <w:highlight w:val="none"/>
          <w:lang w:val="en-US" w:eastAsia="zh-CN"/>
        </w:rPr>
        <w:t>（1）组织</w:t>
      </w:r>
      <w:r>
        <w:rPr>
          <w:rFonts w:hint="eastAsia" w:ascii="仿宋" w:hAnsi="仿宋" w:eastAsia="仿宋" w:cs="仿宋"/>
          <w:bCs/>
          <w:color w:val="auto"/>
          <w:sz w:val="32"/>
          <w:szCs w:val="32"/>
          <w:highlight w:val="none"/>
        </w:rPr>
        <w:t>实施退役军人思想政治、管理保障和安置优抚等工作政策法规，褒扬彰显退役军人为党、国家和人民牺牲奉献的精神风范和价值导向，发挥退役军人在新疆社会稳定和长治久安总目标中的作用。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bCs/>
          <w:color w:val="auto"/>
          <w:sz w:val="32"/>
          <w:szCs w:val="32"/>
          <w:highlight w:val="none"/>
        </w:rPr>
      </w:pPr>
      <w:r>
        <w:rPr>
          <w:rFonts w:hint="eastAsia" w:ascii="仿宋" w:hAnsi="仿宋" w:eastAsia="仿宋" w:cs="仿宋"/>
          <w:bCs/>
          <w:color w:val="auto"/>
          <w:sz w:val="32"/>
          <w:szCs w:val="32"/>
          <w:highlight w:val="none"/>
        </w:rPr>
        <w:t>（</w:t>
      </w:r>
      <w:r>
        <w:rPr>
          <w:rFonts w:hint="eastAsia" w:ascii="仿宋" w:hAnsi="仿宋" w:eastAsia="仿宋" w:cs="仿宋"/>
          <w:bCs/>
          <w:color w:val="auto"/>
          <w:sz w:val="32"/>
          <w:szCs w:val="32"/>
          <w:highlight w:val="none"/>
          <w:lang w:val="en-US" w:eastAsia="zh-CN"/>
        </w:rPr>
        <w:t>2</w:t>
      </w:r>
      <w:r>
        <w:rPr>
          <w:rFonts w:hint="eastAsia" w:ascii="仿宋" w:hAnsi="仿宋" w:eastAsia="仿宋" w:cs="仿宋"/>
          <w:bCs/>
          <w:color w:val="auto"/>
          <w:sz w:val="32"/>
          <w:szCs w:val="32"/>
          <w:highlight w:val="none"/>
        </w:rPr>
        <w:t>）负责军队转业干部、复员干部、离退休干部、退役士兵和无军籍退休退职职工的移交安置工作和自主择业、就业退役军人服务管理工作；组织实施退役军人留库尔勒市安置优惠优待政策。</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bCs/>
          <w:color w:val="auto"/>
          <w:sz w:val="32"/>
          <w:szCs w:val="32"/>
          <w:highlight w:val="none"/>
        </w:rPr>
      </w:pPr>
      <w:r>
        <w:rPr>
          <w:rFonts w:hint="eastAsia" w:ascii="仿宋" w:hAnsi="仿宋" w:eastAsia="仿宋" w:cs="仿宋"/>
          <w:bCs/>
          <w:color w:val="auto"/>
          <w:sz w:val="32"/>
          <w:szCs w:val="32"/>
          <w:highlight w:val="none"/>
        </w:rPr>
        <w:t>（</w:t>
      </w:r>
      <w:r>
        <w:rPr>
          <w:rFonts w:hint="eastAsia" w:ascii="仿宋" w:hAnsi="仿宋" w:eastAsia="仿宋" w:cs="仿宋"/>
          <w:bCs/>
          <w:color w:val="auto"/>
          <w:sz w:val="32"/>
          <w:szCs w:val="32"/>
          <w:highlight w:val="none"/>
          <w:lang w:val="en-US" w:eastAsia="zh-CN"/>
        </w:rPr>
        <w:t>3</w:t>
      </w:r>
      <w:r>
        <w:rPr>
          <w:rFonts w:hint="eastAsia" w:ascii="仿宋" w:hAnsi="仿宋" w:eastAsia="仿宋" w:cs="仿宋"/>
          <w:bCs/>
          <w:color w:val="auto"/>
          <w:sz w:val="32"/>
          <w:szCs w:val="32"/>
          <w:highlight w:val="none"/>
        </w:rPr>
        <w:t>）组织指导开展退役军人教育培训工作；协调扶持退役军人和随军随调家属就业创业。</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bCs/>
          <w:color w:val="auto"/>
          <w:sz w:val="32"/>
          <w:szCs w:val="32"/>
          <w:highlight w:val="none"/>
        </w:rPr>
      </w:pPr>
      <w:r>
        <w:rPr>
          <w:rFonts w:hint="eastAsia" w:ascii="仿宋" w:hAnsi="仿宋" w:eastAsia="仿宋" w:cs="仿宋"/>
          <w:bCs/>
          <w:color w:val="auto"/>
          <w:sz w:val="32"/>
          <w:szCs w:val="32"/>
          <w:highlight w:val="none"/>
        </w:rPr>
        <w:t>（</w:t>
      </w:r>
      <w:r>
        <w:rPr>
          <w:rFonts w:hint="eastAsia" w:ascii="仿宋" w:hAnsi="仿宋" w:eastAsia="仿宋" w:cs="仿宋"/>
          <w:bCs/>
          <w:color w:val="auto"/>
          <w:sz w:val="32"/>
          <w:szCs w:val="32"/>
          <w:highlight w:val="none"/>
          <w:lang w:val="en-US" w:eastAsia="zh-CN"/>
        </w:rPr>
        <w:t>4</w:t>
      </w:r>
      <w:r>
        <w:rPr>
          <w:rFonts w:hint="eastAsia" w:ascii="仿宋" w:hAnsi="仿宋" w:eastAsia="仿宋" w:cs="仿宋"/>
          <w:bCs/>
          <w:color w:val="auto"/>
          <w:sz w:val="32"/>
          <w:szCs w:val="32"/>
          <w:highlight w:val="none"/>
        </w:rPr>
        <w:t>）会同有关部门拟定退役军人特殊保障政策并组织落实。</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bCs/>
          <w:color w:val="auto"/>
          <w:sz w:val="32"/>
          <w:szCs w:val="32"/>
          <w:highlight w:val="none"/>
        </w:rPr>
      </w:pPr>
      <w:r>
        <w:rPr>
          <w:rFonts w:hint="eastAsia" w:ascii="仿宋" w:hAnsi="仿宋" w:eastAsia="仿宋" w:cs="仿宋"/>
          <w:bCs/>
          <w:color w:val="auto"/>
          <w:sz w:val="32"/>
          <w:szCs w:val="32"/>
          <w:highlight w:val="none"/>
        </w:rPr>
        <w:t>（</w:t>
      </w:r>
      <w:r>
        <w:rPr>
          <w:rFonts w:hint="eastAsia" w:ascii="仿宋" w:hAnsi="仿宋" w:eastAsia="仿宋" w:cs="仿宋"/>
          <w:bCs/>
          <w:color w:val="auto"/>
          <w:sz w:val="32"/>
          <w:szCs w:val="32"/>
          <w:highlight w:val="none"/>
          <w:lang w:val="en-US" w:eastAsia="zh-CN"/>
        </w:rPr>
        <w:t>5</w:t>
      </w:r>
      <w:r>
        <w:rPr>
          <w:rFonts w:hint="eastAsia" w:ascii="仿宋" w:hAnsi="仿宋" w:eastAsia="仿宋" w:cs="仿宋"/>
          <w:bCs/>
          <w:color w:val="auto"/>
          <w:sz w:val="32"/>
          <w:szCs w:val="32"/>
          <w:highlight w:val="none"/>
        </w:rPr>
        <w:t>）组织落实移交地方的离休退休军人、符合条件的其他退役军人和无军籍退休退职职工的住房保障，以及退役军人医疗保障、社会保险等待遇保障工作。</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bCs/>
          <w:color w:val="auto"/>
          <w:sz w:val="32"/>
          <w:szCs w:val="32"/>
          <w:highlight w:val="none"/>
        </w:rPr>
      </w:pPr>
      <w:r>
        <w:rPr>
          <w:rFonts w:hint="eastAsia" w:ascii="仿宋" w:hAnsi="仿宋" w:eastAsia="仿宋" w:cs="仿宋"/>
          <w:bCs/>
          <w:color w:val="auto"/>
          <w:sz w:val="32"/>
          <w:szCs w:val="32"/>
          <w:highlight w:val="none"/>
          <w:lang w:val="en-US" w:eastAsia="zh-CN"/>
        </w:rPr>
        <w:t>（6）</w:t>
      </w:r>
      <w:r>
        <w:rPr>
          <w:rFonts w:hint="eastAsia" w:ascii="仿宋" w:hAnsi="仿宋" w:eastAsia="仿宋" w:cs="仿宋"/>
          <w:bCs/>
          <w:color w:val="auto"/>
          <w:sz w:val="32"/>
          <w:szCs w:val="32"/>
          <w:highlight w:val="none"/>
        </w:rPr>
        <w:t>组织指导伤病残退役军人服务管理和抚恤工作，指导并落实有关退役军人医疗、疗养、养老等机构的规划政策；承担不适宜继续服役的伤病残军人相关工作。</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bCs/>
          <w:color w:val="auto"/>
          <w:sz w:val="32"/>
          <w:szCs w:val="32"/>
          <w:highlight w:val="none"/>
        </w:rPr>
      </w:pPr>
      <w:r>
        <w:rPr>
          <w:rFonts w:hint="eastAsia" w:ascii="仿宋" w:hAnsi="仿宋" w:eastAsia="仿宋" w:cs="仿宋"/>
          <w:bCs/>
          <w:color w:val="auto"/>
          <w:sz w:val="32"/>
          <w:szCs w:val="32"/>
          <w:highlight w:val="none"/>
        </w:rPr>
        <w:t>（</w:t>
      </w:r>
      <w:r>
        <w:rPr>
          <w:rFonts w:hint="eastAsia" w:ascii="仿宋" w:hAnsi="仿宋" w:eastAsia="仿宋" w:cs="仿宋"/>
          <w:bCs/>
          <w:color w:val="auto"/>
          <w:sz w:val="32"/>
          <w:szCs w:val="32"/>
          <w:highlight w:val="none"/>
          <w:lang w:val="en-US" w:eastAsia="zh-CN"/>
        </w:rPr>
        <w:t>7</w:t>
      </w:r>
      <w:r>
        <w:rPr>
          <w:rFonts w:hint="eastAsia" w:ascii="仿宋" w:hAnsi="仿宋" w:eastAsia="仿宋" w:cs="仿宋"/>
          <w:bCs/>
          <w:color w:val="auto"/>
          <w:sz w:val="32"/>
          <w:szCs w:val="32"/>
          <w:highlight w:val="none"/>
        </w:rPr>
        <w:t>）组织指导拥军优属工作。负责现役军人、退役军人、军队文职人员和军属优待、抚恤等工作，落实国民党抗战老兵等有关人员优待政策并指导实施。</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bCs/>
          <w:color w:val="auto"/>
          <w:sz w:val="32"/>
          <w:szCs w:val="32"/>
          <w:highlight w:val="none"/>
        </w:rPr>
      </w:pPr>
      <w:r>
        <w:rPr>
          <w:rFonts w:hint="eastAsia" w:ascii="仿宋" w:hAnsi="仿宋" w:eastAsia="仿宋" w:cs="仿宋"/>
          <w:bCs/>
          <w:color w:val="auto"/>
          <w:sz w:val="32"/>
          <w:szCs w:val="32"/>
          <w:highlight w:val="none"/>
        </w:rPr>
        <w:t>（</w:t>
      </w:r>
      <w:r>
        <w:rPr>
          <w:rFonts w:hint="eastAsia" w:ascii="仿宋" w:hAnsi="仿宋" w:eastAsia="仿宋" w:cs="仿宋"/>
          <w:bCs/>
          <w:color w:val="auto"/>
          <w:sz w:val="32"/>
          <w:szCs w:val="32"/>
          <w:highlight w:val="none"/>
          <w:lang w:val="en-US" w:eastAsia="zh-CN"/>
        </w:rPr>
        <w:t>8</w:t>
      </w:r>
      <w:r>
        <w:rPr>
          <w:rFonts w:hint="eastAsia" w:ascii="仿宋" w:hAnsi="仿宋" w:eastAsia="仿宋" w:cs="仿宋"/>
          <w:bCs/>
          <w:color w:val="auto"/>
          <w:sz w:val="32"/>
          <w:szCs w:val="32"/>
          <w:highlight w:val="none"/>
        </w:rPr>
        <w:t>）负责烈士及退役军人荣誉奖励、军人公墓规划建设、管理维护、纪念活动等工作；依法承担英雄烈士保护相关工作；审核拟列入全国和自治区重点保护单位的烈士纪念建筑物名录；总结表彰和宣扬退役军人、退役军人工作单位先进典型事迹。</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bCs/>
          <w:color w:val="auto"/>
          <w:sz w:val="32"/>
          <w:szCs w:val="32"/>
          <w:highlight w:val="none"/>
        </w:rPr>
      </w:pPr>
      <w:r>
        <w:rPr>
          <w:rFonts w:hint="eastAsia" w:ascii="仿宋" w:hAnsi="仿宋" w:eastAsia="仿宋" w:cs="仿宋"/>
          <w:bCs/>
          <w:color w:val="auto"/>
          <w:sz w:val="32"/>
          <w:szCs w:val="32"/>
          <w:highlight w:val="none"/>
          <w:lang w:eastAsia="zh-CN"/>
        </w:rPr>
        <w:t>（</w:t>
      </w:r>
      <w:r>
        <w:rPr>
          <w:rFonts w:hint="eastAsia" w:ascii="仿宋" w:hAnsi="仿宋" w:eastAsia="仿宋" w:cs="仿宋"/>
          <w:bCs/>
          <w:color w:val="auto"/>
          <w:sz w:val="32"/>
          <w:szCs w:val="32"/>
          <w:highlight w:val="none"/>
          <w:lang w:val="en-US" w:eastAsia="zh-CN"/>
        </w:rPr>
        <w:t>9）</w:t>
      </w:r>
      <w:r>
        <w:rPr>
          <w:rFonts w:hint="eastAsia" w:ascii="仿宋" w:hAnsi="仿宋" w:eastAsia="仿宋" w:cs="仿宋"/>
          <w:bCs/>
          <w:color w:val="auto"/>
          <w:sz w:val="32"/>
          <w:szCs w:val="32"/>
          <w:highlight w:val="none"/>
        </w:rPr>
        <w:t>指导并监督检查退役军人相关法律法规和政策措施的落实；组织指导退役军人权益维护和有关人员的帮扶援助工作。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bCs/>
          <w:color w:val="auto"/>
          <w:sz w:val="32"/>
          <w:szCs w:val="32"/>
          <w:highlight w:val="none"/>
        </w:rPr>
      </w:pPr>
      <w:r>
        <w:rPr>
          <w:rFonts w:hint="eastAsia" w:ascii="仿宋" w:hAnsi="仿宋" w:eastAsia="仿宋" w:cs="仿宋"/>
          <w:bCs/>
          <w:color w:val="auto"/>
          <w:sz w:val="32"/>
          <w:szCs w:val="32"/>
          <w:highlight w:val="none"/>
          <w:lang w:eastAsia="zh-CN"/>
        </w:rPr>
        <w:t>（</w:t>
      </w:r>
      <w:r>
        <w:rPr>
          <w:rFonts w:hint="eastAsia" w:ascii="仿宋" w:hAnsi="仿宋" w:eastAsia="仿宋" w:cs="仿宋"/>
          <w:bCs/>
          <w:color w:val="auto"/>
          <w:sz w:val="32"/>
          <w:szCs w:val="32"/>
          <w:highlight w:val="none"/>
          <w:lang w:val="en-US" w:eastAsia="zh-CN"/>
        </w:rPr>
        <w:t>10）</w:t>
      </w:r>
      <w:r>
        <w:rPr>
          <w:rFonts w:hint="eastAsia" w:ascii="仿宋" w:hAnsi="仿宋" w:eastAsia="仿宋" w:cs="仿宋"/>
          <w:bCs/>
          <w:color w:val="auto"/>
          <w:sz w:val="32"/>
          <w:szCs w:val="32"/>
          <w:highlight w:val="none"/>
        </w:rPr>
        <w:t>完成市党委、市人民政府交办的其他事项。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2.部门机构人员构成情况</w:t>
      </w:r>
    </w:p>
    <w:p>
      <w:pPr>
        <w:pStyle w:val="6"/>
        <w:keepNext w:val="0"/>
        <w:keepLines w:val="0"/>
        <w:pageBreakBefore w:val="0"/>
        <w:widowControl/>
        <w:kinsoku/>
        <w:wordWrap/>
        <w:overflowPunct/>
        <w:topLinePunct w:val="0"/>
        <w:autoSpaceDE/>
        <w:autoSpaceDN/>
        <w:bidi w:val="0"/>
        <w:adjustRightInd/>
        <w:snapToGrid/>
        <w:spacing w:before="40" w:beforeAutospacing="0" w:after="0" w:afterAutospacing="0" w:line="600" w:lineRule="exact"/>
        <w:ind w:firstLine="640" w:firstLineChars="200"/>
        <w:jc w:val="both"/>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库尔勒市退役军人事务局</w:t>
      </w:r>
      <w:r>
        <w:rPr>
          <w:rFonts w:hint="eastAsia" w:ascii="仿宋" w:hAnsi="仿宋" w:eastAsia="仿宋" w:cs="仿宋"/>
          <w:color w:val="auto"/>
          <w:kern w:val="2"/>
          <w:sz w:val="32"/>
          <w:szCs w:val="32"/>
          <w:highlight w:val="none"/>
          <w:lang w:val="en-US" w:eastAsia="zh-CN" w:bidi="ar-SA"/>
        </w:rPr>
        <w:t>编制数</w:t>
      </w:r>
      <w:r>
        <w:rPr>
          <w:rFonts w:hint="eastAsia" w:ascii="仿宋" w:hAnsi="仿宋" w:eastAsia="仿宋" w:cs="仿宋"/>
          <w:color w:val="auto"/>
          <w:kern w:val="2"/>
          <w:sz w:val="32"/>
          <w:szCs w:val="32"/>
          <w:highlight w:val="none"/>
          <w:lang w:val="en-US" w:eastAsia="zh-CN" w:bidi="ar-SA"/>
        </w:rPr>
        <w:t>16</w:t>
      </w:r>
      <w:r>
        <w:rPr>
          <w:rFonts w:hint="eastAsia" w:ascii="仿宋" w:hAnsi="仿宋" w:eastAsia="仿宋" w:cs="仿宋"/>
          <w:color w:val="auto"/>
          <w:kern w:val="2"/>
          <w:sz w:val="32"/>
          <w:szCs w:val="32"/>
          <w:highlight w:val="none"/>
          <w:lang w:val="en-US" w:eastAsia="zh-CN" w:bidi="ar-SA"/>
        </w:rPr>
        <w:t>人，实有人数</w:t>
      </w:r>
      <w:r>
        <w:rPr>
          <w:rFonts w:hint="eastAsia" w:ascii="仿宋" w:hAnsi="仿宋" w:eastAsia="仿宋" w:cs="仿宋"/>
          <w:color w:val="auto"/>
          <w:kern w:val="2"/>
          <w:sz w:val="32"/>
          <w:szCs w:val="32"/>
          <w:highlight w:val="none"/>
          <w:lang w:val="en-US" w:eastAsia="zh-CN" w:bidi="ar-SA"/>
        </w:rPr>
        <w:t>17</w:t>
      </w:r>
      <w:r>
        <w:rPr>
          <w:rFonts w:hint="eastAsia" w:ascii="仿宋" w:hAnsi="仿宋" w:eastAsia="仿宋" w:cs="仿宋"/>
          <w:color w:val="auto"/>
          <w:kern w:val="2"/>
          <w:sz w:val="32"/>
          <w:szCs w:val="32"/>
          <w:highlight w:val="none"/>
          <w:lang w:val="en-US" w:eastAsia="zh-CN" w:bidi="ar-SA"/>
        </w:rPr>
        <w:t>人，其中：在职</w:t>
      </w:r>
      <w:r>
        <w:rPr>
          <w:rFonts w:hint="eastAsia" w:ascii="仿宋" w:hAnsi="仿宋" w:eastAsia="仿宋" w:cs="仿宋"/>
          <w:color w:val="auto"/>
          <w:kern w:val="2"/>
          <w:sz w:val="32"/>
          <w:szCs w:val="32"/>
          <w:highlight w:val="none"/>
          <w:lang w:val="en-US" w:eastAsia="zh-CN" w:bidi="ar-SA"/>
        </w:rPr>
        <w:t>16</w:t>
      </w:r>
      <w:r>
        <w:rPr>
          <w:rFonts w:hint="eastAsia" w:ascii="仿宋" w:hAnsi="仿宋" w:eastAsia="仿宋" w:cs="仿宋"/>
          <w:color w:val="auto"/>
          <w:kern w:val="2"/>
          <w:sz w:val="32"/>
          <w:szCs w:val="32"/>
          <w:highlight w:val="none"/>
          <w:lang w:val="en-US" w:eastAsia="zh-CN" w:bidi="ar-SA"/>
        </w:rPr>
        <w:t>人；退休</w:t>
      </w:r>
      <w:r>
        <w:rPr>
          <w:rFonts w:hint="eastAsia" w:ascii="仿宋" w:hAnsi="仿宋" w:eastAsia="仿宋" w:cs="仿宋"/>
          <w:color w:val="auto"/>
          <w:kern w:val="2"/>
          <w:sz w:val="32"/>
          <w:szCs w:val="32"/>
          <w:highlight w:val="none"/>
          <w:lang w:val="en-US" w:eastAsia="zh-CN" w:bidi="ar-SA"/>
        </w:rPr>
        <w:t>1</w:t>
      </w:r>
      <w:r>
        <w:rPr>
          <w:rFonts w:hint="eastAsia" w:ascii="仿宋" w:hAnsi="仿宋" w:eastAsia="仿宋" w:cs="仿宋"/>
          <w:color w:val="auto"/>
          <w:kern w:val="2"/>
          <w:sz w:val="32"/>
          <w:szCs w:val="32"/>
          <w:highlight w:val="none"/>
          <w:lang w:val="en-US" w:eastAsia="zh-CN" w:bidi="ar-SA"/>
        </w:rPr>
        <w:t>人；离休</w:t>
      </w:r>
      <w:r>
        <w:rPr>
          <w:rFonts w:hint="eastAsia" w:ascii="仿宋" w:hAnsi="仿宋" w:eastAsia="仿宋" w:cs="仿宋"/>
          <w:color w:val="auto"/>
          <w:kern w:val="2"/>
          <w:sz w:val="32"/>
          <w:szCs w:val="32"/>
          <w:highlight w:val="none"/>
          <w:lang w:val="en-US" w:eastAsia="zh-CN" w:bidi="ar-SA"/>
        </w:rPr>
        <w:t>0</w:t>
      </w:r>
      <w:r>
        <w:rPr>
          <w:rFonts w:hint="eastAsia" w:ascii="仿宋" w:hAnsi="仿宋" w:eastAsia="仿宋" w:cs="仿宋"/>
          <w:color w:val="auto"/>
          <w:kern w:val="2"/>
          <w:sz w:val="32"/>
          <w:szCs w:val="32"/>
          <w:highlight w:val="none"/>
          <w:lang w:val="en-US" w:eastAsia="zh-CN" w:bidi="ar-SA"/>
        </w:rPr>
        <w:t>人。</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(二)部门单位年度重点工作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1.2023年度工作计划</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一是高质量做好移交安置工作。</w:t>
      </w:r>
      <w:r>
        <w:rPr>
          <w:rFonts w:hint="eastAsia" w:ascii="仿宋" w:hAnsi="仿宋" w:eastAsia="仿宋" w:cs="仿宋"/>
          <w:color w:val="auto"/>
          <w:sz w:val="32"/>
          <w:szCs w:val="32"/>
          <w:highlight w:val="none"/>
          <w:lang w:val="en-US" w:eastAsia="zh-CN"/>
        </w:rPr>
        <w:t>认真落实退役军人安置政策，坚持围绕“妥善安置、合理使用、人尽其才、各得其所”的原则，推动退役安置政策精准落实。</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b w:val="0"/>
          <w:bCs w:val="0"/>
          <w:snapToGrid w:val="0"/>
          <w:color w:val="auto"/>
          <w:kern w:val="0"/>
          <w:sz w:val="32"/>
          <w:szCs w:val="32"/>
          <w:highlight w:val="none"/>
          <w:lang w:val="en-US" w:eastAsia="zh-CN"/>
        </w:rPr>
      </w:pPr>
      <w:r>
        <w:rPr>
          <w:rFonts w:hint="eastAsia" w:ascii="仿宋" w:hAnsi="仿宋" w:eastAsia="仿宋" w:cs="仿宋"/>
          <w:color w:val="auto"/>
          <w:sz w:val="32"/>
          <w:szCs w:val="32"/>
          <w:highlight w:val="none"/>
          <w:lang w:val="en-US" w:eastAsia="zh-CN"/>
        </w:rPr>
        <w:t>二是精准促进退役军人就业创业。</w:t>
      </w:r>
      <w:r>
        <w:rPr>
          <w:rFonts w:hint="eastAsia" w:ascii="仿宋" w:hAnsi="仿宋" w:eastAsia="仿宋" w:cs="仿宋"/>
          <w:color w:val="auto"/>
          <w:sz w:val="32"/>
          <w:szCs w:val="32"/>
          <w:highlight w:val="none"/>
          <w:lang w:val="en-US" w:eastAsia="zh-CN"/>
        </w:rPr>
        <w:t>联合州、市人社局等部门召开招聘会，同步开展线上招聘，通过微信公众号等平台向退役军人推送招聘信息，满足各类就业需求，开展不少于2次退役军人招聘会，促进退役军人就业；建立市退役军人创业项目库，选树宣传1-2名退役军人就业创业先进典型。</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三是加强常态联系，帮扶援助更加暖心。</w:t>
      </w:r>
      <w:r>
        <w:rPr>
          <w:rFonts w:hint="eastAsia" w:ascii="仿宋" w:hAnsi="仿宋" w:eastAsia="仿宋" w:cs="仿宋"/>
          <w:b w:val="0"/>
          <w:bCs w:val="0"/>
          <w:snapToGrid w:val="0"/>
          <w:color w:val="auto"/>
          <w:kern w:val="0"/>
          <w:sz w:val="32"/>
          <w:szCs w:val="32"/>
          <w:highlight w:val="none"/>
          <w:lang w:val="en-US" w:eastAsia="zh-CN"/>
        </w:rPr>
        <w:t>利用春节、八一等活动，重点做好企业军转干部的困难帮扶，掌握困难诉求和生活、生产、生存状况，检查资金帮扶政策落实到位情况，每年不少于2次走访活动。及时将党和政府的关心关爱传递到每名退役军人心中，为退役军人提供服务保障，营造浓厚的尊崇氛围。</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b w:val="0"/>
          <w:bCs w:val="0"/>
          <w:snapToGrid w:val="0"/>
          <w:color w:val="auto"/>
          <w:kern w:val="0"/>
          <w:sz w:val="32"/>
          <w:szCs w:val="32"/>
          <w:highlight w:val="none"/>
          <w:lang w:val="en-US" w:eastAsia="zh-CN"/>
        </w:rPr>
      </w:pPr>
      <w:r>
        <w:rPr>
          <w:rFonts w:hint="eastAsia" w:ascii="仿宋" w:hAnsi="仿宋" w:eastAsia="仿宋" w:cs="仿宋"/>
          <w:b w:val="0"/>
          <w:bCs w:val="0"/>
          <w:snapToGrid w:val="0"/>
          <w:color w:val="auto"/>
          <w:kern w:val="0"/>
          <w:sz w:val="32"/>
          <w:szCs w:val="32"/>
          <w:highlight w:val="none"/>
          <w:lang w:val="en-US" w:eastAsia="zh-CN"/>
        </w:rPr>
        <w:t>四是健全服务保障体系建设。着力创建39个100人以上示范性社区退役军人服务站工作；继续推进退役军人优待证申领发放工作和优待政策的落实；组织基层服务站点开展“尊崇关爱大走访”活动，全年全覆盖走访辖区退役军人不少于2次。</w:t>
      </w:r>
    </w:p>
    <w:p>
      <w:pPr>
        <w:pStyle w:val="2"/>
        <w:pageBreakBefore w:val="0"/>
        <w:kinsoku/>
        <w:wordWrap/>
        <w:overflowPunct/>
        <w:topLinePunct w:val="0"/>
        <w:autoSpaceDE/>
        <w:autoSpaceDN/>
        <w:bidi w:val="0"/>
        <w:adjustRightInd/>
        <w:spacing w:line="600" w:lineRule="exact"/>
        <w:ind w:firstLine="640" w:firstLineChars="200"/>
        <w:textAlignment w:val="auto"/>
        <w:rPr>
          <w:rFonts w:hint="eastAsia" w:ascii="黑体" w:hAnsi="黑体" w:eastAsia="黑体" w:cs="黑体"/>
          <w:color w:val="auto"/>
          <w:highlight w:val="none"/>
          <w:lang w:val="en-US" w:eastAsia="zh-CN"/>
        </w:rPr>
      </w:pPr>
      <w:r>
        <w:rPr>
          <w:rFonts w:hint="eastAsia" w:ascii="黑体" w:hAnsi="黑体" w:eastAsia="黑体" w:cs="黑体"/>
          <w:b w:val="0"/>
          <w:bCs/>
          <w:color w:val="auto"/>
          <w:sz w:val="32"/>
          <w:szCs w:val="32"/>
          <w:highlight w:val="none"/>
          <w:lang w:val="en-US" w:eastAsia="zh-CN"/>
        </w:rPr>
        <w:t>2.机构人员保障情况</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库尔勒市退役军人事务局</w:t>
      </w:r>
      <w:r>
        <w:rPr>
          <w:rStyle w:val="9"/>
          <w:rFonts w:hint="eastAsia" w:ascii="仿宋" w:hAnsi="仿宋" w:eastAsia="仿宋" w:cs="仿宋"/>
          <w:b w:val="0"/>
          <w:bCs/>
          <w:color w:val="auto"/>
          <w:spacing w:val="-4"/>
          <w:sz w:val="32"/>
          <w:szCs w:val="32"/>
          <w:highlight w:val="none"/>
          <w:lang w:val="en-US" w:eastAsia="zh-CN"/>
        </w:rPr>
        <w:t>2023年通过本部门预算支出，确保16名在职人员的工资、津贴、补贴、社保、绩效、公积金等</w:t>
      </w:r>
      <w:r>
        <w:rPr>
          <w:rStyle w:val="9"/>
          <w:rFonts w:hint="eastAsia" w:ascii="仿宋" w:hAnsi="仿宋" w:eastAsia="仿宋" w:cs="仿宋"/>
          <w:b w:val="0"/>
          <w:bCs/>
          <w:color w:val="auto"/>
          <w:spacing w:val="-4"/>
          <w:sz w:val="32"/>
          <w:szCs w:val="32"/>
          <w:highlight w:val="none"/>
          <w:lang w:val="en-US" w:eastAsia="zh-CN"/>
        </w:rPr>
        <w:t>以及1名离退休人员的工资、医疗费等。</w:t>
      </w:r>
      <w:r>
        <w:rPr>
          <w:rStyle w:val="9"/>
          <w:rFonts w:hint="eastAsia" w:ascii="仿宋" w:hAnsi="仿宋" w:eastAsia="仿宋" w:cs="仿宋"/>
          <w:b w:val="0"/>
          <w:bCs/>
          <w:color w:val="auto"/>
          <w:spacing w:val="-4"/>
          <w:sz w:val="32"/>
          <w:szCs w:val="32"/>
          <w:highlight w:val="none"/>
          <w:lang w:val="en-US" w:eastAsia="zh-CN"/>
        </w:rPr>
        <w:t>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(三)部门单位整体预算规模及安排情况</w:t>
      </w:r>
    </w:p>
    <w:p>
      <w:pPr>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1.年初预算安排</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2023年我部门年初安排预算数为</w:t>
      </w:r>
      <w:r>
        <w:rPr>
          <w:rFonts w:hint="eastAsia" w:ascii="仿宋" w:hAnsi="仿宋" w:eastAsia="仿宋" w:cs="仿宋"/>
          <w:color w:val="auto"/>
          <w:sz w:val="32"/>
          <w:szCs w:val="32"/>
          <w:highlight w:val="none"/>
          <w:lang w:val="en-US" w:eastAsia="zh-CN"/>
        </w:rPr>
        <w:t>7456.69</w:t>
      </w:r>
      <w:r>
        <w:rPr>
          <w:rFonts w:hint="eastAsia" w:ascii="仿宋" w:hAnsi="仿宋" w:eastAsia="仿宋" w:cs="仿宋"/>
          <w:color w:val="auto"/>
          <w:sz w:val="32"/>
          <w:szCs w:val="32"/>
          <w:highlight w:val="none"/>
          <w:lang w:val="en-US" w:eastAsia="zh-CN"/>
        </w:rPr>
        <w:t>万元，其中:上级安排</w:t>
      </w:r>
      <w:r>
        <w:rPr>
          <w:rFonts w:hint="eastAsia" w:ascii="仿宋" w:hAnsi="仿宋" w:eastAsia="仿宋" w:cs="仿宋"/>
          <w:color w:val="auto"/>
          <w:sz w:val="32"/>
          <w:szCs w:val="32"/>
          <w:highlight w:val="none"/>
          <w:lang w:val="en-US" w:eastAsia="zh-CN"/>
        </w:rPr>
        <w:t>3037.31</w:t>
      </w:r>
      <w:r>
        <w:rPr>
          <w:rFonts w:hint="eastAsia" w:ascii="仿宋" w:hAnsi="仿宋" w:eastAsia="仿宋" w:cs="仿宋"/>
          <w:color w:val="auto"/>
          <w:sz w:val="32"/>
          <w:szCs w:val="32"/>
          <w:highlight w:val="none"/>
          <w:lang w:val="en-US" w:eastAsia="zh-CN"/>
        </w:rPr>
        <w:t>万元,本级安排</w:t>
      </w:r>
      <w:r>
        <w:rPr>
          <w:rFonts w:hint="eastAsia" w:ascii="仿宋" w:hAnsi="仿宋" w:eastAsia="仿宋" w:cs="仿宋"/>
          <w:color w:val="auto"/>
          <w:sz w:val="32"/>
          <w:szCs w:val="32"/>
          <w:highlight w:val="none"/>
          <w:lang w:val="en-US" w:eastAsia="zh-CN"/>
        </w:rPr>
        <w:t>4419.38</w:t>
      </w:r>
      <w:r>
        <w:rPr>
          <w:rFonts w:hint="eastAsia" w:ascii="仿宋" w:hAnsi="仿宋" w:eastAsia="仿宋" w:cs="仿宋"/>
          <w:color w:val="auto"/>
          <w:sz w:val="32"/>
          <w:szCs w:val="32"/>
          <w:highlight w:val="none"/>
          <w:lang w:val="en-US" w:eastAsia="zh-CN"/>
        </w:rPr>
        <w:t>万元，其他资金</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lang w:val="en-US" w:eastAsia="zh-CN"/>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综上所述，部门预算安排与本单位职能关联度较高，预算安排结构清晰明了，能够直观展示各项费用的分配情况，预算规模合理，为单位的稳健发展和高效运行提供了有力保障。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2.预算年中调整情况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我部门年初安排预算数</w:t>
      </w:r>
      <w:r>
        <w:rPr>
          <w:rFonts w:hint="eastAsia" w:ascii="仿宋" w:hAnsi="仿宋" w:eastAsia="仿宋" w:cs="仿宋"/>
          <w:color w:val="auto"/>
          <w:sz w:val="32"/>
          <w:szCs w:val="32"/>
          <w:highlight w:val="none"/>
          <w:lang w:val="en-US" w:eastAsia="zh-CN"/>
        </w:rPr>
        <w:t>7456.69</w:t>
      </w:r>
      <w:r>
        <w:rPr>
          <w:rFonts w:hint="eastAsia" w:ascii="仿宋" w:hAnsi="仿宋" w:eastAsia="仿宋" w:cs="仿宋"/>
          <w:b w:val="0"/>
          <w:bCs/>
          <w:color w:val="auto"/>
          <w:sz w:val="32"/>
          <w:szCs w:val="32"/>
          <w:highlight w:val="none"/>
          <w:lang w:val="en-US" w:eastAsia="zh-CN"/>
        </w:rPr>
        <w:t>万元，年中调整数</w:t>
      </w:r>
      <w:r>
        <w:rPr>
          <w:rFonts w:hint="eastAsia" w:ascii="仿宋" w:hAnsi="仿宋" w:eastAsia="仿宋" w:cs="仿宋"/>
          <w:b w:val="0"/>
          <w:bCs/>
          <w:color w:val="auto"/>
          <w:sz w:val="32"/>
          <w:szCs w:val="32"/>
          <w:highlight w:val="none"/>
          <w:lang w:val="en-US" w:eastAsia="zh-CN"/>
        </w:rPr>
        <w:t>-185.73</w:t>
      </w:r>
      <w:r>
        <w:rPr>
          <w:rFonts w:hint="eastAsia" w:ascii="仿宋" w:hAnsi="仿宋" w:eastAsia="仿宋" w:cs="仿宋"/>
          <w:b w:val="0"/>
          <w:bCs/>
          <w:color w:val="auto"/>
          <w:sz w:val="32"/>
          <w:szCs w:val="32"/>
          <w:highlight w:val="none"/>
          <w:lang w:val="en-US" w:eastAsia="zh-CN"/>
        </w:rPr>
        <w:t>万元，调整后全年预算数</w:t>
      </w:r>
      <w:r>
        <w:rPr>
          <w:rFonts w:hint="eastAsia" w:ascii="仿宋" w:hAnsi="仿宋" w:eastAsia="仿宋" w:cs="仿宋"/>
          <w:b w:val="0"/>
          <w:bCs/>
          <w:color w:val="auto"/>
          <w:sz w:val="32"/>
          <w:szCs w:val="32"/>
          <w:highlight w:val="none"/>
          <w:lang w:val="en-US" w:eastAsia="zh-CN"/>
        </w:rPr>
        <w:t>7270.96</w:t>
      </w:r>
      <w:r>
        <w:rPr>
          <w:rFonts w:hint="eastAsia" w:ascii="仿宋" w:hAnsi="仿宋" w:eastAsia="仿宋" w:cs="仿宋"/>
          <w:b w:val="0"/>
          <w:bCs/>
          <w:color w:val="auto"/>
          <w:sz w:val="32"/>
          <w:szCs w:val="32"/>
          <w:highlight w:val="none"/>
          <w:lang w:val="en-US" w:eastAsia="zh-CN"/>
        </w:rPr>
        <w:t>万元，预算调整率</w:t>
      </w:r>
      <w:r>
        <w:rPr>
          <w:rFonts w:hint="eastAsia" w:ascii="仿宋" w:hAnsi="仿宋" w:eastAsia="仿宋" w:cs="仿宋"/>
          <w:b w:val="0"/>
          <w:bCs/>
          <w:color w:val="auto"/>
          <w:sz w:val="32"/>
          <w:szCs w:val="32"/>
          <w:highlight w:val="none"/>
          <w:lang w:val="en-US" w:eastAsia="zh-CN"/>
        </w:rPr>
        <w:t>-2.5%</w:t>
      </w:r>
      <w:r>
        <w:rPr>
          <w:rFonts w:hint="eastAsia" w:ascii="仿宋" w:hAnsi="仿宋" w:eastAsia="仿宋" w:cs="仿宋"/>
          <w:b w:val="0"/>
          <w:bCs/>
          <w:color w:val="auto"/>
          <w:sz w:val="32"/>
          <w:szCs w:val="32"/>
          <w:highlight w:val="none"/>
          <w:lang w:val="en-US" w:eastAsia="zh-CN"/>
        </w:rPr>
        <w:t>。</w:t>
      </w:r>
    </w:p>
    <w:p>
      <w:pPr>
        <w:pStyle w:val="2"/>
        <w:keepNext/>
        <w:keepLines/>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color w:val="auto"/>
          <w:kern w:val="2"/>
          <w:sz w:val="32"/>
          <w:szCs w:val="32"/>
          <w:highlight w:val="none"/>
          <w:lang w:val="en-US" w:eastAsia="zh-CN" w:bidi="ar-SA"/>
        </w:rPr>
      </w:pPr>
      <w:r>
        <w:rPr>
          <w:rFonts w:hint="eastAsia" w:ascii="仿宋" w:hAnsi="仿宋" w:eastAsia="仿宋" w:cs="仿宋"/>
          <w:b w:val="0"/>
          <w:bCs/>
          <w:color w:val="auto"/>
          <w:kern w:val="2"/>
          <w:sz w:val="32"/>
          <w:szCs w:val="32"/>
          <w:highlight w:val="none"/>
          <w:lang w:val="en-US" w:eastAsia="zh-CN" w:bidi="ar-SA"/>
        </w:rPr>
        <w:t>综上所述，年中预算调整幅度与本单位运转情况和履职情况相匹配，未出现资金收支不平衡以及债务风险等负面影响，确保了预算调整的合理性和必要性。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eastAsia="zh-CN"/>
        </w:rPr>
      </w:pPr>
      <w:r>
        <w:rPr>
          <w:rFonts w:hint="eastAsia" w:ascii="黑体" w:hAnsi="黑体" w:eastAsia="黑体" w:cs="黑体"/>
          <w:b w:val="0"/>
          <w:bCs/>
          <w:color w:val="auto"/>
          <w:sz w:val="32"/>
          <w:szCs w:val="32"/>
          <w:highlight w:val="none"/>
          <w:lang w:val="en-US" w:eastAsia="zh-CN"/>
        </w:rPr>
        <w:t>3.资金使用主要内容、涉及的范围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我单位2023年度部门整体支出为</w:t>
      </w:r>
      <w:r>
        <w:rPr>
          <w:rFonts w:hint="eastAsia" w:ascii="仿宋" w:hAnsi="仿宋" w:eastAsia="仿宋" w:cs="仿宋"/>
          <w:color w:val="auto"/>
          <w:kern w:val="2"/>
          <w:sz w:val="32"/>
          <w:szCs w:val="32"/>
          <w:highlight w:val="none"/>
          <w:lang w:val="en-US" w:eastAsia="zh-CN" w:bidi="ar-SA"/>
        </w:rPr>
        <w:t>7270.96</w:t>
      </w:r>
      <w:r>
        <w:rPr>
          <w:rFonts w:hint="eastAsia" w:ascii="仿宋" w:hAnsi="仿宋" w:eastAsia="仿宋" w:cs="仿宋"/>
          <w:color w:val="auto"/>
          <w:kern w:val="2"/>
          <w:sz w:val="32"/>
          <w:szCs w:val="32"/>
          <w:highlight w:val="none"/>
          <w:lang w:val="en-US" w:eastAsia="zh-CN" w:bidi="ar-SA"/>
        </w:rPr>
        <w:t>万元，其中：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（1）基本支出</w:t>
      </w:r>
      <w:r>
        <w:rPr>
          <w:rFonts w:hint="eastAsia" w:ascii="仿宋" w:hAnsi="仿宋" w:eastAsia="仿宋" w:cs="仿宋"/>
          <w:b w:val="0"/>
          <w:bCs/>
          <w:color w:val="auto"/>
          <w:sz w:val="32"/>
          <w:szCs w:val="32"/>
          <w:highlight w:val="none"/>
          <w:lang w:val="en-US" w:eastAsia="zh-CN"/>
        </w:rPr>
        <w:t>572.06</w:t>
      </w:r>
      <w:r>
        <w:rPr>
          <w:rFonts w:hint="eastAsia" w:ascii="仿宋" w:hAnsi="仿宋" w:eastAsia="仿宋" w:cs="仿宋"/>
          <w:color w:val="auto"/>
          <w:sz w:val="32"/>
          <w:szCs w:val="32"/>
          <w:highlight w:val="none"/>
          <w:lang w:val="en-US" w:eastAsia="zh-CN"/>
        </w:rPr>
        <w:t>万元，主要用于：</w:t>
      </w:r>
      <w:r>
        <w:rPr>
          <w:rFonts w:hint="eastAsia" w:ascii="仿宋" w:hAnsi="仿宋" w:eastAsia="仿宋" w:cs="仿宋"/>
          <w:color w:val="auto"/>
          <w:kern w:val="2"/>
          <w:sz w:val="32"/>
          <w:szCs w:val="32"/>
          <w:highlight w:val="none"/>
          <w:lang w:val="en-US" w:eastAsia="zh-CN" w:bidi="ar-SA"/>
        </w:rPr>
        <w:t>基本工资、津贴补贴、奖金、机关事业单位基本养老保险缴费、职业年金缴费、职工基本医疗保险缴费、</w:t>
      </w:r>
      <w:r>
        <w:rPr>
          <w:rFonts w:hint="eastAsia" w:ascii="仿宋" w:hAnsi="仿宋" w:eastAsia="仿宋" w:cs="仿宋"/>
          <w:color w:val="auto"/>
          <w:sz w:val="32"/>
          <w:szCs w:val="32"/>
          <w:highlight w:val="none"/>
          <w:lang w:val="en-US" w:eastAsia="zh-CN"/>
        </w:rPr>
        <w:t>办公费、差旅费、维修（护）费、福利费、</w:t>
      </w:r>
      <w:r>
        <w:rPr>
          <w:rFonts w:hint="eastAsia" w:ascii="仿宋" w:hAnsi="仿宋" w:eastAsia="仿宋" w:cs="仿宋"/>
          <w:color w:val="auto"/>
          <w:kern w:val="2"/>
          <w:sz w:val="32"/>
          <w:szCs w:val="32"/>
          <w:highlight w:val="none"/>
          <w:lang w:val="en-US" w:eastAsia="zh-CN" w:bidi="ar-SA"/>
        </w:rPr>
        <w:t>退休费，抚恤金，生活补助，其他个人补助支出等</w:t>
      </w:r>
      <w:r>
        <w:rPr>
          <w:rFonts w:hint="eastAsia" w:ascii="仿宋" w:hAnsi="仿宋" w:eastAsia="仿宋" w:cs="仿宋"/>
          <w:color w:val="auto"/>
          <w:kern w:val="2"/>
          <w:sz w:val="32"/>
          <w:szCs w:val="32"/>
          <w:highlight w:val="none"/>
          <w:lang w:val="en-US" w:eastAsia="zh-CN" w:bidi="ar-SA"/>
        </w:rPr>
        <w:t>。</w:t>
      </w:r>
    </w:p>
    <w:p>
      <w:pPr>
        <w:pageBreakBefore w:val="0"/>
        <w:kinsoku/>
        <w:wordWrap/>
        <w:overflowPunct/>
        <w:topLinePunct w:val="0"/>
        <w:autoSpaceDE/>
        <w:autoSpaceDN/>
        <w:bidi w:val="0"/>
        <w:adjustRightIn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（2）项目支出</w:t>
      </w:r>
      <w:r>
        <w:rPr>
          <w:rFonts w:hint="eastAsia" w:ascii="仿宋" w:hAnsi="仿宋" w:eastAsia="仿宋" w:cs="仿宋"/>
          <w:b w:val="0"/>
          <w:bCs/>
          <w:color w:val="auto"/>
          <w:sz w:val="32"/>
          <w:szCs w:val="32"/>
          <w:highlight w:val="none"/>
          <w:lang w:val="en-US" w:eastAsia="zh-CN"/>
        </w:rPr>
        <w:t>6698.9</w:t>
      </w:r>
      <w:r>
        <w:rPr>
          <w:rFonts w:hint="eastAsia" w:ascii="仿宋" w:hAnsi="仿宋" w:eastAsia="仿宋" w:cs="仿宋"/>
          <w:color w:val="auto"/>
          <w:sz w:val="32"/>
          <w:szCs w:val="32"/>
          <w:highlight w:val="none"/>
          <w:lang w:val="en-US" w:eastAsia="zh-CN"/>
        </w:rPr>
        <w:t>万元，主要用于</w:t>
      </w:r>
      <w:r>
        <w:rPr>
          <w:rFonts w:hint="eastAsia" w:ascii="仿宋" w:hAnsi="仿宋" w:eastAsia="仿宋" w:cs="仿宋"/>
          <w:b w:val="0"/>
          <w:bCs w:val="0"/>
          <w:color w:val="auto"/>
          <w:kern w:val="2"/>
          <w:sz w:val="32"/>
          <w:szCs w:val="32"/>
          <w:highlight w:val="none"/>
          <w:lang w:val="en-US" w:eastAsia="zh-CN" w:bidi="ar-SA"/>
        </w:rPr>
        <w:t>2023年中央财政优抚对象补助经费127.13万元、2020年优抚对象补助经费226.98万元、2023年中央财政优抚对象补助经费【第一批】162万元、中央财政优抚对象补助经费53.23万元、部门专项-义务兵家庭优待金180万元、2021年中央财政县级以下烈士纪念设施修整工程补助资金18.48万元、2023年中央财政优抚对象补助经费1043万元、2023年自治区优抚对象补助经费488.27万元、烈士陵园土地证办理费用95.10万元、2022年中央财政优抚对象补助经费（第三批）33.6万元、2023年中央财政优抚对象补助经费112.63万元、部分原8023部队退役人员健康体检费用5.13万元、自主就业退役士兵一次性经济补助207.6万元、部门专项-退役士兵一次性补助500万元、2022年中央财政军队转业干部补助经费【第三批】24.9万元、2023年自治区自主择业军队转业干部及逐月领取退役金退役军人管理服务补助经费0.13万元、2023年中央财政部分企业军队转业干部生活困难补助资金66.65万元、2023年自治区部分军队复员干部补助经费7.85万元、关于调整下达2023年中央财政部分企业军队转业干部生活困难补助资金2.08万元、2022年自治区部分军队复员干部生活补助经费3.70万元、2023年中央财政军队转业干部补助经费13.4万元、2023年中央财政退役安置补助经费（无军籍经费）363.8万元、部门专项-自主择业干部医保及采暖费补助2611万元、部门专项-退役士兵社保接续金3.26万元、部门专项-拥军优属慰问经费29.42万元、双拥展厅建设和专题片制作费用等23.2万元、2023年“9.30”烈士纪念日活动经费1.3万元、2023年中央财政优抚对象医疗保障经费3万元、中央财政优抚对象医疗保障经费预算5.38万元、2022年中央财政优抚对象医疗保障经费0.85万元、2023年中央专项彩票公益金支持地方社会公益事业发展[烈士褒扬]285.83万元</w:t>
      </w:r>
      <w:r>
        <w:rPr>
          <w:rFonts w:hint="eastAsia" w:ascii="仿宋" w:hAnsi="仿宋" w:eastAsia="仿宋" w:cs="仿宋"/>
          <w:color w:val="auto"/>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二、部门单位整体支出管理及使用情况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（一）基本支出投入、管理和使用情况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1.基本支出投入和使用情况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2023年我部门基本支出年初预算安排</w:t>
      </w:r>
      <w:r>
        <w:rPr>
          <w:rFonts w:hint="eastAsia" w:ascii="仿宋" w:hAnsi="仿宋" w:eastAsia="仿宋" w:cs="仿宋"/>
          <w:b w:val="0"/>
          <w:bCs/>
          <w:color w:val="auto"/>
          <w:sz w:val="32"/>
          <w:szCs w:val="32"/>
          <w:highlight w:val="none"/>
          <w:lang w:val="en-US" w:eastAsia="zh-CN"/>
        </w:rPr>
        <w:t>698.38</w:t>
      </w:r>
      <w:r>
        <w:rPr>
          <w:rFonts w:hint="eastAsia" w:ascii="仿宋" w:hAnsi="仿宋" w:eastAsia="仿宋" w:cs="仿宋"/>
          <w:b w:val="0"/>
          <w:bCs/>
          <w:color w:val="auto"/>
          <w:sz w:val="32"/>
          <w:szCs w:val="32"/>
          <w:highlight w:val="none"/>
          <w:lang w:val="en-US" w:eastAsia="zh-CN"/>
        </w:rPr>
        <w:t>万元，全年预算数</w:t>
      </w:r>
      <w:r>
        <w:rPr>
          <w:rFonts w:hint="eastAsia" w:ascii="仿宋" w:hAnsi="仿宋" w:eastAsia="仿宋" w:cs="仿宋"/>
          <w:b w:val="0"/>
          <w:bCs/>
          <w:color w:val="auto"/>
          <w:sz w:val="32"/>
          <w:szCs w:val="32"/>
          <w:highlight w:val="none"/>
          <w:lang w:val="en-US" w:eastAsia="zh-CN"/>
        </w:rPr>
        <w:t>572.06</w:t>
      </w:r>
      <w:r>
        <w:rPr>
          <w:rFonts w:hint="eastAsia" w:ascii="仿宋" w:hAnsi="仿宋" w:eastAsia="仿宋" w:cs="仿宋"/>
          <w:b w:val="0"/>
          <w:bCs/>
          <w:color w:val="auto"/>
          <w:sz w:val="32"/>
          <w:szCs w:val="32"/>
          <w:highlight w:val="none"/>
          <w:lang w:val="en-US" w:eastAsia="zh-CN"/>
        </w:rPr>
        <w:t>万元，全年实际支出数</w:t>
      </w:r>
      <w:r>
        <w:rPr>
          <w:rFonts w:hint="eastAsia" w:ascii="仿宋" w:hAnsi="仿宋" w:eastAsia="仿宋" w:cs="仿宋"/>
          <w:b w:val="0"/>
          <w:bCs/>
          <w:color w:val="auto"/>
          <w:sz w:val="32"/>
          <w:szCs w:val="32"/>
          <w:highlight w:val="none"/>
          <w:lang w:val="en-US" w:eastAsia="zh-CN"/>
        </w:rPr>
        <w:t>572.06</w:t>
      </w:r>
      <w:r>
        <w:rPr>
          <w:rFonts w:hint="eastAsia" w:ascii="仿宋" w:hAnsi="仿宋" w:eastAsia="仿宋" w:cs="仿宋"/>
          <w:b w:val="0"/>
          <w:bCs/>
          <w:color w:val="auto"/>
          <w:sz w:val="32"/>
          <w:szCs w:val="32"/>
          <w:highlight w:val="none"/>
          <w:lang w:val="en-US" w:eastAsia="zh-CN"/>
        </w:rPr>
        <w:t>万元，其中：人员经费</w:t>
      </w:r>
      <w:r>
        <w:rPr>
          <w:rFonts w:hint="eastAsia" w:ascii="仿宋" w:hAnsi="仿宋" w:eastAsia="仿宋" w:cs="仿宋"/>
          <w:b w:val="0"/>
          <w:bCs/>
          <w:color w:val="auto"/>
          <w:sz w:val="32"/>
          <w:szCs w:val="32"/>
          <w:highlight w:val="none"/>
          <w:lang w:val="en-US" w:eastAsia="zh-CN"/>
        </w:rPr>
        <w:t>552.04</w:t>
      </w:r>
      <w:r>
        <w:rPr>
          <w:rFonts w:hint="eastAsia" w:ascii="仿宋" w:hAnsi="仿宋" w:eastAsia="仿宋" w:cs="仿宋"/>
          <w:b w:val="0"/>
          <w:bCs/>
          <w:color w:val="auto"/>
          <w:sz w:val="32"/>
          <w:szCs w:val="32"/>
          <w:highlight w:val="none"/>
          <w:lang w:val="en-US" w:eastAsia="zh-CN"/>
        </w:rPr>
        <w:t>万元，公用经费</w:t>
      </w:r>
      <w:r>
        <w:rPr>
          <w:rFonts w:hint="eastAsia" w:ascii="仿宋" w:hAnsi="仿宋" w:eastAsia="仿宋" w:cs="仿宋"/>
          <w:b w:val="0"/>
          <w:bCs/>
          <w:color w:val="auto"/>
          <w:sz w:val="32"/>
          <w:szCs w:val="32"/>
          <w:highlight w:val="none"/>
          <w:lang w:val="en-US" w:eastAsia="zh-CN"/>
        </w:rPr>
        <w:t>20.02</w:t>
      </w:r>
      <w:r>
        <w:rPr>
          <w:rFonts w:hint="eastAsia" w:ascii="仿宋" w:hAnsi="仿宋" w:eastAsia="仿宋" w:cs="仿宋"/>
          <w:b w:val="0"/>
          <w:bCs/>
          <w:color w:val="auto"/>
          <w:sz w:val="32"/>
          <w:szCs w:val="32"/>
          <w:highlight w:val="none"/>
          <w:lang w:val="en-US" w:eastAsia="zh-CN"/>
        </w:rPr>
        <w:t>万元。全年预算执行率</w:t>
      </w:r>
      <w:r>
        <w:rPr>
          <w:rFonts w:hint="eastAsia" w:ascii="仿宋" w:hAnsi="仿宋" w:eastAsia="仿宋" w:cs="仿宋"/>
          <w:b w:val="0"/>
          <w:bCs/>
          <w:color w:val="auto"/>
          <w:sz w:val="32"/>
          <w:szCs w:val="32"/>
          <w:highlight w:val="none"/>
          <w:lang w:val="en-US" w:eastAsia="zh-CN"/>
        </w:rPr>
        <w:t>100%</w:t>
      </w:r>
      <w:r>
        <w:rPr>
          <w:rFonts w:hint="eastAsia" w:ascii="仿宋" w:hAnsi="仿宋" w:eastAsia="仿宋" w:cs="仿宋"/>
          <w:b w:val="0"/>
          <w:bCs/>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2.基本支出管理情况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基本支出严格按照财务管理制度执行。人员工资由相关部门严格审核，按月申报及发放。基本公用经费主要用于支付单位日常的</w:t>
      </w:r>
      <w:r>
        <w:rPr>
          <w:rFonts w:hint="eastAsia" w:ascii="仿宋" w:hAnsi="仿宋" w:eastAsia="仿宋" w:cs="仿宋"/>
          <w:b w:val="0"/>
          <w:bCs/>
          <w:color w:val="auto"/>
          <w:sz w:val="32"/>
          <w:szCs w:val="32"/>
          <w:highlight w:val="none"/>
          <w:lang w:val="en-US" w:eastAsia="zh-CN"/>
        </w:rPr>
        <w:t>办公费、邮电费、差旅费、维修（护）费、劳务费、车辆运行维护费等。公务用车运行维护费主要用于单位车辆加油、维修及购买车辆保险。</w:t>
      </w:r>
    </w:p>
    <w:p>
      <w:pPr>
        <w:pStyle w:val="2"/>
        <w:keepNext/>
        <w:keepLines/>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（二）项目支出投入、管理和使用情况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1.项目支出投入和使用情况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rPr>
      </w:pPr>
      <w:r>
        <w:rPr>
          <w:rFonts w:hint="eastAsia" w:ascii="仿宋" w:hAnsi="仿宋" w:eastAsia="仿宋" w:cs="仿宋"/>
          <w:color w:val="auto"/>
          <w:kern w:val="2"/>
          <w:sz w:val="32"/>
          <w:szCs w:val="32"/>
          <w:highlight w:val="none"/>
          <w:lang w:val="en-US" w:eastAsia="zh-CN"/>
        </w:rPr>
        <w:t>2023年本单位共安排</w:t>
      </w:r>
      <w:r>
        <w:rPr>
          <w:rFonts w:hint="eastAsia" w:ascii="仿宋" w:hAnsi="仿宋" w:eastAsia="仿宋" w:cs="仿宋"/>
          <w:color w:val="auto"/>
          <w:kern w:val="2"/>
          <w:sz w:val="32"/>
          <w:szCs w:val="32"/>
          <w:highlight w:val="none"/>
          <w:lang w:val="en-US" w:eastAsia="zh-CN"/>
        </w:rPr>
        <w:t>31</w:t>
      </w:r>
      <w:r>
        <w:rPr>
          <w:rFonts w:hint="eastAsia" w:ascii="仿宋" w:hAnsi="仿宋" w:eastAsia="仿宋" w:cs="仿宋"/>
          <w:color w:val="auto"/>
          <w:kern w:val="2"/>
          <w:sz w:val="32"/>
          <w:szCs w:val="32"/>
          <w:highlight w:val="none"/>
          <w:lang w:val="en-US" w:eastAsia="zh-CN"/>
        </w:rPr>
        <w:t>个项目，全年预算数为</w:t>
      </w:r>
      <w:r>
        <w:rPr>
          <w:rFonts w:hint="eastAsia" w:ascii="仿宋" w:hAnsi="仿宋" w:eastAsia="仿宋" w:cs="仿宋"/>
          <w:color w:val="auto"/>
          <w:kern w:val="2"/>
          <w:sz w:val="32"/>
          <w:szCs w:val="32"/>
          <w:highlight w:val="none"/>
          <w:lang w:val="en-US" w:eastAsia="zh-CN"/>
        </w:rPr>
        <w:t>6698.9</w:t>
      </w:r>
      <w:r>
        <w:rPr>
          <w:rFonts w:hint="eastAsia" w:ascii="仿宋" w:hAnsi="仿宋" w:eastAsia="仿宋" w:cs="仿宋"/>
          <w:color w:val="auto"/>
          <w:kern w:val="2"/>
          <w:sz w:val="32"/>
          <w:szCs w:val="32"/>
          <w:highlight w:val="none"/>
          <w:lang w:val="en-US" w:eastAsia="zh-CN"/>
        </w:rPr>
        <w:t>万元，全年实际支出数</w:t>
      </w:r>
      <w:r>
        <w:rPr>
          <w:rFonts w:hint="eastAsia" w:ascii="仿宋" w:hAnsi="仿宋" w:eastAsia="仿宋" w:cs="仿宋"/>
          <w:color w:val="auto"/>
          <w:kern w:val="2"/>
          <w:sz w:val="32"/>
          <w:szCs w:val="32"/>
          <w:highlight w:val="none"/>
          <w:lang w:val="en-US" w:eastAsia="zh-CN"/>
        </w:rPr>
        <w:t>6698.9</w:t>
      </w:r>
      <w:r>
        <w:rPr>
          <w:rFonts w:hint="eastAsia" w:ascii="仿宋" w:hAnsi="仿宋" w:eastAsia="仿宋" w:cs="仿宋"/>
          <w:color w:val="auto"/>
          <w:kern w:val="2"/>
          <w:sz w:val="32"/>
          <w:szCs w:val="32"/>
          <w:highlight w:val="none"/>
          <w:lang w:val="en-US" w:eastAsia="zh-CN"/>
        </w:rPr>
        <w:t>万元，执行率</w:t>
      </w:r>
      <w:r>
        <w:rPr>
          <w:rFonts w:hint="eastAsia" w:ascii="仿宋" w:hAnsi="仿宋" w:eastAsia="仿宋" w:cs="仿宋"/>
          <w:color w:val="auto"/>
          <w:kern w:val="2"/>
          <w:sz w:val="32"/>
          <w:szCs w:val="32"/>
          <w:highlight w:val="none"/>
          <w:lang w:val="en-US" w:eastAsia="zh-CN"/>
        </w:rPr>
        <w:t>6698.9</w:t>
      </w:r>
      <w:r>
        <w:rPr>
          <w:rFonts w:hint="eastAsia" w:ascii="仿宋" w:hAnsi="仿宋" w:eastAsia="仿宋" w:cs="仿宋"/>
          <w:color w:val="auto"/>
          <w:kern w:val="2"/>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rPr>
      </w:pPr>
      <w:r>
        <w:rPr>
          <w:rFonts w:hint="eastAsia" w:ascii="仿宋" w:hAnsi="仿宋" w:eastAsia="仿宋" w:cs="仿宋"/>
          <w:color w:val="auto"/>
          <w:kern w:val="2"/>
          <w:sz w:val="32"/>
          <w:szCs w:val="32"/>
          <w:highlight w:val="none"/>
          <w:lang w:val="en-US" w:eastAsia="zh-CN"/>
        </w:rPr>
        <w:t>其中:上级安排项目</w:t>
      </w:r>
      <w:r>
        <w:rPr>
          <w:rFonts w:hint="eastAsia" w:ascii="仿宋" w:hAnsi="仿宋" w:eastAsia="仿宋" w:cs="仿宋"/>
          <w:color w:val="auto"/>
          <w:kern w:val="2"/>
          <w:sz w:val="32"/>
          <w:szCs w:val="32"/>
          <w:highlight w:val="none"/>
          <w:lang w:val="en-US" w:eastAsia="zh-CN"/>
        </w:rPr>
        <w:t>21个3042.89</w:t>
      </w:r>
      <w:r>
        <w:rPr>
          <w:rFonts w:hint="eastAsia" w:ascii="仿宋" w:hAnsi="仿宋" w:eastAsia="仿宋" w:cs="仿宋"/>
          <w:color w:val="auto"/>
          <w:kern w:val="2"/>
          <w:sz w:val="32"/>
          <w:szCs w:val="32"/>
          <w:highlight w:val="none"/>
          <w:lang w:val="en-US" w:eastAsia="zh-CN"/>
        </w:rPr>
        <w:t>万元，本级安排项目</w:t>
      </w:r>
      <w:r>
        <w:rPr>
          <w:rFonts w:hint="eastAsia" w:ascii="仿宋" w:hAnsi="仿宋" w:eastAsia="仿宋" w:cs="仿宋"/>
          <w:color w:val="auto"/>
          <w:kern w:val="2"/>
          <w:sz w:val="32"/>
          <w:szCs w:val="32"/>
          <w:highlight w:val="none"/>
          <w:lang w:val="en-US" w:eastAsia="zh-CN"/>
        </w:rPr>
        <w:t>10个3656.01</w:t>
      </w:r>
      <w:r>
        <w:rPr>
          <w:rFonts w:hint="eastAsia" w:ascii="仿宋" w:hAnsi="仿宋" w:eastAsia="仿宋" w:cs="仿宋"/>
          <w:color w:val="auto"/>
          <w:kern w:val="2"/>
          <w:sz w:val="32"/>
          <w:szCs w:val="32"/>
          <w:highlight w:val="none"/>
          <w:lang w:val="en-US" w:eastAsia="zh-CN"/>
        </w:rPr>
        <w:t>万元,其他资金安排项目</w:t>
      </w:r>
      <w:r>
        <w:rPr>
          <w:rFonts w:hint="eastAsia" w:ascii="仿宋" w:hAnsi="仿宋" w:eastAsia="仿宋" w:cs="仿宋"/>
          <w:color w:val="auto"/>
          <w:kern w:val="2"/>
          <w:sz w:val="32"/>
          <w:szCs w:val="32"/>
          <w:highlight w:val="none"/>
          <w:lang w:val="en-US" w:eastAsia="zh-CN"/>
        </w:rPr>
        <w:t>0个0</w:t>
      </w:r>
      <w:r>
        <w:rPr>
          <w:rFonts w:hint="eastAsia" w:ascii="仿宋" w:hAnsi="仿宋" w:eastAsia="仿宋" w:cs="仿宋"/>
          <w:color w:val="auto"/>
          <w:kern w:val="2"/>
          <w:sz w:val="32"/>
          <w:szCs w:val="32"/>
          <w:highlight w:val="none"/>
          <w:lang w:val="en-US" w:eastAsia="zh-CN"/>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2.项目支出管理情况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依据《关于印发&lt;自治区财政资金使用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（2）资金拨付审批手续完整。项目资金专款专用，不存在支出依据不合规，序列项目支出，截留，挤占，挪用和超标准支出等现象，使项目资金的运用得到了合理的控制，项目得到了切实的保障。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3）会计信息质量真实。严格执行《会计法》等财经法规，严格按照相关会计制度办理会计业务，进行会计核算，并做好会计记录，真实的反映项目资金管理情况，并接受财政、审批部门及上级主管部门的检查、监督。</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（4）执行预决算管理。严格按预算管理要求使用资金，严格按进度和合同拨付资金，严格执行政府采购制度；严格执行国库集中支付制度，严防截留、挪用资金。</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Style w:val="9"/>
          <w:rFonts w:hint="eastAsia" w:ascii="仿宋_GB2312" w:hAnsi="楷体" w:eastAsia="仿宋_GB2312" w:cs="Times New Roman"/>
          <w:b w:val="0"/>
          <w:color w:val="auto"/>
          <w:spacing w:val="-4"/>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三、部门单位整体支出绩效分析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我单位2023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我单位将部门单位整体绩效目标细化分解为具体的绩效指标，一级指标共1条，二级指标共1条，三级指标共5条，其中量化指标条数共5条，所有绩效指标均通过清晰、可衡量的指标值予以体现。</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（一）指标一：运行成本</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（二）指标二：管理效率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（三）指标三：履职效能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数量指标1：开展退役军人招聘会次数；预期指标值为：&gt;=2次；监控节点完成值：=1次；评价实际完成值：=2次；指标完成率：100%；成效分析：</w:t>
      </w:r>
      <w:r>
        <w:rPr>
          <w:rStyle w:val="9"/>
          <w:rFonts w:hint="eastAsia" w:ascii="仿宋" w:hAnsi="仿宋" w:eastAsia="仿宋" w:cs="仿宋"/>
          <w:b w:val="0"/>
          <w:bCs/>
          <w:color w:val="auto"/>
          <w:spacing w:val="-4"/>
          <w:sz w:val="32"/>
          <w:szCs w:val="32"/>
          <w:highlight w:val="none"/>
          <w:lang w:val="en-US" w:eastAsia="zh-CN"/>
        </w:rPr>
        <w:t>通过开展招聘会</w:t>
      </w:r>
      <w:r>
        <w:rPr>
          <w:rStyle w:val="9"/>
          <w:rFonts w:hint="eastAsia" w:ascii="仿宋" w:hAnsi="仿宋" w:eastAsia="仿宋" w:cs="仿宋"/>
          <w:b w:val="0"/>
          <w:color w:val="auto"/>
          <w:spacing w:val="-4"/>
          <w:sz w:val="32"/>
          <w:szCs w:val="32"/>
          <w:highlight w:val="none"/>
          <w:lang w:val="en-US" w:eastAsia="zh-CN"/>
        </w:rPr>
        <w:t>，促进退役军人就业。</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数量指标2：选树就业创业退役军人先进典型人数,预期指标值为：&gt;=1名；监控节点完成值：=1名；评价实际完成值：=30名；指标完成率：0.00%；成效分析：通过选树就业创业退役军人先进典型，强化了退役军人的思想教育，偏差原因：我单位通过积极宣传，充分挖掘我市就业创业退役军人先进典型30人，超额完成任务，以先进典型带动退役军人高质量就业创业，下一步措施：根据此项工作实际情况合理设置年初指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数量指标3：创建100人以上示范性社区退役军人服务站数量,预期指标值为：&gt;=39个；监控节点完成值：=39个；评价实际完成值：=39个；指标完成率：100%；成效分析：通过示范性社区退役军人服务站的创建，进一步健全了退役军人服务保障体系。</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Fonts w:hint="eastAsia"/>
          <w:color w:val="auto"/>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数量指标4：走访辖区退役军人次数,预期指标值为：&gt;=2次；监控节点完成值：=1次；评价实际完成值：=2次；指标完成率：100%；成效分析：通过单位正常运转，走访辖区退役军人，保障了</w:t>
      </w:r>
      <w:r>
        <w:rPr>
          <w:rFonts w:hint="eastAsia" w:ascii="方正仿宋_GBK" w:hAnsi="方正仿宋_GBK" w:eastAsia="方正仿宋_GBK" w:cs="方正仿宋_GBK"/>
          <w:i w:val="0"/>
          <w:iCs w:val="0"/>
          <w:caps w:val="0"/>
          <w:color w:val="auto"/>
          <w:spacing w:val="0"/>
          <w:kern w:val="0"/>
          <w:sz w:val="31"/>
          <w:szCs w:val="31"/>
          <w:highlight w:val="none"/>
          <w:lang w:val="en-US" w:eastAsia="zh-CN" w:bidi="ar"/>
        </w:rPr>
        <w:t>常态化联系退役军人工作制度的落实</w:t>
      </w:r>
      <w:r>
        <w:rPr>
          <w:rStyle w:val="9"/>
          <w:rFonts w:hint="eastAsia" w:ascii="仿宋" w:hAnsi="仿宋" w:eastAsia="仿宋" w:cs="仿宋"/>
          <w:b w:val="0"/>
          <w:bCs/>
          <w:color w:val="auto"/>
          <w:spacing w:val="-4"/>
          <w:sz w:val="32"/>
          <w:szCs w:val="32"/>
          <w:highlight w:val="none"/>
          <w:lang w:val="en-US" w:eastAsia="zh-CN"/>
        </w:rPr>
        <w:t>。</w:t>
      </w:r>
    </w:p>
    <w:p>
      <w:pPr>
        <w:pStyle w:val="2"/>
        <w:keepNext/>
        <w:keepLines/>
        <w:pageBreakBefore w:val="0"/>
        <w:widowControl w:val="0"/>
        <w:kinsoku/>
        <w:wordWrap/>
        <w:overflowPunct/>
        <w:topLinePunct w:val="0"/>
        <w:autoSpaceDE/>
        <w:autoSpaceDN/>
        <w:bidi w:val="0"/>
        <w:adjustRightInd/>
        <w:snapToGrid/>
        <w:ind w:firstLine="624" w:firstLineChars="200"/>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数量指标5：困难企业军转干部走访次数,预期指标值为：&gt;=2次；监控节点完成值：=1次；评价实际完成值：=2次；指标完成率：100%；成效分析：通过单位正常运转，走访困难企业军转干部，掌握困难诉求和生活、生产、生存状况，进一步加强了难退役军人帮扶。</w:t>
      </w:r>
    </w:p>
    <w:p>
      <w:pPr>
        <w:rPr>
          <w:rFonts w:hint="eastAsia"/>
          <w:color w:val="auto"/>
          <w:highlight w:val="none"/>
          <w:lang w:val="en-US" w:eastAsia="zh-CN"/>
        </w:rPr>
      </w:pP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（四）指标四：社会效益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（五）指标五：可持续发展能力</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无此项指标。</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（六）指标六：服务对象满意度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无此项指标。</w:t>
      </w:r>
    </w:p>
    <w:p>
      <w:pPr>
        <w:pStyle w:val="1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9"/>
          <w:rFonts w:ascii="黑体" w:hAnsi="黑体" w:eastAsia="黑体"/>
          <w:b w:val="0"/>
          <w:bCs w:val="0"/>
          <w:color w:val="auto"/>
          <w:spacing w:val="-4"/>
          <w:sz w:val="32"/>
          <w:szCs w:val="32"/>
          <w:highlight w:val="none"/>
        </w:rPr>
      </w:pPr>
      <w:r>
        <w:rPr>
          <w:rStyle w:val="9"/>
          <w:rFonts w:hint="eastAsia" w:ascii="黑体" w:hAnsi="黑体" w:eastAsia="黑体"/>
          <w:b w:val="0"/>
          <w:bCs w:val="0"/>
          <w:color w:val="auto"/>
          <w:spacing w:val="-4"/>
          <w:sz w:val="32"/>
          <w:szCs w:val="32"/>
          <w:highlight w:val="none"/>
          <w:lang w:val="en-US" w:eastAsia="zh-CN"/>
        </w:rPr>
        <w:t>四、</w:t>
      </w:r>
      <w:r>
        <w:rPr>
          <w:rStyle w:val="9"/>
          <w:rFonts w:hint="eastAsia" w:ascii="黑体" w:hAnsi="黑体" w:eastAsia="黑体"/>
          <w:b w:val="0"/>
          <w:bCs w:val="0"/>
          <w:color w:val="auto"/>
          <w:spacing w:val="-4"/>
          <w:sz w:val="32"/>
          <w:szCs w:val="32"/>
          <w:highlight w:val="none"/>
          <w:lang w:eastAsia="zh-CN"/>
        </w:rPr>
        <w:t>评价结论</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本部门严格按照科学公正、统筹兼顾、激励约束、公开透明的绩效评价原则，对本部门预算执行情况、部门单位整体支出管理及使用情况、部门单位整体支出绩效指标完成情况等进行了综合评价。</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2023年度部门整体支出绩效自评综合得分</w:t>
      </w:r>
      <w:r>
        <w:rPr>
          <w:rStyle w:val="9"/>
          <w:rFonts w:hint="eastAsia" w:ascii="仿宋" w:hAnsi="仿宋" w:eastAsia="仿宋" w:cs="仿宋"/>
          <w:b w:val="0"/>
          <w:bCs/>
          <w:color w:val="auto"/>
          <w:spacing w:val="-4"/>
          <w:sz w:val="32"/>
          <w:szCs w:val="32"/>
          <w:highlight w:val="none"/>
          <w:lang w:val="en-US" w:eastAsia="zh-CN"/>
        </w:rPr>
        <w:t>80</w:t>
      </w:r>
      <w:r>
        <w:rPr>
          <w:rStyle w:val="9"/>
          <w:rFonts w:hint="eastAsia" w:ascii="仿宋" w:hAnsi="仿宋" w:eastAsia="仿宋" w:cs="仿宋"/>
          <w:b w:val="0"/>
          <w:bCs/>
          <w:color w:val="auto"/>
          <w:spacing w:val="-4"/>
          <w:sz w:val="32"/>
          <w:szCs w:val="32"/>
          <w:highlight w:val="none"/>
          <w:lang w:val="en-US" w:eastAsia="zh-CN"/>
        </w:rPr>
        <w:t>分，评价结果为“</w:t>
      </w:r>
      <w:r>
        <w:rPr>
          <w:rStyle w:val="9"/>
          <w:rFonts w:hint="eastAsia" w:ascii="仿宋" w:hAnsi="仿宋" w:eastAsia="仿宋" w:cs="仿宋"/>
          <w:b w:val="0"/>
          <w:bCs/>
          <w:color w:val="auto"/>
          <w:spacing w:val="-4"/>
          <w:sz w:val="32"/>
          <w:szCs w:val="32"/>
          <w:highlight w:val="none"/>
          <w:lang w:val="en-US" w:eastAsia="zh-CN"/>
        </w:rPr>
        <w:t>良”。</w:t>
      </w:r>
    </w:p>
    <w:p>
      <w:pPr>
        <w:pStyle w:val="1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9"/>
          <w:rFonts w:hint="eastAsia" w:ascii="黑体" w:hAnsi="黑体" w:eastAsia="黑体" w:cs="黑体"/>
          <w:b w:val="0"/>
          <w:bCs w:val="0"/>
          <w:color w:val="auto"/>
          <w:spacing w:val="-4"/>
          <w:sz w:val="32"/>
          <w:szCs w:val="32"/>
          <w:highlight w:val="none"/>
        </w:rPr>
      </w:pPr>
      <w:r>
        <w:rPr>
          <w:rStyle w:val="9"/>
          <w:rFonts w:hint="eastAsia" w:ascii="黑体" w:hAnsi="黑体" w:eastAsia="黑体" w:cs="黑体"/>
          <w:b w:val="0"/>
          <w:bCs w:val="0"/>
          <w:color w:val="auto"/>
          <w:spacing w:val="-4"/>
          <w:sz w:val="32"/>
          <w:szCs w:val="32"/>
          <w:highlight w:val="none"/>
          <w:lang w:val="en-US" w:eastAsia="zh-CN"/>
        </w:rPr>
        <w:t>五、</w:t>
      </w:r>
      <w:r>
        <w:rPr>
          <w:rStyle w:val="9"/>
          <w:rFonts w:hint="eastAsia" w:ascii="黑体" w:hAnsi="黑体" w:eastAsia="黑体" w:cs="黑体"/>
          <w:b w:val="0"/>
          <w:bCs w:val="0"/>
          <w:color w:val="auto"/>
          <w:spacing w:val="-4"/>
          <w:sz w:val="32"/>
          <w:szCs w:val="32"/>
          <w:highlight w:val="none"/>
        </w:rPr>
        <w:t>存在的主要问题</w:t>
      </w:r>
      <w:r>
        <w:rPr>
          <w:rStyle w:val="9"/>
          <w:rFonts w:hint="eastAsia" w:ascii="黑体" w:hAnsi="黑体" w:eastAsia="黑体" w:cs="黑体"/>
          <w:b w:val="0"/>
          <w:bCs w:val="0"/>
          <w:color w:val="auto"/>
          <w:spacing w:val="-4"/>
          <w:sz w:val="32"/>
          <w:szCs w:val="32"/>
          <w:highlight w:val="none"/>
          <w:lang w:eastAsia="zh-CN"/>
        </w:rPr>
        <w:t>及原因分析</w:t>
      </w:r>
    </w:p>
    <w:p>
      <w:pPr>
        <w:keepNext w:val="0"/>
        <w:keepLines w:val="0"/>
        <w:pageBreakBefore w:val="0"/>
        <w:kinsoku/>
        <w:wordWrap/>
        <w:overflowPunct/>
        <w:topLinePunct w:val="0"/>
        <w:autoSpaceDE/>
        <w:autoSpaceDN/>
        <w:bidi w:val="0"/>
        <w:adjustRightInd/>
        <w:spacing w:line="360" w:lineRule="auto"/>
        <w:ind w:firstLine="640" w:firstLineChars="200"/>
        <w:jc w:val="left"/>
        <w:textAlignment w:val="auto"/>
        <w:rPr>
          <w:rFonts w:hint="eastAsia" w:ascii="仿宋" w:hAnsi="仿宋" w:eastAsia="仿宋" w:cs="仿宋"/>
          <w:b w:val="0"/>
          <w:bCs/>
          <w:color w:val="auto"/>
          <w:sz w:val="32"/>
          <w:szCs w:val="32"/>
          <w:highlight w:val="none"/>
        </w:rPr>
      </w:pPr>
      <w:r>
        <w:rPr>
          <w:rFonts w:hint="eastAsia" w:ascii="仿宋" w:hAnsi="仿宋" w:eastAsia="仿宋" w:cs="仿宋"/>
          <w:b w:val="0"/>
          <w:bCs/>
          <w:color w:val="auto"/>
          <w:sz w:val="32"/>
          <w:szCs w:val="32"/>
          <w:highlight w:val="none"/>
        </w:rPr>
        <w:t>（1）预算绩效观念不深入。在日常绩效监控工作中存在着一定程度的“重分配、轻管理、重支出、轻绩效”的情况，造成该问题的主要原因是自身绩效理念较薄弱，单位绩效目标编制仍有缺失，需要进一步加强对资金绩效管理的重视程度。</w:t>
      </w:r>
    </w:p>
    <w:p>
      <w:pPr>
        <w:keepNext w:val="0"/>
        <w:keepLines w:val="0"/>
        <w:pageBreakBefore w:val="0"/>
        <w:numPr>
          <w:ilvl w:val="0"/>
          <w:numId w:val="0"/>
        </w:numPr>
        <w:kinsoku/>
        <w:wordWrap/>
        <w:overflowPunct/>
        <w:topLinePunct w:val="0"/>
        <w:autoSpaceDE/>
        <w:autoSpaceDN/>
        <w:bidi w:val="0"/>
        <w:adjustRightInd/>
        <w:spacing w:line="360" w:lineRule="auto"/>
        <w:ind w:firstLine="640" w:firstLineChars="200"/>
        <w:jc w:val="left"/>
        <w:textAlignment w:val="auto"/>
        <w:rPr>
          <w:rFonts w:hint="eastAsia" w:ascii="仿宋" w:hAnsi="仿宋" w:eastAsia="仿宋" w:cs="仿宋"/>
          <w:b w:val="0"/>
          <w:bCs/>
          <w:color w:val="auto"/>
          <w:sz w:val="32"/>
          <w:szCs w:val="32"/>
          <w:highlight w:val="none"/>
        </w:rPr>
      </w:pPr>
      <w:r>
        <w:rPr>
          <w:rFonts w:hint="eastAsia" w:ascii="仿宋" w:hAnsi="仿宋" w:eastAsia="仿宋" w:cs="仿宋"/>
          <w:b w:val="0"/>
          <w:bCs/>
          <w:color w:val="auto"/>
          <w:sz w:val="32"/>
          <w:szCs w:val="32"/>
          <w:highlight w:val="none"/>
          <w:lang w:eastAsia="zh-CN"/>
        </w:rPr>
        <w:t>（</w:t>
      </w:r>
      <w:r>
        <w:rPr>
          <w:rFonts w:hint="eastAsia" w:ascii="仿宋" w:hAnsi="仿宋" w:eastAsia="仿宋" w:cs="仿宋"/>
          <w:b w:val="0"/>
          <w:bCs/>
          <w:color w:val="auto"/>
          <w:sz w:val="32"/>
          <w:szCs w:val="32"/>
          <w:highlight w:val="none"/>
          <w:lang w:val="en-US" w:eastAsia="zh-CN"/>
        </w:rPr>
        <w:t>2）</w:t>
      </w:r>
      <w:r>
        <w:rPr>
          <w:rFonts w:hint="eastAsia" w:ascii="仿宋" w:hAnsi="仿宋" w:eastAsia="仿宋" w:cs="仿宋"/>
          <w:b w:val="0"/>
          <w:bCs/>
          <w:color w:val="auto"/>
          <w:sz w:val="32"/>
          <w:szCs w:val="32"/>
          <w:highlight w:val="none"/>
        </w:rPr>
        <w:t>预算绩效规范管理有盲点。财务人员面对当前绩效管理工作既没有现成的经验可供借鉴，又缺乏专业性很强的技能储备，只能是边工作、边学习、边积累，短期内部分工作只能停留在表面，难以做到程序规范、管理科学，难以满足当前绩效管理要求。</w:t>
      </w:r>
    </w:p>
    <w:p>
      <w:pPr>
        <w:pStyle w:val="1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9"/>
          <w:rFonts w:hint="eastAsia" w:ascii="黑体" w:hAnsi="黑体" w:eastAsia="黑体" w:cs="黑体"/>
          <w:b w:val="0"/>
          <w:bCs w:val="0"/>
          <w:color w:val="auto"/>
          <w:spacing w:val="-4"/>
          <w:sz w:val="32"/>
          <w:szCs w:val="32"/>
          <w:highlight w:val="none"/>
        </w:rPr>
      </w:pPr>
      <w:r>
        <w:rPr>
          <w:rStyle w:val="9"/>
          <w:rFonts w:hint="eastAsia" w:ascii="黑体" w:hAnsi="黑体" w:eastAsia="黑体" w:cs="黑体"/>
          <w:b w:val="0"/>
          <w:bCs w:val="0"/>
          <w:color w:val="auto"/>
          <w:spacing w:val="-4"/>
          <w:sz w:val="32"/>
          <w:szCs w:val="32"/>
          <w:highlight w:val="none"/>
          <w:lang w:val="en-US" w:eastAsia="zh-CN"/>
        </w:rPr>
        <w:t>六、</w:t>
      </w:r>
      <w:r>
        <w:rPr>
          <w:rStyle w:val="9"/>
          <w:rFonts w:hint="eastAsia" w:ascii="黑体" w:hAnsi="黑体" w:eastAsia="黑体" w:cs="黑体"/>
          <w:b w:val="0"/>
          <w:bCs w:val="0"/>
          <w:color w:val="auto"/>
          <w:spacing w:val="-4"/>
          <w:sz w:val="32"/>
          <w:szCs w:val="32"/>
          <w:highlight w:val="none"/>
        </w:rPr>
        <w:t>改进措施和建议</w:t>
      </w:r>
    </w:p>
    <w:p>
      <w:pPr>
        <w:spacing w:line="600" w:lineRule="exact"/>
        <w:ind w:firstLine="624" w:firstLineChars="200"/>
        <w:rPr>
          <w:rStyle w:val="9"/>
          <w:rFonts w:hint="eastAsia" w:ascii="仿宋" w:hAnsi="仿宋" w:eastAsia="仿宋" w:cs="仿宋"/>
          <w:b w:val="0"/>
          <w:bCs w:val="0"/>
          <w:color w:val="auto"/>
          <w:spacing w:val="-4"/>
          <w:sz w:val="32"/>
          <w:szCs w:val="32"/>
          <w:highlight w:val="none"/>
          <w:lang w:val="en-US" w:eastAsia="zh-CN"/>
        </w:rPr>
      </w:pPr>
      <w:r>
        <w:rPr>
          <w:rStyle w:val="9"/>
          <w:rFonts w:hint="eastAsia" w:ascii="仿宋" w:hAnsi="仿宋" w:eastAsia="仿宋" w:cs="仿宋"/>
          <w:b w:val="0"/>
          <w:bCs w:val="0"/>
          <w:color w:val="auto"/>
          <w:spacing w:val="-4"/>
          <w:sz w:val="32"/>
          <w:szCs w:val="32"/>
          <w:highlight w:val="none"/>
          <w:lang w:val="en-US" w:eastAsia="zh-CN"/>
        </w:rPr>
        <w:t>一是建立健全的预算绩效管理体制，加强对预算绩效相关知识的了解和掌握，促进绩效管理工作向广度和深度延伸，切实提高部门预算收支管理水平；二是加强财务管理，严格财务审核，在费用报账支付时，按照预算规定费用项目和用途进行资金使用审核、列报支付、财务核算，杜绝超支现象发生。</w:t>
      </w:r>
    </w:p>
    <w:p>
      <w:pPr>
        <w:pStyle w:val="1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9"/>
          <w:rFonts w:hint="eastAsia" w:ascii="黑体" w:hAnsi="黑体" w:eastAsia="黑体" w:cs="黑体"/>
          <w:b w:val="0"/>
          <w:bCs w:val="0"/>
          <w:color w:val="auto"/>
          <w:spacing w:val="-4"/>
          <w:sz w:val="32"/>
          <w:szCs w:val="32"/>
          <w:highlight w:val="none"/>
        </w:rPr>
      </w:pPr>
      <w:r>
        <w:rPr>
          <w:rStyle w:val="9"/>
          <w:rFonts w:hint="eastAsia" w:ascii="黑体" w:hAnsi="黑体" w:eastAsia="黑体" w:cs="黑体"/>
          <w:b w:val="0"/>
          <w:bCs w:val="0"/>
          <w:color w:val="auto"/>
          <w:spacing w:val="-4"/>
          <w:sz w:val="32"/>
          <w:szCs w:val="32"/>
          <w:highlight w:val="none"/>
          <w:lang w:val="en-US" w:eastAsia="zh-CN"/>
        </w:rPr>
        <w:t>七、</w:t>
      </w:r>
      <w:r>
        <w:rPr>
          <w:rStyle w:val="9"/>
          <w:rFonts w:hint="eastAsia" w:ascii="黑体" w:hAnsi="黑体" w:eastAsia="黑体" w:cs="黑体"/>
          <w:b w:val="0"/>
          <w:bCs w:val="0"/>
          <w:color w:val="auto"/>
          <w:spacing w:val="-4"/>
          <w:sz w:val="32"/>
          <w:szCs w:val="32"/>
          <w:highlight w:val="none"/>
        </w:rPr>
        <w:t>附表：《部门整体支出绩效自评表》</w:t>
      </w:r>
    </w:p>
    <w:bookmarkEnd w:id="0"/>
    <w:sectPr>
      <w:headerReference r:id="rId4" w:type="first"/>
      <w:footerReference r:id="rId6" w:type="first"/>
      <w:headerReference r:id="rId3" w:type="even"/>
      <w:footerReference r:id="rId5" w:type="even"/>
      <w:pgSz w:w="11906" w:h="16838"/>
      <w:pgMar w:top="1440" w:right="1800" w:bottom="1440" w:left="1800" w:header="851" w:footer="992" w:gutter="0"/>
      <w:pgNumType w:fmt="numberInDash" w:start="25"/>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D06F3DC-1BC0-4E50-9B05-02DCC3E44CA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6532C5E8-AFEB-4DA4-B622-E8F52B4FD1D2}"/>
  </w:font>
  <w:font w:name="仿宋_GB2312">
    <w:panose1 w:val="02010609030101010101"/>
    <w:charset w:val="86"/>
    <w:family w:val="modern"/>
    <w:pitch w:val="default"/>
    <w:sig w:usb0="00000001" w:usb1="080E0000" w:usb2="00000000" w:usb3="00000000" w:csb0="00040000" w:csb1="00000000"/>
    <w:embedRegular r:id="rId3" w:fontKey="{A1DE4B0D-2017-499A-8969-06A65AC49C0D}"/>
  </w:font>
  <w:font w:name="楷体">
    <w:panose1 w:val="02010609060101010101"/>
    <w:charset w:val="86"/>
    <w:family w:val="modern"/>
    <w:pitch w:val="default"/>
    <w:sig w:usb0="800002BF" w:usb1="38CF7CFA" w:usb2="00000016" w:usb3="00000000" w:csb0="00040001" w:csb1="00000000"/>
    <w:embedRegular r:id="rId4" w:fontKey="{FE50B933-66CC-458D-886B-F22A74B047EE}"/>
  </w:font>
  <w:font w:name="方正仿宋_GBK">
    <w:panose1 w:val="03000509000000000000"/>
    <w:charset w:val="86"/>
    <w:family w:val="auto"/>
    <w:pitch w:val="default"/>
    <w:sig w:usb0="00000001" w:usb1="080E0000" w:usb2="00000000" w:usb3="00000000" w:csb0="00040000" w:csb1="00000000"/>
    <w:embedRegular r:id="rId5" w:fontKey="{2381B821-B00F-4FFD-AA7D-BF0469D7AC2A}"/>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AyMDNiNmQyNDQwOGFkNjIxYWNjODgwNDk0OGQyYTkifQ=="/>
    <w:docVar w:name="KSO_WPS_MARK_KEY" w:val="40e95650-004b-4697-ae2b-25bffeeac740"/>
  </w:docVars>
  <w:rsids>
    <w:rsidRoot w:val="00633862"/>
    <w:rsid w:val="000D3AFA"/>
    <w:rsid w:val="00191BA3"/>
    <w:rsid w:val="0022744B"/>
    <w:rsid w:val="005B1250"/>
    <w:rsid w:val="00633862"/>
    <w:rsid w:val="006C5BED"/>
    <w:rsid w:val="00702D4A"/>
    <w:rsid w:val="007115C8"/>
    <w:rsid w:val="00867FFD"/>
    <w:rsid w:val="0097614B"/>
    <w:rsid w:val="00AA5126"/>
    <w:rsid w:val="00AD16CD"/>
    <w:rsid w:val="00CD2F35"/>
    <w:rsid w:val="00DB1085"/>
    <w:rsid w:val="00EA14FA"/>
    <w:rsid w:val="00F84215"/>
    <w:rsid w:val="010E0C0C"/>
    <w:rsid w:val="016D0077"/>
    <w:rsid w:val="02355837"/>
    <w:rsid w:val="023B0973"/>
    <w:rsid w:val="02610413"/>
    <w:rsid w:val="02F163A2"/>
    <w:rsid w:val="02FE786C"/>
    <w:rsid w:val="03341650"/>
    <w:rsid w:val="036F2FCB"/>
    <w:rsid w:val="03B2599D"/>
    <w:rsid w:val="043C5F8E"/>
    <w:rsid w:val="049941F3"/>
    <w:rsid w:val="04A60F90"/>
    <w:rsid w:val="04D2103C"/>
    <w:rsid w:val="04D550AF"/>
    <w:rsid w:val="06B83B39"/>
    <w:rsid w:val="06DE29E2"/>
    <w:rsid w:val="071579E5"/>
    <w:rsid w:val="07473741"/>
    <w:rsid w:val="07702E6D"/>
    <w:rsid w:val="07A86AAB"/>
    <w:rsid w:val="07C65825"/>
    <w:rsid w:val="09067414"/>
    <w:rsid w:val="09170A81"/>
    <w:rsid w:val="0AC27E84"/>
    <w:rsid w:val="0B0F5B25"/>
    <w:rsid w:val="0BD256C9"/>
    <w:rsid w:val="0D3F0613"/>
    <w:rsid w:val="0D617282"/>
    <w:rsid w:val="0EE32988"/>
    <w:rsid w:val="0F661726"/>
    <w:rsid w:val="0F772EC6"/>
    <w:rsid w:val="0F877334"/>
    <w:rsid w:val="10182B28"/>
    <w:rsid w:val="109160DD"/>
    <w:rsid w:val="10947BCD"/>
    <w:rsid w:val="114B3E5E"/>
    <w:rsid w:val="115E3FEE"/>
    <w:rsid w:val="116B384E"/>
    <w:rsid w:val="118B7221"/>
    <w:rsid w:val="11DD16C8"/>
    <w:rsid w:val="127A77C1"/>
    <w:rsid w:val="130A20A3"/>
    <w:rsid w:val="13352CE1"/>
    <w:rsid w:val="13E07D60"/>
    <w:rsid w:val="150177FB"/>
    <w:rsid w:val="15875F52"/>
    <w:rsid w:val="15B73666"/>
    <w:rsid w:val="15C42D02"/>
    <w:rsid w:val="168A2EA6"/>
    <w:rsid w:val="17D5194F"/>
    <w:rsid w:val="180A4FDB"/>
    <w:rsid w:val="1840056E"/>
    <w:rsid w:val="192177D8"/>
    <w:rsid w:val="196A001E"/>
    <w:rsid w:val="198331C0"/>
    <w:rsid w:val="19AD1CFF"/>
    <w:rsid w:val="19C92FDD"/>
    <w:rsid w:val="19DB061A"/>
    <w:rsid w:val="19E576EB"/>
    <w:rsid w:val="19FF664E"/>
    <w:rsid w:val="1A091F78"/>
    <w:rsid w:val="1A6D6D72"/>
    <w:rsid w:val="1AEB4D61"/>
    <w:rsid w:val="1BEA0AC8"/>
    <w:rsid w:val="1C230AC0"/>
    <w:rsid w:val="1C615CEF"/>
    <w:rsid w:val="1CDA72AF"/>
    <w:rsid w:val="1D632B53"/>
    <w:rsid w:val="1D7602A9"/>
    <w:rsid w:val="1DC83D3D"/>
    <w:rsid w:val="1E613949"/>
    <w:rsid w:val="1EAE0073"/>
    <w:rsid w:val="1F195A2C"/>
    <w:rsid w:val="205102FB"/>
    <w:rsid w:val="20762FC4"/>
    <w:rsid w:val="212C60E2"/>
    <w:rsid w:val="21DB6E7F"/>
    <w:rsid w:val="21DE15EF"/>
    <w:rsid w:val="23021A8B"/>
    <w:rsid w:val="2320540D"/>
    <w:rsid w:val="23254B60"/>
    <w:rsid w:val="236E0539"/>
    <w:rsid w:val="23E6478B"/>
    <w:rsid w:val="2422471A"/>
    <w:rsid w:val="24A85EE5"/>
    <w:rsid w:val="24DB72C2"/>
    <w:rsid w:val="263962DE"/>
    <w:rsid w:val="276460F3"/>
    <w:rsid w:val="27660FAF"/>
    <w:rsid w:val="277166D1"/>
    <w:rsid w:val="277B4318"/>
    <w:rsid w:val="27B7194D"/>
    <w:rsid w:val="27E37B45"/>
    <w:rsid w:val="280600C8"/>
    <w:rsid w:val="28081174"/>
    <w:rsid w:val="28481571"/>
    <w:rsid w:val="28722F64"/>
    <w:rsid w:val="289B5D70"/>
    <w:rsid w:val="290A1EBC"/>
    <w:rsid w:val="296B40D0"/>
    <w:rsid w:val="29980ADF"/>
    <w:rsid w:val="29B460DC"/>
    <w:rsid w:val="29D532D8"/>
    <w:rsid w:val="29E74DB9"/>
    <w:rsid w:val="2A0B6FEB"/>
    <w:rsid w:val="2A2A3694"/>
    <w:rsid w:val="2A6B1740"/>
    <w:rsid w:val="2AB71864"/>
    <w:rsid w:val="2AD30362"/>
    <w:rsid w:val="2B161A0E"/>
    <w:rsid w:val="2B1D67DB"/>
    <w:rsid w:val="2B2D4A4E"/>
    <w:rsid w:val="2BCA3DF7"/>
    <w:rsid w:val="2BFA5278"/>
    <w:rsid w:val="2C3F44FD"/>
    <w:rsid w:val="2C8903AA"/>
    <w:rsid w:val="2CD01740"/>
    <w:rsid w:val="2CE43832"/>
    <w:rsid w:val="2DAA6B58"/>
    <w:rsid w:val="2DB034FA"/>
    <w:rsid w:val="2E4A4A48"/>
    <w:rsid w:val="2F8715FA"/>
    <w:rsid w:val="2FB43990"/>
    <w:rsid w:val="2FC040E2"/>
    <w:rsid w:val="30143D58"/>
    <w:rsid w:val="30240D0F"/>
    <w:rsid w:val="308158E7"/>
    <w:rsid w:val="309817B5"/>
    <w:rsid w:val="30A86679"/>
    <w:rsid w:val="31505F30"/>
    <w:rsid w:val="3177520D"/>
    <w:rsid w:val="31C7249B"/>
    <w:rsid w:val="31FB7654"/>
    <w:rsid w:val="32565D7D"/>
    <w:rsid w:val="336E47B8"/>
    <w:rsid w:val="33792F26"/>
    <w:rsid w:val="337D2302"/>
    <w:rsid w:val="33935522"/>
    <w:rsid w:val="33DE0EF4"/>
    <w:rsid w:val="3416678C"/>
    <w:rsid w:val="34486A39"/>
    <w:rsid w:val="34C13400"/>
    <w:rsid w:val="34F32864"/>
    <w:rsid w:val="35386E11"/>
    <w:rsid w:val="35612ABD"/>
    <w:rsid w:val="36056CF3"/>
    <w:rsid w:val="368C6417"/>
    <w:rsid w:val="375B2943"/>
    <w:rsid w:val="38086A4E"/>
    <w:rsid w:val="38C32119"/>
    <w:rsid w:val="38EE054F"/>
    <w:rsid w:val="39440A0C"/>
    <w:rsid w:val="398443D3"/>
    <w:rsid w:val="398C3287"/>
    <w:rsid w:val="39A60AF6"/>
    <w:rsid w:val="3AA12D62"/>
    <w:rsid w:val="3B2319C9"/>
    <w:rsid w:val="3B5D5890"/>
    <w:rsid w:val="3BA6683D"/>
    <w:rsid w:val="3BC431AC"/>
    <w:rsid w:val="3C012639"/>
    <w:rsid w:val="3DA52B6A"/>
    <w:rsid w:val="3E833FCF"/>
    <w:rsid w:val="3EE3321B"/>
    <w:rsid w:val="3EE93EED"/>
    <w:rsid w:val="3F177A97"/>
    <w:rsid w:val="3FF57BF1"/>
    <w:rsid w:val="41590DEA"/>
    <w:rsid w:val="416C231C"/>
    <w:rsid w:val="41C31810"/>
    <w:rsid w:val="41D659E7"/>
    <w:rsid w:val="428A15BF"/>
    <w:rsid w:val="42BB7663"/>
    <w:rsid w:val="432A3936"/>
    <w:rsid w:val="434765EB"/>
    <w:rsid w:val="43A3164E"/>
    <w:rsid w:val="43C43532"/>
    <w:rsid w:val="43F77637"/>
    <w:rsid w:val="44332E1A"/>
    <w:rsid w:val="44692B43"/>
    <w:rsid w:val="44BF2CE3"/>
    <w:rsid w:val="44BF6C07"/>
    <w:rsid w:val="462C7B1B"/>
    <w:rsid w:val="46BF2EEE"/>
    <w:rsid w:val="47013FF5"/>
    <w:rsid w:val="484A2C8B"/>
    <w:rsid w:val="48500FEB"/>
    <w:rsid w:val="49284D7B"/>
    <w:rsid w:val="49487285"/>
    <w:rsid w:val="49543DC1"/>
    <w:rsid w:val="496111FD"/>
    <w:rsid w:val="4A0F39E7"/>
    <w:rsid w:val="4B364032"/>
    <w:rsid w:val="4B3B68BB"/>
    <w:rsid w:val="4B443785"/>
    <w:rsid w:val="4B537C75"/>
    <w:rsid w:val="4BE53646"/>
    <w:rsid w:val="4C431ECB"/>
    <w:rsid w:val="4CC33C9F"/>
    <w:rsid w:val="4DC94652"/>
    <w:rsid w:val="4E760D0B"/>
    <w:rsid w:val="4E8F65E3"/>
    <w:rsid w:val="4EC80245"/>
    <w:rsid w:val="4ED65AC3"/>
    <w:rsid w:val="4F596A69"/>
    <w:rsid w:val="50063DD3"/>
    <w:rsid w:val="504133D8"/>
    <w:rsid w:val="505863A4"/>
    <w:rsid w:val="50591CBD"/>
    <w:rsid w:val="50A240F7"/>
    <w:rsid w:val="51971C1E"/>
    <w:rsid w:val="51FF2E33"/>
    <w:rsid w:val="525877BC"/>
    <w:rsid w:val="5272504D"/>
    <w:rsid w:val="52CA50F4"/>
    <w:rsid w:val="543D24BF"/>
    <w:rsid w:val="548754B8"/>
    <w:rsid w:val="54CA318A"/>
    <w:rsid w:val="55517AB0"/>
    <w:rsid w:val="57192BB8"/>
    <w:rsid w:val="5734671F"/>
    <w:rsid w:val="57423EBA"/>
    <w:rsid w:val="57813298"/>
    <w:rsid w:val="57AE7CE9"/>
    <w:rsid w:val="57BB500C"/>
    <w:rsid w:val="58753EBA"/>
    <w:rsid w:val="58E426FC"/>
    <w:rsid w:val="58FC3B2E"/>
    <w:rsid w:val="59063548"/>
    <w:rsid w:val="591F781C"/>
    <w:rsid w:val="5A6776CD"/>
    <w:rsid w:val="5A7F67C4"/>
    <w:rsid w:val="5ADD1E8F"/>
    <w:rsid w:val="5AE6303A"/>
    <w:rsid w:val="5B155A7C"/>
    <w:rsid w:val="5B442B97"/>
    <w:rsid w:val="5B5D530D"/>
    <w:rsid w:val="5B745BFD"/>
    <w:rsid w:val="5B863F84"/>
    <w:rsid w:val="5B977B3E"/>
    <w:rsid w:val="5C5B0B6B"/>
    <w:rsid w:val="5CB643E4"/>
    <w:rsid w:val="5D8D11F8"/>
    <w:rsid w:val="5E2D5305"/>
    <w:rsid w:val="5F1D65AC"/>
    <w:rsid w:val="5F230066"/>
    <w:rsid w:val="5F41229A"/>
    <w:rsid w:val="5F814D8D"/>
    <w:rsid w:val="5FA47678"/>
    <w:rsid w:val="5FE455B0"/>
    <w:rsid w:val="60504E56"/>
    <w:rsid w:val="60535261"/>
    <w:rsid w:val="627A5057"/>
    <w:rsid w:val="62A033DD"/>
    <w:rsid w:val="62B113CD"/>
    <w:rsid w:val="62D376AD"/>
    <w:rsid w:val="63002758"/>
    <w:rsid w:val="63886101"/>
    <w:rsid w:val="63E072F9"/>
    <w:rsid w:val="63E738F2"/>
    <w:rsid w:val="648B2856"/>
    <w:rsid w:val="64AD2180"/>
    <w:rsid w:val="64F46001"/>
    <w:rsid w:val="658E5B0E"/>
    <w:rsid w:val="65D86017"/>
    <w:rsid w:val="65E6594A"/>
    <w:rsid w:val="660E1EAC"/>
    <w:rsid w:val="661600DA"/>
    <w:rsid w:val="66DF5346"/>
    <w:rsid w:val="66E14AAB"/>
    <w:rsid w:val="6736630B"/>
    <w:rsid w:val="67EE0E11"/>
    <w:rsid w:val="68DF3109"/>
    <w:rsid w:val="693F2885"/>
    <w:rsid w:val="699F5DE9"/>
    <w:rsid w:val="6A9776F8"/>
    <w:rsid w:val="6AAF0A00"/>
    <w:rsid w:val="6AEF34F2"/>
    <w:rsid w:val="6B234F4A"/>
    <w:rsid w:val="6C5F0204"/>
    <w:rsid w:val="6C69186D"/>
    <w:rsid w:val="6C7D443F"/>
    <w:rsid w:val="6C8851EE"/>
    <w:rsid w:val="6CCF1622"/>
    <w:rsid w:val="6CE7035E"/>
    <w:rsid w:val="6DB1246A"/>
    <w:rsid w:val="6EAE5472"/>
    <w:rsid w:val="702F5608"/>
    <w:rsid w:val="708F2CC4"/>
    <w:rsid w:val="709444F0"/>
    <w:rsid w:val="71182116"/>
    <w:rsid w:val="71205936"/>
    <w:rsid w:val="71477CCB"/>
    <w:rsid w:val="7178018F"/>
    <w:rsid w:val="71BA40BB"/>
    <w:rsid w:val="71CD052F"/>
    <w:rsid w:val="722A3062"/>
    <w:rsid w:val="72563E57"/>
    <w:rsid w:val="73740A39"/>
    <w:rsid w:val="73D43285"/>
    <w:rsid w:val="742B746E"/>
    <w:rsid w:val="74736F42"/>
    <w:rsid w:val="74CA7F29"/>
    <w:rsid w:val="752B1D3E"/>
    <w:rsid w:val="75913D16"/>
    <w:rsid w:val="763C0048"/>
    <w:rsid w:val="77135965"/>
    <w:rsid w:val="77262B54"/>
    <w:rsid w:val="772D4414"/>
    <w:rsid w:val="773A5C43"/>
    <w:rsid w:val="775947BB"/>
    <w:rsid w:val="77AD276B"/>
    <w:rsid w:val="77B87094"/>
    <w:rsid w:val="77C96E08"/>
    <w:rsid w:val="78E27C50"/>
    <w:rsid w:val="79500F4C"/>
    <w:rsid w:val="7986195D"/>
    <w:rsid w:val="79E005EE"/>
    <w:rsid w:val="7A044DC4"/>
    <w:rsid w:val="7A865511"/>
    <w:rsid w:val="7AA20E97"/>
    <w:rsid w:val="7AAA4D40"/>
    <w:rsid w:val="7ABC4A73"/>
    <w:rsid w:val="7AC10876"/>
    <w:rsid w:val="7B2F16E9"/>
    <w:rsid w:val="7B334ED0"/>
    <w:rsid w:val="7C4B6886"/>
    <w:rsid w:val="7C71236F"/>
    <w:rsid w:val="7C7B25BC"/>
    <w:rsid w:val="7C8D2B6B"/>
    <w:rsid w:val="7D360B0D"/>
    <w:rsid w:val="7D55069E"/>
    <w:rsid w:val="7D670C49"/>
    <w:rsid w:val="7D711B45"/>
    <w:rsid w:val="7E5F5E41"/>
    <w:rsid w:val="7E78432D"/>
    <w:rsid w:val="7E8E02D3"/>
    <w:rsid w:val="7EA902C5"/>
    <w:rsid w:val="7EAA3560"/>
    <w:rsid w:val="7ECF553C"/>
    <w:rsid w:val="7EF10E29"/>
    <w:rsid w:val="7FB364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widowControl/>
      <w:spacing w:before="100" w:beforeAutospacing="1" w:after="100" w:afterAutospacing="1"/>
      <w:jc w:val="left"/>
      <w:outlineLvl w:val="0"/>
    </w:pPr>
    <w:rPr>
      <w:rFonts w:ascii="宋体" w:hAnsi="宋体" w:eastAsia="宋体" w:cs="宋体"/>
      <w:b/>
      <w:bCs/>
      <w:kern w:val="36"/>
      <w:sz w:val="48"/>
      <w:szCs w:val="48"/>
      <w:lang w:val="en-US" w:eastAsia="zh-CN" w:bidi="ar-SA"/>
    </w:rPr>
  </w:style>
  <w:style w:type="paragraph" w:styleId="2">
    <w:name w:val="heading 3"/>
    <w:basedOn w:val="1"/>
    <w:next w:val="1"/>
    <w:qFormat/>
    <w:uiPriority w:val="0"/>
    <w:pPr>
      <w:keepNext/>
      <w:keepLines/>
      <w:spacing w:line="560" w:lineRule="exact"/>
      <w:outlineLvl w:val="2"/>
    </w:pPr>
    <w:rPr>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character" w:styleId="9">
    <w:name w:val="Strong"/>
    <w:basedOn w:val="8"/>
    <w:qFormat/>
    <w:uiPriority w:val="0"/>
    <w:rPr>
      <w:b/>
      <w:bCs/>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paragraph" w:styleId="12">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11</Pages>
  <Words>409</Words>
  <Characters>422</Characters>
  <Lines>9</Lines>
  <Paragraphs>2</Paragraphs>
  <TotalTime>6</TotalTime>
  <ScaleCrop>false</ScaleCrop>
  <LinksUpToDate>false</LinksUpToDate>
  <CharactersWithSpaces>444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2019-01-16T17:12:00Z</dcterms:created>
  <dc:creator>jc</dc:creator>
  <cp:lastModifiedBy>诺</cp:lastModifiedBy>
  <cp:lastPrinted>2024-03-04T11:32:00Z</cp:lastPrinted>
  <dcterms:modified xsi:type="dcterms:W3CDTF">2024-05-10T04:24:40Z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7B718A08F4AD449EB4F3ABBB2F254500_13</vt:lpwstr>
  </property>
</Properties>
</file>