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Times New Roman" w:hAnsi="Times New Roman"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Times New Roman" w:hAnsi="Times New Roman"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Times New Roman" w:hAnsi="Times New Roman" w:eastAsia="方正小标宋_GBK"/>
          <w:color w:val="auto"/>
          <w:sz w:val="44"/>
          <w:szCs w:val="44"/>
          <w:highlight w:val="none"/>
          <w:lang w:val="en-US" w:eastAsia="zh-CN"/>
        </w:rPr>
      </w:pPr>
      <w:r>
        <w:rPr>
          <w:rFonts w:hint="eastAsia" w:ascii="Times New Roman" w:hAnsi="Times New Roman" w:eastAsia="方正小标宋_GBK"/>
          <w:color w:val="auto"/>
          <w:sz w:val="44"/>
          <w:szCs w:val="44"/>
          <w:highlight w:val="none"/>
          <w:lang w:val="en-US" w:eastAsia="zh-CN"/>
        </w:rPr>
        <w:t>库尔勒市退役军人事务局</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Times New Roman" w:hAnsi="Times New Roman" w:eastAsia="方正小标宋_GBK"/>
          <w:color w:val="auto"/>
          <w:sz w:val="44"/>
          <w:szCs w:val="44"/>
          <w:highlight w:val="none"/>
        </w:rPr>
      </w:pPr>
      <w:r>
        <w:rPr>
          <w:rFonts w:hint="eastAsia" w:ascii="Times New Roman" w:hAnsi="Times New Roman" w:eastAsia="方正小标宋_GBK"/>
          <w:color w:val="auto"/>
          <w:sz w:val="44"/>
          <w:szCs w:val="44"/>
          <w:highlight w:val="none"/>
          <w:lang w:eastAsia="zh-CN"/>
        </w:rPr>
        <w:t xml:space="preserve"> 2023年度</w:t>
      </w:r>
      <w:r>
        <w:rPr>
          <w:rFonts w:hint="eastAsia" w:ascii="Times New Roman" w:hAnsi="Times New Roman"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Times New Roman" w:hAnsi="Times New Roman" w:eastAsia="方正小标宋_GBK"/>
          <w:color w:val="auto"/>
          <w:sz w:val="44"/>
          <w:szCs w:val="44"/>
          <w:highlight w:val="none"/>
        </w:rPr>
      </w:pPr>
      <w:r>
        <w:rPr>
          <w:rFonts w:hint="eastAsia" w:ascii="Times New Roman" w:hAnsi="Times New Roman" w:eastAsia="方正小标宋_GBK"/>
          <w:color w:val="auto"/>
          <w:sz w:val="44"/>
          <w:szCs w:val="44"/>
          <w:highlight w:val="none"/>
        </w:rPr>
        <w:t>公开说明</w:t>
      </w:r>
    </w:p>
    <w:p>
      <w:pPr>
        <w:rPr>
          <w:rFonts w:hint="eastAsia" w:ascii="Times New Roman" w:hAnsi="Times New Roman" w:eastAsia="方正小标宋_GBK"/>
          <w:color w:val="auto"/>
          <w:sz w:val="44"/>
          <w:szCs w:val="44"/>
          <w:highlight w:val="none"/>
        </w:rPr>
      </w:pPr>
      <w:r>
        <w:rPr>
          <w:rFonts w:hint="eastAsia" w:ascii="Times New Roman" w:hAnsi="Times New Roman"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Times New Roman" w:hAnsi="Times New Roman" w:eastAsia="仿宋_GB2312" w:cs="仿宋_GB2312"/>
          <w:b w:val="0"/>
          <w:bCs/>
          <w:color w:val="auto"/>
          <w:kern w:val="0"/>
          <w:sz w:val="32"/>
          <w:szCs w:val="32"/>
          <w:highlight w:val="none"/>
        </w:rPr>
      </w:pPr>
      <w:r>
        <w:rPr>
          <w:rFonts w:hint="eastAsia" w:ascii="Times New Roman" w:hAnsi="Times New Roman" w:eastAsia="仿宋_GB2312" w:cs="仿宋_GB2312"/>
          <w:b/>
          <w:bCs w:val="0"/>
          <w:color w:val="auto"/>
          <w:kern w:val="0"/>
          <w:sz w:val="36"/>
          <w:szCs w:val="36"/>
          <w:highlight w:val="none"/>
        </w:rPr>
        <w:t>目  录</w:t>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b/>
          <w:bCs/>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TOC \o "1-3" \n  \h \u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
          <w:bCs/>
          <w:color w:val="auto"/>
          <w:sz w:val="32"/>
          <w:szCs w:val="32"/>
          <w:highlight w:val="none"/>
        </w:rPr>
        <w:fldChar w:fldCharType="begin"/>
      </w:r>
      <w:r>
        <w:rPr>
          <w:rFonts w:hint="eastAsia" w:ascii="Times New Roman" w:hAnsi="Times New Roman" w:eastAsia="仿宋_GB2312" w:cs="仿宋_GB2312"/>
          <w:b/>
          <w:bCs/>
          <w:color w:val="auto"/>
          <w:sz w:val="32"/>
          <w:szCs w:val="32"/>
          <w:highlight w:val="none"/>
        </w:rPr>
        <w:instrText xml:space="preserve"> HYPERLINK \l _Toc32314 </w:instrText>
      </w:r>
      <w:r>
        <w:rPr>
          <w:rFonts w:hint="eastAsia" w:ascii="Times New Roman" w:hAnsi="Times New Roman" w:eastAsia="仿宋_GB2312" w:cs="仿宋_GB2312"/>
          <w:b/>
          <w:bCs/>
          <w:color w:val="auto"/>
          <w:sz w:val="32"/>
          <w:szCs w:val="32"/>
          <w:highlight w:val="none"/>
        </w:rPr>
        <w:fldChar w:fldCharType="separate"/>
      </w:r>
      <w:r>
        <w:rPr>
          <w:rFonts w:hint="eastAsia" w:ascii="Times New Roman" w:hAnsi="Times New Roman" w:eastAsia="仿宋_GB2312" w:cs="仿宋_GB2312"/>
          <w:b/>
          <w:bCs/>
          <w:color w:val="auto"/>
          <w:sz w:val="32"/>
          <w:szCs w:val="32"/>
          <w:highlight w:val="none"/>
        </w:rPr>
        <w:t xml:space="preserve">第一部分 </w:t>
      </w:r>
      <w:r>
        <w:rPr>
          <w:rFonts w:hint="eastAsia" w:ascii="Times New Roman" w:hAnsi="Times New Roman" w:eastAsia="仿宋_GB2312" w:cs="仿宋_GB2312"/>
          <w:b/>
          <w:bCs/>
          <w:color w:val="auto"/>
          <w:sz w:val="32"/>
          <w:szCs w:val="32"/>
          <w:highlight w:val="none"/>
          <w:lang w:eastAsia="zh-CN"/>
        </w:rPr>
        <w:t>部门</w:t>
      </w:r>
      <w:r>
        <w:rPr>
          <w:rFonts w:hint="eastAsia" w:ascii="Times New Roman" w:hAnsi="Times New Roman" w:eastAsia="仿宋_GB2312" w:cs="仿宋_GB2312"/>
          <w:b/>
          <w:bCs/>
          <w:color w:val="auto"/>
          <w:sz w:val="32"/>
          <w:szCs w:val="32"/>
          <w:highlight w:val="none"/>
        </w:rPr>
        <w:t>概况</w:t>
      </w:r>
      <w:r>
        <w:rPr>
          <w:rFonts w:hint="eastAsia" w:ascii="Times New Roman" w:hAnsi="Times New Roman" w:eastAsia="仿宋_GB2312" w:cs="仿宋_GB2312"/>
          <w:b/>
          <w:bCs/>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_Toc30567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rPr>
        <w:t>一、主要职能</w:t>
      </w:r>
      <w:r>
        <w:rPr>
          <w:rFonts w:hint="eastAsia" w:ascii="Times New Roman" w:hAnsi="Times New Roman"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_Toc2151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rPr>
        <w:t>二、机构设置</w:t>
      </w:r>
      <w:r>
        <w:rPr>
          <w:rFonts w:hint="eastAsia" w:ascii="Times New Roman" w:hAnsi="Times New Roman" w:eastAsia="仿宋_GB2312" w:cs="仿宋_GB2312"/>
          <w:bCs/>
          <w:color w:val="auto"/>
          <w:kern w:val="0"/>
          <w:sz w:val="32"/>
          <w:szCs w:val="32"/>
          <w:highlight w:val="none"/>
          <w:lang w:eastAsia="zh-CN"/>
        </w:rPr>
        <w:t>及人员</w:t>
      </w:r>
      <w:r>
        <w:rPr>
          <w:rFonts w:hint="eastAsia" w:ascii="Times New Roman" w:hAnsi="Times New Roman" w:eastAsia="仿宋_GB2312" w:cs="仿宋_GB2312"/>
          <w:bCs/>
          <w:color w:val="auto"/>
          <w:kern w:val="0"/>
          <w:sz w:val="32"/>
          <w:szCs w:val="32"/>
          <w:highlight w:val="none"/>
        </w:rPr>
        <w:t>情况</w:t>
      </w:r>
      <w:r>
        <w:rPr>
          <w:rFonts w:hint="eastAsia" w:ascii="Times New Roman" w:hAnsi="Times New Roman"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b/>
          <w:bCs/>
          <w:color w:val="auto"/>
          <w:sz w:val="32"/>
          <w:szCs w:val="32"/>
          <w:highlight w:val="none"/>
        </w:rPr>
      </w:pPr>
      <w:r>
        <w:rPr>
          <w:rFonts w:hint="eastAsia" w:ascii="Times New Roman" w:hAnsi="Times New Roman" w:eastAsia="仿宋_GB2312" w:cs="仿宋_GB2312"/>
          <w:b/>
          <w:bCs/>
          <w:color w:val="auto"/>
          <w:sz w:val="32"/>
          <w:szCs w:val="32"/>
          <w:highlight w:val="none"/>
        </w:rPr>
        <w:fldChar w:fldCharType="begin"/>
      </w:r>
      <w:r>
        <w:rPr>
          <w:rFonts w:hint="eastAsia" w:ascii="Times New Roman" w:hAnsi="Times New Roman" w:eastAsia="仿宋_GB2312" w:cs="仿宋_GB2312"/>
          <w:b/>
          <w:bCs/>
          <w:color w:val="auto"/>
          <w:sz w:val="32"/>
          <w:szCs w:val="32"/>
          <w:highlight w:val="none"/>
        </w:rPr>
        <w:instrText xml:space="preserve"> HYPERLINK \l _Toc29374 </w:instrText>
      </w:r>
      <w:r>
        <w:rPr>
          <w:rFonts w:hint="eastAsia" w:ascii="Times New Roman" w:hAnsi="Times New Roman" w:eastAsia="仿宋_GB2312" w:cs="仿宋_GB2312"/>
          <w:b/>
          <w:bCs/>
          <w:color w:val="auto"/>
          <w:sz w:val="32"/>
          <w:szCs w:val="32"/>
          <w:highlight w:val="none"/>
        </w:rPr>
        <w:fldChar w:fldCharType="separate"/>
      </w:r>
      <w:r>
        <w:rPr>
          <w:rFonts w:hint="eastAsia" w:ascii="Times New Roman" w:hAnsi="Times New Roman" w:eastAsia="仿宋_GB2312" w:cs="仿宋_GB2312"/>
          <w:b/>
          <w:bCs/>
          <w:color w:val="auto"/>
          <w:sz w:val="32"/>
          <w:szCs w:val="32"/>
          <w:highlight w:val="none"/>
        </w:rPr>
        <w:t>第二部分 部门决算情况说明</w:t>
      </w:r>
      <w:r>
        <w:rPr>
          <w:rFonts w:hint="eastAsia" w:ascii="Times New Roman" w:hAnsi="Times New Roman" w:eastAsia="仿宋_GB2312" w:cs="仿宋_GB2312"/>
          <w:b/>
          <w:bCs/>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_Toc25314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rPr>
        <w:t>一、收入支出决算总体情况说明</w:t>
      </w:r>
      <w:r>
        <w:rPr>
          <w:rFonts w:hint="eastAsia" w:ascii="Times New Roman" w:hAnsi="Times New Roman"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_Toc12142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lang w:eastAsia="zh-CN"/>
        </w:rPr>
        <w:t>二、</w:t>
      </w:r>
      <w:r>
        <w:rPr>
          <w:rFonts w:hint="eastAsia" w:ascii="Times New Roman" w:hAnsi="Times New Roman" w:eastAsia="仿宋_GB2312" w:cs="仿宋_GB2312"/>
          <w:bCs/>
          <w:color w:val="auto"/>
          <w:kern w:val="0"/>
          <w:sz w:val="32"/>
          <w:szCs w:val="32"/>
          <w:highlight w:val="none"/>
        </w:rPr>
        <w:t>收入</w:t>
      </w:r>
      <w:r>
        <w:rPr>
          <w:rFonts w:hint="eastAsia" w:ascii="Times New Roman" w:hAnsi="Times New Roman" w:eastAsia="仿宋_GB2312" w:cs="仿宋_GB2312"/>
          <w:bCs/>
          <w:color w:val="auto"/>
          <w:kern w:val="0"/>
          <w:sz w:val="32"/>
          <w:szCs w:val="32"/>
          <w:highlight w:val="none"/>
          <w:lang w:eastAsia="zh-CN"/>
        </w:rPr>
        <w:t>决算</w:t>
      </w:r>
      <w:r>
        <w:rPr>
          <w:rFonts w:hint="eastAsia" w:ascii="Times New Roman" w:hAnsi="Times New Roman" w:eastAsia="仿宋_GB2312" w:cs="仿宋_GB2312"/>
          <w:bCs/>
          <w:color w:val="auto"/>
          <w:kern w:val="0"/>
          <w:sz w:val="32"/>
          <w:szCs w:val="32"/>
          <w:highlight w:val="none"/>
        </w:rPr>
        <w:t>情况说明</w:t>
      </w:r>
      <w:r>
        <w:rPr>
          <w:rFonts w:hint="eastAsia" w:ascii="Times New Roman" w:hAnsi="Times New Roman"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_Toc13201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lang w:eastAsia="zh-CN"/>
        </w:rPr>
        <w:t>三、支出决算情况说明</w:t>
      </w:r>
      <w:r>
        <w:rPr>
          <w:rFonts w:hint="eastAsia" w:ascii="Times New Roman" w:hAnsi="Times New Roman"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_Toc26564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lang w:eastAsia="zh-CN"/>
        </w:rPr>
        <w:t>四、财政拨款收入支出决算总体情况说明</w:t>
      </w:r>
      <w:r>
        <w:rPr>
          <w:rFonts w:hint="eastAsia" w:ascii="Times New Roman" w:hAnsi="Times New Roman"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_Toc20360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lang w:eastAsia="zh-CN"/>
        </w:rPr>
        <w:t>五、一般公共预算财政拨款支出决算情况说明</w:t>
      </w:r>
      <w:r>
        <w:rPr>
          <w:rFonts w:hint="eastAsia" w:ascii="Times New Roman" w:hAnsi="Times New Roman"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_Toc30870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lang w:eastAsia="zh-CN"/>
        </w:rPr>
        <w:t>六、一般公共预算财政拨款基本支出决算情况说明</w:t>
      </w:r>
      <w:r>
        <w:rPr>
          <w:rFonts w:hint="eastAsia" w:ascii="Times New Roman" w:hAnsi="Times New Roman"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_Toc21518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lang w:eastAsia="zh-CN"/>
        </w:rPr>
        <w:t>七</w:t>
      </w:r>
      <w:r>
        <w:rPr>
          <w:rFonts w:hint="eastAsia" w:ascii="Times New Roman" w:hAnsi="Times New Roman" w:eastAsia="仿宋_GB2312" w:cs="仿宋_GB2312"/>
          <w:bCs/>
          <w:color w:val="auto"/>
          <w:kern w:val="0"/>
          <w:sz w:val="32"/>
          <w:szCs w:val="32"/>
          <w:highlight w:val="none"/>
        </w:rPr>
        <w:t>、</w:t>
      </w:r>
      <w:r>
        <w:rPr>
          <w:rFonts w:hint="eastAsia" w:ascii="Times New Roman" w:hAnsi="Times New Roman" w:eastAsia="仿宋_GB2312" w:cs="仿宋_GB2312"/>
          <w:bCs/>
          <w:color w:val="auto"/>
          <w:kern w:val="0"/>
          <w:sz w:val="32"/>
          <w:szCs w:val="32"/>
          <w:highlight w:val="none"/>
          <w:lang w:eastAsia="zh-CN"/>
        </w:rPr>
        <w:t>财政拨款</w:t>
      </w:r>
      <w:r>
        <w:rPr>
          <w:rFonts w:hint="eastAsia" w:ascii="Times New Roman" w:hAnsi="Times New Roman" w:eastAsia="仿宋_GB2312" w:cs="仿宋_GB2312"/>
          <w:bCs/>
          <w:color w:val="auto"/>
          <w:kern w:val="0"/>
          <w:sz w:val="32"/>
          <w:szCs w:val="32"/>
          <w:highlight w:val="none"/>
        </w:rPr>
        <w:t>“三公”经费支出</w:t>
      </w:r>
      <w:r>
        <w:rPr>
          <w:rFonts w:hint="eastAsia" w:ascii="Times New Roman" w:hAnsi="Times New Roman" w:eastAsia="仿宋_GB2312" w:cs="仿宋_GB2312"/>
          <w:bCs/>
          <w:color w:val="auto"/>
          <w:kern w:val="0"/>
          <w:sz w:val="32"/>
          <w:szCs w:val="32"/>
          <w:highlight w:val="none"/>
          <w:lang w:eastAsia="zh-CN"/>
        </w:rPr>
        <w:t>决算</w:t>
      </w:r>
      <w:r>
        <w:rPr>
          <w:rFonts w:hint="eastAsia" w:ascii="Times New Roman" w:hAnsi="Times New Roman" w:eastAsia="仿宋_GB2312" w:cs="仿宋_GB2312"/>
          <w:bCs/>
          <w:color w:val="auto"/>
          <w:kern w:val="0"/>
          <w:sz w:val="32"/>
          <w:szCs w:val="32"/>
          <w:highlight w:val="none"/>
        </w:rPr>
        <w:t>情况</w:t>
      </w:r>
      <w:r>
        <w:rPr>
          <w:rFonts w:hint="eastAsia" w:ascii="Times New Roman" w:hAnsi="Times New Roman" w:eastAsia="仿宋_GB2312" w:cs="仿宋_GB2312"/>
          <w:bCs/>
          <w:color w:val="auto"/>
          <w:kern w:val="0"/>
          <w:sz w:val="32"/>
          <w:szCs w:val="32"/>
          <w:highlight w:val="none"/>
          <w:lang w:eastAsia="zh-CN"/>
        </w:rPr>
        <w:t>说明</w:t>
      </w:r>
      <w:r>
        <w:rPr>
          <w:rFonts w:hint="eastAsia" w:ascii="Times New Roman" w:hAnsi="Times New Roman"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_Toc5810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lang w:val="en-US" w:eastAsia="zh-CN"/>
        </w:rPr>
        <w:t>八、</w:t>
      </w:r>
      <w:r>
        <w:rPr>
          <w:rFonts w:hint="eastAsia" w:ascii="Times New Roman" w:hAnsi="Times New Roman" w:eastAsia="仿宋_GB2312" w:cs="仿宋_GB2312"/>
          <w:bCs/>
          <w:color w:val="auto"/>
          <w:kern w:val="0"/>
          <w:sz w:val="32"/>
          <w:szCs w:val="32"/>
          <w:highlight w:val="none"/>
          <w:lang w:eastAsia="zh-CN"/>
        </w:rPr>
        <w:t>政府性基金预算财政拨款收入支出决算情况说明</w:t>
      </w:r>
      <w:r>
        <w:rPr>
          <w:rFonts w:hint="eastAsia" w:ascii="Times New Roman" w:hAnsi="Times New Roman" w:eastAsia="仿宋_GB2312" w:cs="仿宋_GB2312"/>
          <w:color w:val="auto"/>
          <w:sz w:val="32"/>
          <w:szCs w:val="32"/>
          <w:highlight w:val="none"/>
        </w:rPr>
        <w:fldChar w:fldCharType="end"/>
      </w:r>
    </w:p>
    <w:p>
      <w:pPr>
        <w:rPr>
          <w:rFonts w:hint="eastAsia" w:ascii="Times New Roman" w:hAnsi="Times New Roman"/>
          <w:color w:val="auto"/>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_Toc5810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lang w:val="en-US" w:eastAsia="zh-CN"/>
        </w:rPr>
        <w:t>九</w:t>
      </w:r>
      <w:r>
        <w:rPr>
          <w:rFonts w:hint="eastAsia" w:ascii="Times New Roman" w:hAnsi="Times New Roman" w:eastAsia="仿宋_GB2312" w:cs="仿宋_GB2312"/>
          <w:bCs/>
          <w:color w:val="auto"/>
          <w:kern w:val="0"/>
          <w:sz w:val="32"/>
          <w:szCs w:val="32"/>
          <w:highlight w:val="none"/>
          <w:lang w:eastAsia="zh-CN"/>
        </w:rPr>
        <w:t>、国有资本经营预算财政拨款收入支出决算情况说明</w:t>
      </w:r>
      <w:r>
        <w:rPr>
          <w:rFonts w:hint="eastAsia" w:ascii="Times New Roman" w:hAnsi="Times New Roman"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_Toc1235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color w:val="auto"/>
          <w:sz w:val="32"/>
          <w:szCs w:val="32"/>
          <w:highlight w:val="none"/>
          <w:lang w:eastAsia="zh-CN"/>
        </w:rPr>
        <w:t>十</w:t>
      </w:r>
      <w:r>
        <w:rPr>
          <w:rFonts w:hint="eastAsia" w:ascii="Times New Roman" w:hAnsi="Times New Roman" w:eastAsia="仿宋_GB2312" w:cs="仿宋_GB2312"/>
          <w:bCs/>
          <w:color w:val="auto"/>
          <w:kern w:val="0"/>
          <w:sz w:val="32"/>
          <w:szCs w:val="32"/>
          <w:highlight w:val="none"/>
        </w:rPr>
        <w:t>、其他重要事项的情况</w:t>
      </w:r>
      <w:r>
        <w:rPr>
          <w:rFonts w:hint="eastAsia" w:ascii="Times New Roman" w:hAnsi="Times New Roman" w:eastAsia="仿宋_GB2312" w:cs="仿宋_GB2312"/>
          <w:bCs/>
          <w:color w:val="auto"/>
          <w:kern w:val="0"/>
          <w:sz w:val="32"/>
          <w:szCs w:val="32"/>
          <w:highlight w:val="none"/>
          <w:lang w:eastAsia="zh-CN"/>
        </w:rPr>
        <w:t>说明</w:t>
      </w:r>
      <w:r>
        <w:rPr>
          <w:rFonts w:hint="eastAsia" w:ascii="Times New Roman" w:hAnsi="Times New Roman" w:eastAsia="仿宋_GB2312" w:cs="仿宋_GB2312"/>
          <w:color w:val="auto"/>
          <w:sz w:val="32"/>
          <w:szCs w:val="32"/>
          <w:highlight w:val="none"/>
        </w:rPr>
        <w:fldChar w:fldCharType="end"/>
      </w:r>
    </w:p>
    <w:p>
      <w:pPr>
        <w:pStyle w:val="5"/>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_Toc14519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color w:val="auto"/>
          <w:sz w:val="32"/>
          <w:szCs w:val="32"/>
          <w:highlight w:val="none"/>
          <w:lang w:eastAsia="zh-CN"/>
        </w:rPr>
        <w:t>（一）</w:t>
      </w:r>
      <w:r>
        <w:rPr>
          <w:rFonts w:hint="eastAsia" w:ascii="Times New Roman" w:hAnsi="Times New Roman" w:eastAsia="仿宋_GB2312" w:cs="仿宋_GB2312"/>
          <w:color w:val="auto"/>
          <w:sz w:val="32"/>
          <w:szCs w:val="32"/>
          <w:highlight w:val="none"/>
        </w:rPr>
        <w:t>机关运行经费支出情况</w:t>
      </w:r>
      <w:r>
        <w:rPr>
          <w:rFonts w:hint="eastAsia" w:ascii="Times New Roman" w:hAnsi="Times New Roman" w:eastAsia="仿宋_GB2312" w:cs="仿宋_GB2312"/>
          <w:color w:val="auto"/>
          <w:sz w:val="32"/>
          <w:szCs w:val="32"/>
          <w:highlight w:val="none"/>
        </w:rPr>
        <w:fldChar w:fldCharType="end"/>
      </w:r>
    </w:p>
    <w:p>
      <w:pPr>
        <w:pStyle w:val="5"/>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_Toc227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color w:val="auto"/>
          <w:sz w:val="32"/>
          <w:szCs w:val="32"/>
          <w:highlight w:val="none"/>
          <w:lang w:eastAsia="zh-CN"/>
        </w:rPr>
        <w:t>（二）政府采购情况</w:t>
      </w:r>
      <w:r>
        <w:rPr>
          <w:rFonts w:hint="eastAsia" w:ascii="Times New Roman" w:hAnsi="Times New Roman" w:eastAsia="仿宋_GB2312" w:cs="仿宋_GB2312"/>
          <w:color w:val="auto"/>
          <w:sz w:val="32"/>
          <w:szCs w:val="32"/>
          <w:highlight w:val="none"/>
        </w:rPr>
        <w:fldChar w:fldCharType="end"/>
      </w:r>
    </w:p>
    <w:p>
      <w:pPr>
        <w:pStyle w:val="5"/>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_Toc8391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color w:val="auto"/>
          <w:sz w:val="32"/>
          <w:szCs w:val="32"/>
          <w:highlight w:val="none"/>
          <w:lang w:eastAsia="zh-CN"/>
        </w:rPr>
        <w:t>（三）国有资产占用情况说明</w:t>
      </w:r>
      <w:r>
        <w:rPr>
          <w:rFonts w:hint="eastAsia" w:ascii="Times New Roman" w:hAnsi="Times New Roman"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_Toc11283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lang w:eastAsia="zh-CN"/>
        </w:rPr>
        <w:t>十</w:t>
      </w:r>
      <w:r>
        <w:rPr>
          <w:rFonts w:hint="eastAsia" w:ascii="Times New Roman" w:hAnsi="Times New Roman" w:eastAsia="仿宋_GB2312" w:cs="仿宋_GB2312"/>
          <w:bCs/>
          <w:color w:val="auto"/>
          <w:kern w:val="0"/>
          <w:sz w:val="32"/>
          <w:szCs w:val="32"/>
          <w:highlight w:val="none"/>
          <w:lang w:val="en-US" w:eastAsia="zh-CN"/>
        </w:rPr>
        <w:t>一</w:t>
      </w:r>
      <w:r>
        <w:rPr>
          <w:rFonts w:hint="eastAsia" w:ascii="Times New Roman" w:hAnsi="Times New Roman" w:eastAsia="仿宋_GB2312" w:cs="仿宋_GB2312"/>
          <w:bCs/>
          <w:color w:val="auto"/>
          <w:kern w:val="0"/>
          <w:sz w:val="32"/>
          <w:szCs w:val="32"/>
          <w:highlight w:val="none"/>
          <w:lang w:eastAsia="zh-CN"/>
        </w:rPr>
        <w:t>、预算绩效的情况说明</w:t>
      </w:r>
      <w:r>
        <w:rPr>
          <w:rFonts w:hint="eastAsia" w:ascii="Times New Roman" w:hAnsi="Times New Roman"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十二、其他需说明的事项</w:t>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b/>
          <w:bCs/>
          <w:color w:val="auto"/>
          <w:sz w:val="32"/>
          <w:szCs w:val="32"/>
          <w:highlight w:val="none"/>
        </w:rPr>
      </w:pPr>
      <w:r>
        <w:rPr>
          <w:rFonts w:hint="eastAsia" w:ascii="Times New Roman" w:hAnsi="Times New Roman" w:eastAsia="仿宋_GB2312" w:cs="仿宋_GB2312"/>
          <w:b/>
          <w:bCs/>
          <w:color w:val="auto"/>
          <w:sz w:val="32"/>
          <w:szCs w:val="32"/>
          <w:highlight w:val="none"/>
        </w:rPr>
        <w:fldChar w:fldCharType="begin"/>
      </w:r>
      <w:r>
        <w:rPr>
          <w:rFonts w:hint="eastAsia" w:ascii="Times New Roman" w:hAnsi="Times New Roman" w:eastAsia="仿宋_GB2312" w:cs="仿宋_GB2312"/>
          <w:b/>
          <w:bCs/>
          <w:color w:val="auto"/>
          <w:sz w:val="32"/>
          <w:szCs w:val="32"/>
          <w:highlight w:val="none"/>
        </w:rPr>
        <w:instrText xml:space="preserve"> HYPERLINK \l _Toc3250 </w:instrText>
      </w:r>
      <w:r>
        <w:rPr>
          <w:rFonts w:hint="eastAsia" w:ascii="Times New Roman" w:hAnsi="Times New Roman" w:eastAsia="仿宋_GB2312" w:cs="仿宋_GB2312"/>
          <w:b/>
          <w:bCs/>
          <w:color w:val="auto"/>
          <w:sz w:val="32"/>
          <w:szCs w:val="32"/>
          <w:highlight w:val="none"/>
        </w:rPr>
        <w:fldChar w:fldCharType="separate"/>
      </w:r>
      <w:r>
        <w:rPr>
          <w:rFonts w:hint="eastAsia" w:ascii="Times New Roman" w:hAnsi="Times New Roman" w:eastAsia="仿宋_GB2312" w:cs="仿宋_GB2312"/>
          <w:b/>
          <w:bCs/>
          <w:color w:val="auto"/>
          <w:sz w:val="32"/>
          <w:szCs w:val="32"/>
          <w:highlight w:val="none"/>
        </w:rPr>
        <w:t>第三部分 专业名词解释</w:t>
      </w:r>
      <w:r>
        <w:rPr>
          <w:rFonts w:hint="eastAsia" w:ascii="Times New Roman" w:hAnsi="Times New Roman"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b/>
          <w:bCs/>
          <w:color w:val="auto"/>
          <w:sz w:val="32"/>
          <w:szCs w:val="32"/>
          <w:highlight w:val="none"/>
        </w:rPr>
      </w:pPr>
      <w:r>
        <w:rPr>
          <w:rFonts w:hint="eastAsia" w:ascii="Times New Roman" w:hAnsi="Times New Roman" w:eastAsia="仿宋_GB2312" w:cs="仿宋_GB2312"/>
          <w:b/>
          <w:bCs/>
          <w:color w:val="auto"/>
          <w:sz w:val="32"/>
          <w:szCs w:val="32"/>
          <w:highlight w:val="none"/>
        </w:rPr>
        <w:fldChar w:fldCharType="begin"/>
      </w:r>
      <w:r>
        <w:rPr>
          <w:rFonts w:hint="eastAsia" w:ascii="Times New Roman" w:hAnsi="Times New Roman" w:eastAsia="仿宋_GB2312" w:cs="仿宋_GB2312"/>
          <w:b/>
          <w:bCs/>
          <w:color w:val="auto"/>
          <w:sz w:val="32"/>
          <w:szCs w:val="32"/>
          <w:highlight w:val="none"/>
        </w:rPr>
        <w:instrText xml:space="preserve"> HYPERLINK \l _Toc22784 </w:instrText>
      </w:r>
      <w:r>
        <w:rPr>
          <w:rFonts w:hint="eastAsia" w:ascii="Times New Roman" w:hAnsi="Times New Roman" w:eastAsia="仿宋_GB2312" w:cs="仿宋_GB2312"/>
          <w:b/>
          <w:bCs/>
          <w:color w:val="auto"/>
          <w:sz w:val="32"/>
          <w:szCs w:val="32"/>
          <w:highlight w:val="none"/>
        </w:rPr>
        <w:fldChar w:fldCharType="separate"/>
      </w:r>
      <w:r>
        <w:rPr>
          <w:rFonts w:hint="eastAsia" w:ascii="Times New Roman" w:hAnsi="Times New Roman" w:eastAsia="仿宋_GB2312" w:cs="仿宋_GB2312"/>
          <w:b/>
          <w:bCs/>
          <w:color w:val="auto"/>
          <w:sz w:val="32"/>
          <w:szCs w:val="32"/>
          <w:highlight w:val="none"/>
        </w:rPr>
        <w:t>第四部分 部门决算报表（见附表）</w:t>
      </w:r>
      <w:r>
        <w:rPr>
          <w:rFonts w:hint="eastAsia" w:ascii="Times New Roman" w:hAnsi="Times New Roman" w:eastAsia="仿宋_GB2312" w:cs="仿宋_GB2312"/>
          <w:b/>
          <w:bCs/>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_Toc2183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rPr>
        <w:t>一、《收入支出决算总表》</w:t>
      </w:r>
      <w:r>
        <w:rPr>
          <w:rFonts w:hint="eastAsia" w:ascii="Times New Roman" w:hAnsi="Times New Roman"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_Toc24532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rPr>
        <w:t>二、《收入决算表》</w:t>
      </w:r>
      <w:r>
        <w:rPr>
          <w:rFonts w:hint="eastAsia" w:ascii="Times New Roman" w:hAnsi="Times New Roman"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_Toc32434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rPr>
        <w:t>三、《支出决算表》</w:t>
      </w:r>
      <w:r>
        <w:rPr>
          <w:rFonts w:hint="eastAsia" w:ascii="Times New Roman" w:hAnsi="Times New Roman"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_Toc28786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rPr>
        <w:t>四、《财政拨款收入支出决算总表》</w:t>
      </w:r>
      <w:r>
        <w:rPr>
          <w:rFonts w:hint="eastAsia" w:ascii="Times New Roman" w:hAnsi="Times New Roman"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_Toc14869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rPr>
        <w:t>五、《一般公共预算财政拨款支出决算表》</w:t>
      </w:r>
      <w:r>
        <w:rPr>
          <w:rFonts w:hint="eastAsia" w:ascii="Times New Roman" w:hAnsi="Times New Roman"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_Toc8884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rPr>
        <w:t>六、《一般公共预算财政拨款基本支出决算表》</w:t>
      </w:r>
      <w:r>
        <w:rPr>
          <w:rFonts w:hint="eastAsia" w:ascii="Times New Roman" w:hAnsi="Times New Roman"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_Toc29106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rPr>
        <w:t>七、《财政拨款“三公”经费支出决算表》</w:t>
      </w:r>
      <w:r>
        <w:rPr>
          <w:rFonts w:hint="eastAsia" w:ascii="Times New Roman" w:hAnsi="Times New Roman"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bCs/>
          <w:color w:val="auto"/>
          <w:kern w:val="0"/>
          <w:sz w:val="32"/>
          <w:szCs w:val="32"/>
          <w:highlight w:val="none"/>
        </w:rPr>
      </w:pPr>
      <w:r>
        <w:rPr>
          <w:rFonts w:hint="eastAsia" w:ascii="Times New Roman" w:hAnsi="Times New Roman" w:eastAsia="仿宋_GB2312" w:cs="仿宋_GB2312"/>
          <w:bCs/>
          <w:color w:val="auto"/>
          <w:kern w:val="0"/>
          <w:sz w:val="32"/>
          <w:szCs w:val="32"/>
          <w:highlight w:val="none"/>
        </w:rPr>
        <w:fldChar w:fldCharType="begin"/>
      </w:r>
      <w:r>
        <w:rPr>
          <w:rFonts w:hint="eastAsia" w:ascii="Times New Roman" w:hAnsi="Times New Roman" w:eastAsia="仿宋_GB2312" w:cs="仿宋_GB2312"/>
          <w:bCs/>
          <w:color w:val="auto"/>
          <w:kern w:val="0"/>
          <w:sz w:val="32"/>
          <w:szCs w:val="32"/>
          <w:highlight w:val="none"/>
        </w:rPr>
        <w:instrText xml:space="preserve"> HYPERLINK \l _Toc7643 </w:instrText>
      </w:r>
      <w:r>
        <w:rPr>
          <w:rFonts w:hint="eastAsia" w:ascii="Times New Roman" w:hAnsi="Times New Roman" w:eastAsia="仿宋_GB2312" w:cs="仿宋_GB2312"/>
          <w:bCs/>
          <w:color w:val="auto"/>
          <w:kern w:val="0"/>
          <w:sz w:val="32"/>
          <w:szCs w:val="32"/>
          <w:highlight w:val="none"/>
        </w:rPr>
        <w:fldChar w:fldCharType="separate"/>
      </w:r>
      <w:r>
        <w:rPr>
          <w:rFonts w:hint="eastAsia" w:ascii="Times New Roman" w:hAnsi="Times New Roman" w:eastAsia="仿宋_GB2312" w:cs="仿宋_GB2312"/>
          <w:bCs/>
          <w:color w:val="auto"/>
          <w:kern w:val="0"/>
          <w:sz w:val="32"/>
          <w:szCs w:val="32"/>
          <w:highlight w:val="none"/>
          <w:lang w:val="en-US" w:eastAsia="zh-CN"/>
        </w:rPr>
        <w:t>八、</w:t>
      </w:r>
      <w:r>
        <w:rPr>
          <w:rFonts w:hint="eastAsia" w:ascii="Times New Roman" w:hAnsi="Times New Roman" w:eastAsia="仿宋_GB2312" w:cs="仿宋_GB2312"/>
          <w:bCs/>
          <w:color w:val="auto"/>
          <w:kern w:val="0"/>
          <w:sz w:val="32"/>
          <w:szCs w:val="32"/>
          <w:highlight w:val="none"/>
        </w:rPr>
        <w:t>《政府性基金预算财政拨款收入支出决算表》</w:t>
      </w:r>
      <w:r>
        <w:rPr>
          <w:rFonts w:hint="eastAsia" w:ascii="Times New Roman" w:hAnsi="Times New Roman" w:eastAsia="仿宋_GB2312" w:cs="仿宋_GB2312"/>
          <w:bCs/>
          <w:color w:val="auto"/>
          <w:kern w:val="0"/>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bCs/>
          <w:color w:val="auto"/>
          <w:kern w:val="0"/>
          <w:sz w:val="32"/>
          <w:szCs w:val="32"/>
          <w:highlight w:val="none"/>
          <w:lang w:eastAsia="zh-CN"/>
        </w:rPr>
      </w:pPr>
      <w:r>
        <w:rPr>
          <w:rFonts w:hint="eastAsia" w:ascii="Times New Roman" w:hAnsi="Times New Roman" w:eastAsia="仿宋_GB2312" w:cs="仿宋_GB2312"/>
          <w:bCs/>
          <w:color w:val="auto"/>
          <w:kern w:val="0"/>
          <w:sz w:val="32"/>
          <w:szCs w:val="32"/>
          <w:highlight w:val="none"/>
          <w:lang w:val="en-US" w:eastAsia="zh-CN"/>
        </w:rPr>
        <w:t>九</w:t>
      </w:r>
      <w:r>
        <w:rPr>
          <w:rFonts w:hint="eastAsia" w:ascii="Times New Roman" w:hAnsi="Times New Roman" w:eastAsia="仿宋_GB2312" w:cs="仿宋_GB2312"/>
          <w:bCs/>
          <w:color w:val="auto"/>
          <w:kern w:val="0"/>
          <w:sz w:val="32"/>
          <w:szCs w:val="32"/>
          <w:highlight w:val="none"/>
          <w:lang w:eastAsia="zh-CN"/>
        </w:rPr>
        <w:t>、《国有资本经营</w:t>
      </w:r>
      <w:r>
        <w:rPr>
          <w:rFonts w:hint="eastAsia" w:ascii="Times New Roman" w:hAnsi="Times New Roman" w:eastAsia="仿宋_GB2312" w:cs="仿宋_GB2312"/>
          <w:bCs/>
          <w:color w:val="auto"/>
          <w:kern w:val="0"/>
          <w:sz w:val="32"/>
          <w:szCs w:val="32"/>
          <w:highlight w:val="none"/>
        </w:rPr>
        <w:t>预算财政拨款收入支出决算表</w:t>
      </w:r>
      <w:r>
        <w:rPr>
          <w:rFonts w:hint="eastAsia" w:ascii="Times New Roman" w:hAnsi="Times New Roman"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rFonts w:ascii="Times New Roman" w:hAnsi="Times New Roman"/>
          <w:color w:val="auto"/>
          <w:highlight w:val="none"/>
        </w:rPr>
      </w:pPr>
      <w:r>
        <w:rPr>
          <w:rFonts w:hint="eastAsia" w:ascii="Times New Roman" w:hAnsi="Times New Roman" w:eastAsia="仿宋_GB2312" w:cs="仿宋_GB2312"/>
          <w:color w:val="auto"/>
          <w:sz w:val="32"/>
          <w:szCs w:val="32"/>
          <w:highlight w:val="none"/>
        </w:rPr>
        <w:fldChar w:fldCharType="end"/>
      </w:r>
    </w:p>
    <w:p>
      <w:pPr>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eastAsia" w:ascii="Times New Roman" w:hAnsi="Times New Roman" w:eastAsia="黑体"/>
          <w:color w:val="auto"/>
          <w:sz w:val="32"/>
          <w:szCs w:val="32"/>
          <w:highlight w:val="none"/>
        </w:rPr>
      </w:pPr>
      <w:bookmarkStart w:id="0" w:name="_Toc32314"/>
      <w:bookmarkStart w:id="1" w:name="_Toc24028"/>
      <w:r>
        <w:rPr>
          <w:rFonts w:hint="eastAsia" w:ascii="Times New Roman" w:hAnsi="Times New Roman" w:eastAsia="黑体"/>
          <w:color w:val="auto"/>
          <w:sz w:val="32"/>
          <w:szCs w:val="32"/>
          <w:highlight w:val="none"/>
        </w:rPr>
        <w:t xml:space="preserve">第一部分 </w:t>
      </w:r>
      <w:r>
        <w:rPr>
          <w:rFonts w:hint="eastAsia" w:ascii="Times New Roman" w:hAnsi="Times New Roman" w:eastAsia="黑体"/>
          <w:color w:val="auto"/>
          <w:sz w:val="32"/>
          <w:szCs w:val="32"/>
          <w:highlight w:val="none"/>
          <w:lang w:eastAsia="zh-CN"/>
        </w:rPr>
        <w:t>部门</w:t>
      </w:r>
      <w:r>
        <w:rPr>
          <w:rFonts w:hint="eastAsia" w:ascii="Times New Roman" w:hAnsi="Times New Roman"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ascii="Times New Roman" w:hAnsi="Times New Roman" w:eastAsia="黑体" w:cs="宋体"/>
          <w:bCs/>
          <w:color w:val="auto"/>
          <w:kern w:val="0"/>
          <w:sz w:val="32"/>
          <w:szCs w:val="32"/>
          <w:highlight w:val="none"/>
        </w:rPr>
      </w:pPr>
      <w:bookmarkStart w:id="2" w:name="_Toc30567"/>
      <w:bookmarkStart w:id="3" w:name="_Toc30738"/>
      <w:r>
        <w:rPr>
          <w:rFonts w:hint="eastAsia" w:ascii="Times New Roman" w:hAnsi="Times New Roman"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bookmarkStart w:id="4" w:name="_Toc31238"/>
      <w:bookmarkStart w:id="5" w:name="_Toc2151"/>
      <w:r>
        <w:rPr>
          <w:rFonts w:hint="eastAsia" w:ascii="仿宋_GB2312" w:eastAsia="仿宋_GB2312"/>
          <w:color w:val="auto"/>
          <w:sz w:val="32"/>
          <w:szCs w:val="32"/>
          <w:highlight w:val="none"/>
          <w:lang w:val="en-US" w:eastAsia="zh-CN"/>
        </w:rPr>
        <w:t>（一）组织实施退役军人思想政治、管理保障和安置优抚等工作政策法规，褒扬彰显退役军人为党、国家和人民牺牲奉献的精神风范和价值导向，发挥退役军人在新疆社会稳定和长治久安总目标中的作用。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（二）负责军队转业干部、复员干部、离退休干部、退役士兵和无军籍退休退职职工的移交安置工作和自主择业、就业退役军人服务管理工作；组织实施退役军人留库尔勒市安置优惠优待政策。</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（三）组织指导开展退役军人教育培训工作；协调扶持退役军人和随军随调家属就业创业。</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（四）会同有关部门拟定退役军人特殊保障政策并组织落实。</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（五）组织落实移交地方的离休退休军人、符合条件的其他退役军人和无军籍退休退职职工的住房保障，以及退役军人医疗保障、社会保险等待遇保障工作。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（六）组织指导伤病残退役军人服务管理和抚恤工作，指导并落实有关退役军人医疗、疗养、养老等机构的规划政策；承担不适宜继续服役的伤病残军人相关工作。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（七）组织指导拥军优属工作。负责现役军人、退役军人、军队文职人员和军属优待、抚恤等工作，落实国民党抗战老兵等有关人员优待政策并指导实施。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八）负责烈士及退役军人荣誉奖励、军人公墓规划建设、管理维护、纪念活动等工作；依法承担英雄烈士保护相关工作；审核拟列入全国和自治区重点保护单位的烈士纪念建筑物名录；总结表彰和宣扬退役军人、退役军人工作单位先进典型事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（九）指导并监督检查退役军人相关法律法规和政策措施的落实；组织指导退役军人权益维护和有关人员的帮扶援助工作。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（十）完成市党委、市人民政府交办的其他事项。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Times New Roman" w:hAnsi="Times New Roman" w:eastAsia="黑体" w:cs="宋体"/>
          <w:bCs/>
          <w:color w:val="auto"/>
          <w:kern w:val="0"/>
          <w:sz w:val="32"/>
          <w:szCs w:val="32"/>
          <w:highlight w:val="none"/>
        </w:rPr>
      </w:pPr>
      <w:r>
        <w:rPr>
          <w:rFonts w:hint="eastAsia" w:ascii="Times New Roman" w:hAnsi="Times New Roman" w:eastAsia="黑体" w:cs="宋体"/>
          <w:bCs/>
          <w:color w:val="auto"/>
          <w:kern w:val="0"/>
          <w:sz w:val="32"/>
          <w:szCs w:val="32"/>
          <w:highlight w:val="none"/>
        </w:rPr>
        <w:t>二、机构设置</w:t>
      </w:r>
      <w:r>
        <w:rPr>
          <w:rFonts w:hint="eastAsia" w:ascii="Times New Roman" w:hAnsi="Times New Roman" w:eastAsia="黑体" w:cs="宋体"/>
          <w:bCs/>
          <w:color w:val="auto"/>
          <w:kern w:val="0"/>
          <w:sz w:val="32"/>
          <w:szCs w:val="32"/>
          <w:highlight w:val="none"/>
          <w:lang w:eastAsia="zh-CN"/>
        </w:rPr>
        <w:t>及</w:t>
      </w:r>
      <w:bookmarkEnd w:id="4"/>
      <w:r>
        <w:rPr>
          <w:rFonts w:hint="eastAsia" w:ascii="Times New Roman" w:hAnsi="Times New Roman" w:eastAsia="黑体" w:cs="宋体"/>
          <w:bCs/>
          <w:color w:val="auto"/>
          <w:kern w:val="0"/>
          <w:sz w:val="32"/>
          <w:szCs w:val="32"/>
          <w:highlight w:val="none"/>
          <w:lang w:eastAsia="zh-CN"/>
        </w:rPr>
        <w:t>人员</w:t>
      </w:r>
      <w:r>
        <w:rPr>
          <w:rFonts w:hint="eastAsia" w:ascii="Times New Roman" w:hAnsi="Times New Roman"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库尔勒市退役军人事务局2023年度，实有人数</w:t>
      </w:r>
      <w:r>
        <w:rPr>
          <w:rFonts w:hint="eastAsia" w:ascii="仿宋_GB2312" w:eastAsia="仿宋_GB2312"/>
          <w:color w:val="auto"/>
          <w:sz w:val="32"/>
          <w:szCs w:val="32"/>
          <w:highlight w:val="none"/>
          <w:lang w:val="zh-CN" w:eastAsia="zh-CN"/>
        </w:rPr>
        <w:t>22</w:t>
      </w:r>
      <w:r>
        <w:rPr>
          <w:rFonts w:hint="eastAsia" w:ascii="仿宋_GB2312" w:eastAsia="仿宋_GB2312"/>
          <w:color w:val="auto"/>
          <w:sz w:val="32"/>
          <w:szCs w:val="32"/>
          <w:highlight w:val="none"/>
          <w:lang w:val="en-US" w:eastAsia="zh-CN"/>
        </w:rPr>
        <w:t>人，其中：在职人员</w:t>
      </w:r>
      <w:r>
        <w:rPr>
          <w:rFonts w:hint="eastAsia" w:ascii="仿宋_GB2312" w:eastAsia="仿宋_GB2312"/>
          <w:color w:val="auto"/>
          <w:sz w:val="32"/>
          <w:szCs w:val="32"/>
          <w:highlight w:val="none"/>
          <w:lang w:val="zh-CN" w:eastAsia="zh-CN"/>
        </w:rPr>
        <w:t>21</w:t>
      </w:r>
      <w:r>
        <w:rPr>
          <w:rFonts w:hint="eastAsia" w:ascii="仿宋_GB2312" w:eastAsia="仿宋_GB2312"/>
          <w:color w:val="auto"/>
          <w:sz w:val="32"/>
          <w:szCs w:val="32"/>
          <w:highlight w:val="none"/>
          <w:lang w:val="en-US" w:eastAsia="zh-CN"/>
        </w:rPr>
        <w:t>人，离休人员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lang w:val="en-US" w:eastAsia="zh-CN"/>
        </w:rPr>
        <w:t>人，退休人员</w:t>
      </w:r>
      <w:r>
        <w:rPr>
          <w:rFonts w:hint="eastAsia" w:ascii="仿宋_GB2312" w:eastAsia="仿宋_GB2312"/>
          <w:color w:val="auto"/>
          <w:sz w:val="32"/>
          <w:szCs w:val="32"/>
          <w:highlight w:val="none"/>
          <w:lang w:val="zh-CN" w:eastAsia="zh-CN"/>
        </w:rPr>
        <w:t>1</w:t>
      </w:r>
      <w:r>
        <w:rPr>
          <w:rFonts w:hint="eastAsia" w:ascii="仿宋_GB2312" w:eastAsia="仿宋_GB2312"/>
          <w:color w:val="auto"/>
          <w:sz w:val="32"/>
          <w:szCs w:val="32"/>
          <w:highlight w:val="none"/>
          <w:lang w:val="en-US" w:eastAsia="zh-CN"/>
        </w:rPr>
        <w:t>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从部门决算单位构成看，库尔勒市退役军人事务局部门决算包括：库尔勒市退役军人事务局本级决算及所属单位决算。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库尔勒市退役军人事务局本级下设下设4个处室，分别是：市双拥办公室、优抚办公室、军队转业干部安置办公室、库尔勒烈士陵园管理办公室。</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纳入库尔勒市退役军人事务局2023年度部门决算编制范围的下属预算单位包括：</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default"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val="en-US" w:eastAsia="zh-CN"/>
        </w:rPr>
        <w:t>库尔勒市退役军人事务局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default"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val="en-US" w:eastAsia="zh-CN"/>
        </w:rPr>
        <w:t>库尔勒市军队离退休干部休养所</w:t>
      </w:r>
    </w:p>
    <w:p>
      <w:pPr>
        <w:rPr>
          <w:rFonts w:hint="eastAsia" w:ascii="Times New Roman" w:hAnsi="Times New Roman" w:eastAsia="黑体"/>
          <w:color w:val="auto"/>
          <w:sz w:val="32"/>
          <w:szCs w:val="32"/>
          <w:highlight w:val="none"/>
        </w:rPr>
      </w:pPr>
      <w:bookmarkStart w:id="6" w:name="_Toc3092"/>
      <w:bookmarkStart w:id="7" w:name="_Toc29374"/>
      <w:r>
        <w:rPr>
          <w:rFonts w:hint="eastAsia" w:ascii="Times New Roman" w:hAnsi="Times New Roman" w:eastAsia="仿宋_GB2312" w:cs="宋体"/>
          <w:bCs/>
          <w:color w:val="auto"/>
          <w:sz w:val="32"/>
          <w:szCs w:val="32"/>
          <w:highlight w:val="none"/>
          <w:lang w:val="en-US" w:eastAsia="zh-CN"/>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Times New Roman" w:hAnsi="Times New Roman" w:eastAsia="黑体"/>
          <w:color w:val="auto"/>
          <w:sz w:val="32"/>
          <w:szCs w:val="32"/>
          <w:highlight w:val="none"/>
        </w:rPr>
      </w:pPr>
      <w:r>
        <w:rPr>
          <w:rFonts w:hint="eastAsia" w:ascii="Times New Roman" w:hAnsi="Times New Roman" w:eastAsia="黑体"/>
          <w:color w:val="auto"/>
          <w:sz w:val="32"/>
          <w:szCs w:val="32"/>
          <w:highlight w:val="none"/>
        </w:rPr>
        <w:t>第</w:t>
      </w:r>
      <w:r>
        <w:rPr>
          <w:rFonts w:hint="eastAsia" w:ascii="Times New Roman" w:hAnsi="Times New Roman" w:eastAsia="黑体"/>
          <w:color w:val="auto"/>
          <w:sz w:val="32"/>
          <w:szCs w:val="32"/>
          <w:highlight w:val="none"/>
          <w:lang w:val="en-US" w:eastAsia="zh-CN"/>
        </w:rPr>
        <w:t>二</w:t>
      </w:r>
      <w:r>
        <w:rPr>
          <w:rFonts w:hint="eastAsia" w:ascii="Times New Roman" w:hAnsi="Times New Roman"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黑体" w:cs="宋体"/>
          <w:bCs/>
          <w:color w:val="auto"/>
          <w:kern w:val="0"/>
          <w:sz w:val="32"/>
          <w:szCs w:val="32"/>
          <w:highlight w:val="none"/>
        </w:rPr>
      </w:pPr>
      <w:bookmarkStart w:id="8" w:name="_Toc12566"/>
      <w:bookmarkStart w:id="9" w:name="_Toc25314"/>
      <w:r>
        <w:rPr>
          <w:rFonts w:hint="eastAsia" w:ascii="Times New Roman" w:hAnsi="Times New Roman"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olor w:val="auto"/>
          <w:spacing w:val="0"/>
          <w:sz w:val="32"/>
          <w:szCs w:val="32"/>
          <w:highlight w:val="none"/>
          <w:lang w:eastAsia="zh-CN"/>
        </w:rPr>
      </w:pPr>
      <w:r>
        <w:rPr>
          <w:rFonts w:hint="eastAsia" w:ascii="Times New Roman" w:hAnsi="Times New Roman" w:eastAsia="仿宋_GB2312"/>
          <w:color w:val="auto"/>
          <w:spacing w:val="0"/>
          <w:sz w:val="32"/>
          <w:szCs w:val="32"/>
          <w:highlight w:val="none"/>
          <w:lang w:eastAsia="zh-CN"/>
        </w:rPr>
        <w:t>2023年度</w:t>
      </w:r>
      <w:r>
        <w:rPr>
          <w:rFonts w:hint="eastAsia" w:ascii="Times New Roman" w:hAnsi="Times New Roman" w:eastAsia="仿宋_GB2312"/>
          <w:color w:val="auto"/>
          <w:spacing w:val="0"/>
          <w:sz w:val="32"/>
          <w:szCs w:val="32"/>
          <w:highlight w:val="none"/>
          <w:lang w:val="en-US" w:eastAsia="zh-CN"/>
        </w:rPr>
        <w:t>收入总计</w:t>
      </w:r>
      <w:r>
        <w:rPr>
          <w:rFonts w:hint="eastAsia" w:ascii="Times New Roman" w:hAnsi="Times New Roman" w:eastAsia="仿宋_GB2312"/>
          <w:color w:val="auto"/>
          <w:spacing w:val="0"/>
          <w:sz w:val="32"/>
          <w:szCs w:val="32"/>
          <w:highlight w:val="none"/>
          <w:lang w:eastAsia="zh-CN"/>
        </w:rPr>
        <w:t>11,032.27万元，</w:t>
      </w:r>
      <w:r>
        <w:rPr>
          <w:rFonts w:hint="eastAsia" w:ascii="Times New Roman" w:hAnsi="Times New Roman" w:eastAsia="仿宋_GB2312"/>
          <w:color w:val="auto"/>
          <w:spacing w:val="0"/>
          <w:sz w:val="32"/>
          <w:szCs w:val="32"/>
          <w:highlight w:val="none"/>
          <w:lang w:val="en-US" w:eastAsia="zh-CN"/>
        </w:rPr>
        <w:t>其中：本年收入合计</w:t>
      </w:r>
      <w:r>
        <w:rPr>
          <w:rFonts w:hint="eastAsia" w:ascii="Times New Roman" w:hAnsi="Times New Roman" w:eastAsia="仿宋_GB2312"/>
          <w:color w:val="auto"/>
          <w:spacing w:val="0"/>
          <w:sz w:val="32"/>
          <w:szCs w:val="32"/>
          <w:highlight w:val="none"/>
          <w:lang w:eastAsia="zh-CN"/>
        </w:rPr>
        <w:t>11,032.27万元，使用非财政拨款结余0.00万元，年初结转和结余0.00万元。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olor w:val="auto"/>
          <w:spacing w:val="0"/>
          <w:sz w:val="32"/>
          <w:szCs w:val="32"/>
          <w:highlight w:val="none"/>
          <w:lang w:eastAsia="zh-CN"/>
        </w:rPr>
      </w:pPr>
      <w:r>
        <w:rPr>
          <w:rFonts w:hint="eastAsia" w:ascii="Times New Roman" w:hAnsi="Times New Roman" w:eastAsia="仿宋_GB2312"/>
          <w:color w:val="auto"/>
          <w:spacing w:val="0"/>
          <w:sz w:val="32"/>
          <w:szCs w:val="32"/>
          <w:highlight w:val="none"/>
          <w:lang w:val="en-US" w:eastAsia="zh-CN"/>
        </w:rPr>
        <w:t>2023</w:t>
      </w:r>
      <w:r>
        <w:rPr>
          <w:rFonts w:hint="eastAsia" w:ascii="Times New Roman" w:hAnsi="Times New Roman" w:eastAsia="仿宋_GB2312"/>
          <w:color w:val="auto"/>
          <w:spacing w:val="0"/>
          <w:sz w:val="32"/>
          <w:szCs w:val="32"/>
          <w:highlight w:val="none"/>
          <w:lang w:eastAsia="zh-CN"/>
        </w:rPr>
        <w:t>年</w:t>
      </w:r>
      <w:r>
        <w:rPr>
          <w:rFonts w:hint="eastAsia" w:ascii="Times New Roman" w:hAnsi="Times New Roman" w:eastAsia="仿宋_GB2312"/>
          <w:color w:val="auto"/>
          <w:spacing w:val="0"/>
          <w:sz w:val="32"/>
          <w:szCs w:val="32"/>
          <w:highlight w:val="none"/>
          <w:lang w:val="en-US" w:eastAsia="zh-CN"/>
        </w:rPr>
        <w:t>度</w:t>
      </w:r>
      <w:r>
        <w:rPr>
          <w:rFonts w:hint="eastAsia" w:ascii="Times New Roman" w:hAnsi="Times New Roman" w:eastAsia="仿宋_GB2312"/>
          <w:color w:val="auto"/>
          <w:spacing w:val="0"/>
          <w:sz w:val="32"/>
          <w:szCs w:val="32"/>
          <w:highlight w:val="none"/>
          <w:lang w:eastAsia="zh-CN"/>
        </w:rPr>
        <w:t>支出</w:t>
      </w:r>
      <w:r>
        <w:rPr>
          <w:rFonts w:hint="eastAsia" w:ascii="Times New Roman" w:hAnsi="Times New Roman" w:eastAsia="仿宋_GB2312"/>
          <w:color w:val="auto"/>
          <w:spacing w:val="0"/>
          <w:sz w:val="32"/>
          <w:szCs w:val="32"/>
          <w:highlight w:val="none"/>
          <w:lang w:val="en-US" w:eastAsia="zh-CN"/>
        </w:rPr>
        <w:t>总计</w:t>
      </w:r>
      <w:r>
        <w:rPr>
          <w:rFonts w:hint="eastAsia" w:ascii="Times New Roman" w:hAnsi="Times New Roman" w:eastAsia="仿宋_GB2312"/>
          <w:color w:val="auto"/>
          <w:spacing w:val="0"/>
          <w:sz w:val="32"/>
          <w:szCs w:val="32"/>
          <w:highlight w:val="none"/>
          <w:lang w:eastAsia="zh-CN"/>
        </w:rPr>
        <w:t>11,032.27万元，</w:t>
      </w:r>
      <w:r>
        <w:rPr>
          <w:rFonts w:hint="eastAsia" w:ascii="Times New Roman" w:hAnsi="Times New Roman" w:eastAsia="仿宋_GB2312"/>
          <w:color w:val="auto"/>
          <w:spacing w:val="0"/>
          <w:sz w:val="32"/>
          <w:szCs w:val="32"/>
          <w:highlight w:val="none"/>
          <w:lang w:val="en-US" w:eastAsia="zh-CN"/>
        </w:rPr>
        <w:t>其中：本年支出合计</w:t>
      </w:r>
      <w:r>
        <w:rPr>
          <w:rFonts w:hint="eastAsia" w:ascii="Times New Roman" w:hAnsi="Times New Roman" w:eastAsia="仿宋_GB2312"/>
          <w:color w:val="auto"/>
          <w:spacing w:val="0"/>
          <w:sz w:val="32"/>
          <w:szCs w:val="32"/>
          <w:highlight w:val="none"/>
          <w:lang w:eastAsia="zh-CN"/>
        </w:rPr>
        <w:t>10,821.40万元，</w:t>
      </w:r>
      <w:r>
        <w:rPr>
          <w:rFonts w:hint="eastAsia" w:ascii="Times New Roman" w:hAnsi="Times New Roman" w:eastAsia="仿宋_GB2312"/>
          <w:color w:val="auto"/>
          <w:spacing w:val="0"/>
          <w:sz w:val="32"/>
          <w:szCs w:val="32"/>
          <w:highlight w:val="none"/>
          <w:lang w:val="en-US" w:eastAsia="zh-CN"/>
        </w:rPr>
        <w:t>结余分配</w:t>
      </w:r>
      <w:r>
        <w:rPr>
          <w:rFonts w:hint="eastAsia" w:ascii="Times New Roman" w:hAnsi="Times New Roman" w:eastAsia="仿宋_GB2312"/>
          <w:color w:val="auto"/>
          <w:spacing w:val="0"/>
          <w:sz w:val="32"/>
          <w:szCs w:val="32"/>
          <w:highlight w:val="none"/>
          <w:lang w:eastAsia="zh-CN"/>
        </w:rPr>
        <w:t>0.00万元，年末结转和结余210.87万元。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color w:val="auto"/>
          <w:sz w:val="32"/>
          <w:szCs w:val="32"/>
          <w:highlight w:val="none"/>
          <w:lang w:val="en-US" w:eastAsia="zh-CN"/>
        </w:rPr>
        <w:t>收入支出总体与上年相比</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lang w:val="zh-CN" w:eastAsia="zh-CN"/>
        </w:rPr>
        <w:t>增加</w:t>
      </w:r>
      <w:r>
        <w:rPr>
          <w:rFonts w:hint="eastAsia" w:ascii="Times New Roman" w:hAnsi="Times New Roman" w:eastAsia="仿宋_GB2312"/>
          <w:color w:val="auto"/>
          <w:sz w:val="32"/>
          <w:szCs w:val="32"/>
          <w:highlight w:val="none"/>
          <w:lang w:val="en-US" w:eastAsia="zh-CN"/>
        </w:rPr>
        <w:t>2983.35</w:t>
      </w:r>
      <w:r>
        <w:rPr>
          <w:rFonts w:hint="eastAsia" w:ascii="Times New Roman" w:hAnsi="Times New Roman" w:eastAsia="仿宋_GB2312"/>
          <w:color w:val="auto"/>
          <w:sz w:val="32"/>
          <w:szCs w:val="32"/>
          <w:highlight w:val="none"/>
          <w:lang w:val="zh-CN" w:eastAsia="zh-CN"/>
        </w:rPr>
        <w:t>万元</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lang w:val="zh-CN" w:eastAsia="zh-CN"/>
        </w:rPr>
        <w:t>增长</w:t>
      </w:r>
      <w:r>
        <w:rPr>
          <w:rFonts w:hint="eastAsia" w:ascii="Times New Roman" w:hAnsi="Times New Roman" w:eastAsia="仿宋_GB2312"/>
          <w:color w:val="auto"/>
          <w:sz w:val="32"/>
          <w:szCs w:val="32"/>
          <w:highlight w:val="none"/>
          <w:lang w:val="en-US" w:eastAsia="zh-CN"/>
        </w:rPr>
        <w:t>37.07</w:t>
      </w:r>
      <w:r>
        <w:rPr>
          <w:rFonts w:hint="eastAsia" w:ascii="Times New Roman" w:hAnsi="Times New Roman" w:eastAsia="仿宋_GB2312"/>
          <w:color w:val="auto"/>
          <w:sz w:val="32"/>
          <w:szCs w:val="32"/>
          <w:highlight w:val="none"/>
          <w:lang w:val="zh-CN" w:eastAsia="zh-CN"/>
        </w:rPr>
        <w:t>%</w:t>
      </w:r>
      <w:r>
        <w:rPr>
          <w:rFonts w:hint="eastAsia" w:ascii="Times New Roman" w:hAnsi="Times New Roman" w:eastAsia="仿宋_GB2312"/>
          <w:color w:val="auto"/>
          <w:sz w:val="32"/>
          <w:szCs w:val="32"/>
          <w:highlight w:val="none"/>
          <w:lang w:eastAsia="zh-CN"/>
        </w:rPr>
        <w:t>，主要原因是：本年度自主就业退役士兵的一次性经济补助支出和义务兵家庭优待支出以及优抚对象补助支出较上年增加较多以及本年新接收军队离退休干部</w:t>
      </w:r>
      <w:r>
        <w:rPr>
          <w:rFonts w:hint="eastAsia" w:ascii="Times New Roman" w:hAnsi="Times New Roman" w:eastAsia="仿宋_GB2312"/>
          <w:color w:val="auto"/>
          <w:sz w:val="32"/>
          <w:szCs w:val="32"/>
          <w:highlight w:val="none"/>
          <w:lang w:val="en-US" w:eastAsia="zh-CN"/>
        </w:rPr>
        <w:t>18人，相应经费增加</w:t>
      </w:r>
      <w:r>
        <w:rPr>
          <w:rFonts w:hint="eastAsia" w:ascii="Times New Roman" w:hAnsi="Times New Roman"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宋体"/>
          <w:bCs/>
          <w:color w:val="auto"/>
          <w:kern w:val="0"/>
          <w:sz w:val="32"/>
          <w:szCs w:val="32"/>
          <w:highlight w:val="none"/>
        </w:rPr>
      </w:pPr>
      <w:bookmarkStart w:id="10" w:name="_Toc1979"/>
      <w:bookmarkStart w:id="11" w:name="_Toc12142"/>
      <w:r>
        <w:rPr>
          <w:rFonts w:hint="eastAsia" w:ascii="Times New Roman" w:hAnsi="Times New Roman" w:eastAsia="黑体" w:cs="宋体"/>
          <w:bCs/>
          <w:color w:val="auto"/>
          <w:kern w:val="0"/>
          <w:sz w:val="32"/>
          <w:szCs w:val="32"/>
          <w:highlight w:val="none"/>
          <w:lang w:eastAsia="zh-CN"/>
        </w:rPr>
        <w:t>二、</w:t>
      </w:r>
      <w:r>
        <w:rPr>
          <w:rFonts w:hint="eastAsia" w:ascii="Times New Roman" w:hAnsi="Times New Roman" w:eastAsia="黑体" w:cs="宋体"/>
          <w:bCs/>
          <w:color w:val="auto"/>
          <w:kern w:val="0"/>
          <w:sz w:val="32"/>
          <w:szCs w:val="32"/>
          <w:highlight w:val="none"/>
        </w:rPr>
        <w:t>收入</w:t>
      </w:r>
      <w:r>
        <w:rPr>
          <w:rFonts w:hint="eastAsia" w:ascii="Times New Roman" w:hAnsi="Times New Roman" w:eastAsia="黑体" w:cs="宋体"/>
          <w:bCs/>
          <w:color w:val="auto"/>
          <w:kern w:val="0"/>
          <w:sz w:val="32"/>
          <w:szCs w:val="32"/>
          <w:highlight w:val="none"/>
          <w:lang w:eastAsia="zh-CN"/>
        </w:rPr>
        <w:t>决算</w:t>
      </w:r>
      <w:r>
        <w:rPr>
          <w:rFonts w:hint="eastAsia" w:ascii="Times New Roman" w:hAnsi="Times New Roman"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rPr>
        <w:t>本年收入</w:t>
      </w:r>
      <w:r>
        <w:rPr>
          <w:rFonts w:hint="eastAsia" w:ascii="Times New Roman" w:hAnsi="Times New Roman" w:eastAsia="仿宋_GB2312"/>
          <w:color w:val="auto"/>
          <w:sz w:val="32"/>
          <w:szCs w:val="32"/>
          <w:highlight w:val="none"/>
          <w:lang w:eastAsia="zh-CN"/>
        </w:rPr>
        <w:t>11,032.27</w:t>
      </w:r>
      <w:r>
        <w:rPr>
          <w:rFonts w:hint="eastAsia" w:ascii="Times New Roman" w:hAnsi="Times New Roman" w:eastAsia="仿宋_GB2312"/>
          <w:color w:val="auto"/>
          <w:sz w:val="32"/>
          <w:szCs w:val="32"/>
          <w:highlight w:val="none"/>
        </w:rPr>
        <w:t>万元，其中：财政拨款收入</w:t>
      </w:r>
      <w:r>
        <w:rPr>
          <w:rFonts w:hint="eastAsia" w:ascii="Times New Roman" w:hAnsi="Times New Roman" w:eastAsia="仿宋_GB2312"/>
          <w:color w:val="auto"/>
          <w:sz w:val="32"/>
          <w:szCs w:val="32"/>
          <w:highlight w:val="none"/>
          <w:lang w:val="zh-CN"/>
        </w:rPr>
        <w:t>10,358.07</w:t>
      </w:r>
      <w:r>
        <w:rPr>
          <w:rFonts w:hint="eastAsia" w:ascii="Times New Roman" w:hAnsi="Times New Roman" w:eastAsia="仿宋_GB2312"/>
          <w:color w:val="auto"/>
          <w:sz w:val="32"/>
          <w:szCs w:val="32"/>
          <w:highlight w:val="none"/>
        </w:rPr>
        <w:t>万元，占</w:t>
      </w:r>
      <w:r>
        <w:rPr>
          <w:rFonts w:hint="eastAsia" w:ascii="Times New Roman" w:hAnsi="Times New Roman" w:eastAsia="仿宋_GB2312"/>
          <w:color w:val="auto"/>
          <w:sz w:val="32"/>
          <w:szCs w:val="32"/>
          <w:highlight w:val="none"/>
          <w:lang w:val="zh-CN"/>
        </w:rPr>
        <w:t>93.89</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；上级补助收入</w:t>
      </w:r>
      <w:r>
        <w:rPr>
          <w:rFonts w:hint="eastAsia" w:ascii="Times New Roman" w:hAnsi="Times New Roman" w:eastAsia="仿宋_GB2312"/>
          <w:color w:val="auto"/>
          <w:sz w:val="32"/>
          <w:szCs w:val="32"/>
          <w:highlight w:val="none"/>
          <w:lang w:val="zh-CN"/>
        </w:rPr>
        <w:t>0.00</w:t>
      </w:r>
      <w:r>
        <w:rPr>
          <w:rFonts w:hint="eastAsia" w:ascii="Times New Roman" w:hAnsi="Times New Roman" w:eastAsia="仿宋_GB2312"/>
          <w:color w:val="auto"/>
          <w:sz w:val="32"/>
          <w:szCs w:val="32"/>
          <w:highlight w:val="none"/>
        </w:rPr>
        <w:t>万元，占</w:t>
      </w:r>
      <w:r>
        <w:rPr>
          <w:rFonts w:hint="eastAsia" w:ascii="Times New Roman" w:hAnsi="Times New Roman" w:eastAsia="仿宋_GB2312"/>
          <w:color w:val="auto"/>
          <w:sz w:val="32"/>
          <w:szCs w:val="32"/>
          <w:highlight w:val="none"/>
          <w:lang w:val="zh-CN"/>
        </w:rPr>
        <w:t>0.00</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；事业收入</w:t>
      </w:r>
      <w:r>
        <w:rPr>
          <w:rFonts w:hint="eastAsia" w:ascii="Times New Roman" w:hAnsi="Times New Roman" w:eastAsia="仿宋_GB2312"/>
          <w:color w:val="auto"/>
          <w:sz w:val="32"/>
          <w:szCs w:val="32"/>
          <w:highlight w:val="none"/>
          <w:lang w:val="zh-CN"/>
        </w:rPr>
        <w:t>0.00</w:t>
      </w:r>
      <w:r>
        <w:rPr>
          <w:rFonts w:hint="eastAsia" w:ascii="Times New Roman" w:hAnsi="Times New Roman" w:eastAsia="仿宋_GB2312"/>
          <w:color w:val="auto"/>
          <w:sz w:val="32"/>
          <w:szCs w:val="32"/>
          <w:highlight w:val="none"/>
        </w:rPr>
        <w:t>万元，占</w:t>
      </w:r>
      <w:r>
        <w:rPr>
          <w:rFonts w:hint="eastAsia" w:ascii="Times New Roman" w:hAnsi="Times New Roman" w:eastAsia="仿宋_GB2312"/>
          <w:color w:val="auto"/>
          <w:sz w:val="32"/>
          <w:szCs w:val="32"/>
          <w:highlight w:val="none"/>
          <w:lang w:val="zh-CN"/>
        </w:rPr>
        <w:t>0.00</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；经营收入</w:t>
      </w:r>
      <w:r>
        <w:rPr>
          <w:rFonts w:hint="eastAsia" w:ascii="Times New Roman" w:hAnsi="Times New Roman" w:eastAsia="仿宋_GB2312"/>
          <w:color w:val="auto"/>
          <w:sz w:val="32"/>
          <w:szCs w:val="32"/>
          <w:highlight w:val="none"/>
          <w:lang w:val="zh-CN"/>
        </w:rPr>
        <w:t>0.00</w:t>
      </w:r>
      <w:r>
        <w:rPr>
          <w:rFonts w:hint="eastAsia" w:ascii="Times New Roman" w:hAnsi="Times New Roman" w:eastAsia="仿宋_GB2312"/>
          <w:color w:val="auto"/>
          <w:sz w:val="32"/>
          <w:szCs w:val="32"/>
          <w:highlight w:val="none"/>
        </w:rPr>
        <w:t>万元，占</w:t>
      </w:r>
      <w:r>
        <w:rPr>
          <w:rFonts w:hint="eastAsia" w:ascii="Times New Roman" w:hAnsi="Times New Roman" w:eastAsia="仿宋_GB2312"/>
          <w:color w:val="auto"/>
          <w:sz w:val="32"/>
          <w:szCs w:val="32"/>
          <w:highlight w:val="none"/>
          <w:lang w:val="zh-CN"/>
        </w:rPr>
        <w:t>0.00</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w:t>
      </w:r>
      <w:r>
        <w:rPr>
          <w:rFonts w:hint="eastAsia" w:ascii="Times New Roman" w:hAnsi="Times New Roman" w:eastAsia="仿宋_GB2312"/>
          <w:color w:val="auto"/>
          <w:sz w:val="32"/>
          <w:szCs w:val="32"/>
          <w:highlight w:val="none"/>
          <w:lang w:eastAsia="zh-CN"/>
        </w:rPr>
        <w:t>附属单位上缴收入</w:t>
      </w:r>
      <w:r>
        <w:rPr>
          <w:rFonts w:hint="eastAsia" w:ascii="Times New Roman" w:hAnsi="Times New Roman" w:eastAsia="仿宋_GB2312"/>
          <w:color w:val="auto"/>
          <w:sz w:val="32"/>
          <w:szCs w:val="32"/>
          <w:highlight w:val="none"/>
          <w:lang w:val="zh-CN"/>
        </w:rPr>
        <w:t>0.00</w:t>
      </w:r>
      <w:r>
        <w:rPr>
          <w:rFonts w:hint="eastAsia" w:ascii="Times New Roman" w:hAnsi="Times New Roman" w:eastAsia="仿宋_GB2312"/>
          <w:color w:val="auto"/>
          <w:sz w:val="32"/>
          <w:szCs w:val="32"/>
          <w:highlight w:val="none"/>
        </w:rPr>
        <w:t>万元，占</w:t>
      </w:r>
      <w:r>
        <w:rPr>
          <w:rFonts w:hint="eastAsia" w:ascii="Times New Roman" w:hAnsi="Times New Roman" w:eastAsia="仿宋_GB2312"/>
          <w:color w:val="auto"/>
          <w:sz w:val="32"/>
          <w:szCs w:val="32"/>
          <w:highlight w:val="none"/>
          <w:lang w:val="zh-CN"/>
        </w:rPr>
        <w:t>0.00</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；其他收入</w:t>
      </w:r>
      <w:r>
        <w:rPr>
          <w:rFonts w:hint="eastAsia" w:ascii="Times New Roman" w:hAnsi="Times New Roman" w:eastAsia="仿宋_GB2312"/>
          <w:color w:val="auto"/>
          <w:sz w:val="32"/>
          <w:szCs w:val="32"/>
          <w:highlight w:val="none"/>
          <w:lang w:val="zh-CN"/>
        </w:rPr>
        <w:t>674.20</w:t>
      </w:r>
      <w:r>
        <w:rPr>
          <w:rFonts w:hint="eastAsia" w:ascii="Times New Roman" w:hAnsi="Times New Roman" w:eastAsia="仿宋_GB2312"/>
          <w:color w:val="auto"/>
          <w:sz w:val="32"/>
          <w:szCs w:val="32"/>
          <w:highlight w:val="none"/>
        </w:rPr>
        <w:t>万元，占</w:t>
      </w:r>
      <w:r>
        <w:rPr>
          <w:rFonts w:hint="eastAsia" w:ascii="Times New Roman" w:hAnsi="Times New Roman" w:eastAsia="仿宋_GB2312"/>
          <w:color w:val="auto"/>
          <w:sz w:val="32"/>
          <w:szCs w:val="32"/>
          <w:highlight w:val="none"/>
          <w:lang w:val="zh-CN"/>
        </w:rPr>
        <w:t>6.11</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宋体"/>
          <w:bCs/>
          <w:color w:val="auto"/>
          <w:kern w:val="0"/>
          <w:sz w:val="32"/>
          <w:szCs w:val="32"/>
          <w:highlight w:val="none"/>
          <w:lang w:eastAsia="zh-CN"/>
        </w:rPr>
      </w:pPr>
      <w:bookmarkStart w:id="12" w:name="_Toc27961"/>
      <w:bookmarkStart w:id="13" w:name="_Toc13201"/>
      <w:r>
        <w:rPr>
          <w:rFonts w:hint="eastAsia" w:ascii="Times New Roman" w:hAnsi="Times New Roman"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本年支出10,821.40万元，其中：基本支出850.24万元，占7.86%；项目支出9,971.15万元，占92.14%；上缴上级支出0.00万元，占0.00%；经营支出0.00万元，占0.00%；对附属单位补助支出0.00万元，占0.00%。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宋体"/>
          <w:bCs/>
          <w:color w:val="auto"/>
          <w:kern w:val="0"/>
          <w:sz w:val="32"/>
          <w:szCs w:val="32"/>
          <w:highlight w:val="none"/>
          <w:lang w:eastAsia="zh-CN"/>
        </w:rPr>
      </w:pPr>
      <w:bookmarkStart w:id="14" w:name="_Toc26564"/>
      <w:bookmarkStart w:id="15" w:name="_Toc4393"/>
      <w:r>
        <w:rPr>
          <w:rFonts w:hint="eastAsia" w:ascii="Times New Roman" w:hAnsi="Times New Roman"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olor w:val="auto"/>
          <w:spacing w:val="0"/>
          <w:sz w:val="32"/>
          <w:szCs w:val="32"/>
          <w:highlight w:val="none"/>
          <w:lang w:eastAsia="zh-CN"/>
        </w:rPr>
      </w:pPr>
      <w:r>
        <w:rPr>
          <w:rFonts w:hint="eastAsia" w:ascii="Times New Roman" w:hAnsi="Times New Roman" w:eastAsia="仿宋_GB2312"/>
          <w:color w:val="auto"/>
          <w:spacing w:val="0"/>
          <w:sz w:val="32"/>
          <w:szCs w:val="32"/>
          <w:highlight w:val="none"/>
          <w:lang w:eastAsia="zh-CN"/>
        </w:rPr>
        <w:t>2023年度财政拨款收入</w:t>
      </w:r>
      <w:r>
        <w:rPr>
          <w:rFonts w:hint="eastAsia" w:ascii="Times New Roman" w:hAnsi="Times New Roman" w:eastAsia="仿宋_GB2312"/>
          <w:color w:val="auto"/>
          <w:spacing w:val="0"/>
          <w:sz w:val="32"/>
          <w:szCs w:val="32"/>
          <w:highlight w:val="none"/>
          <w:lang w:val="en-US" w:eastAsia="zh-CN"/>
        </w:rPr>
        <w:t>总计</w:t>
      </w:r>
      <w:r>
        <w:rPr>
          <w:rFonts w:hint="eastAsia" w:ascii="Times New Roman" w:hAnsi="Times New Roman" w:eastAsia="仿宋_GB2312"/>
          <w:color w:val="auto"/>
          <w:spacing w:val="0"/>
          <w:sz w:val="32"/>
          <w:szCs w:val="32"/>
          <w:highlight w:val="none"/>
          <w:lang w:val="zh-CN" w:eastAsia="zh-CN"/>
        </w:rPr>
        <w:t>10,358.07</w:t>
      </w:r>
      <w:r>
        <w:rPr>
          <w:rFonts w:hint="eastAsia" w:ascii="Times New Roman" w:hAnsi="Times New Roman" w:eastAsia="仿宋_GB2312"/>
          <w:color w:val="auto"/>
          <w:spacing w:val="0"/>
          <w:sz w:val="32"/>
          <w:szCs w:val="32"/>
          <w:highlight w:val="none"/>
          <w:lang w:eastAsia="zh-CN"/>
        </w:rPr>
        <w:t>万元，</w:t>
      </w:r>
      <w:r>
        <w:rPr>
          <w:rFonts w:hint="eastAsia" w:ascii="Times New Roman" w:hAnsi="Times New Roman" w:eastAsia="仿宋_GB2312"/>
          <w:color w:val="auto"/>
          <w:spacing w:val="0"/>
          <w:sz w:val="32"/>
          <w:szCs w:val="32"/>
          <w:highlight w:val="none"/>
          <w:lang w:val="en-US" w:eastAsia="zh-CN"/>
        </w:rPr>
        <w:t>其中：年初财政拨款结转和结余</w:t>
      </w:r>
      <w:r>
        <w:rPr>
          <w:rFonts w:hint="eastAsia" w:ascii="Times New Roman" w:hAnsi="Times New Roman" w:eastAsia="仿宋_GB2312"/>
          <w:color w:val="auto"/>
          <w:spacing w:val="0"/>
          <w:sz w:val="32"/>
          <w:szCs w:val="32"/>
          <w:highlight w:val="none"/>
          <w:lang w:val="zh-CN" w:eastAsia="zh-CN"/>
        </w:rPr>
        <w:t>0.00</w:t>
      </w:r>
      <w:r>
        <w:rPr>
          <w:rFonts w:hint="eastAsia" w:ascii="Times New Roman" w:hAnsi="Times New Roman" w:eastAsia="仿宋_GB2312"/>
          <w:color w:val="auto"/>
          <w:spacing w:val="0"/>
          <w:sz w:val="32"/>
          <w:szCs w:val="32"/>
          <w:highlight w:val="none"/>
          <w:lang w:eastAsia="zh-CN"/>
        </w:rPr>
        <w:t>万元，</w:t>
      </w:r>
      <w:r>
        <w:rPr>
          <w:rFonts w:hint="eastAsia" w:ascii="Times New Roman" w:hAnsi="Times New Roman" w:eastAsia="仿宋_GB2312"/>
          <w:color w:val="auto"/>
          <w:spacing w:val="0"/>
          <w:sz w:val="32"/>
          <w:szCs w:val="32"/>
          <w:highlight w:val="none"/>
          <w:lang w:val="en-US" w:eastAsia="zh-CN"/>
        </w:rPr>
        <w:t>本年财政拨款收入</w:t>
      </w:r>
      <w:r>
        <w:rPr>
          <w:rFonts w:hint="eastAsia" w:ascii="Times New Roman" w:hAnsi="Times New Roman" w:eastAsia="仿宋_GB2312"/>
          <w:color w:val="auto"/>
          <w:spacing w:val="0"/>
          <w:sz w:val="32"/>
          <w:szCs w:val="32"/>
          <w:highlight w:val="none"/>
          <w:lang w:val="zh-CN" w:eastAsia="zh-CN"/>
        </w:rPr>
        <w:t>10,358.07</w:t>
      </w:r>
      <w:r>
        <w:rPr>
          <w:rFonts w:hint="eastAsia" w:ascii="Times New Roman" w:hAnsi="Times New Roman" w:eastAsia="仿宋_GB2312"/>
          <w:color w:val="auto"/>
          <w:spacing w:val="0"/>
          <w:sz w:val="32"/>
          <w:szCs w:val="32"/>
          <w:highlight w:val="none"/>
          <w:lang w:eastAsia="zh-CN"/>
        </w:rPr>
        <w:t>万元。财政拨款支出</w:t>
      </w:r>
      <w:r>
        <w:rPr>
          <w:rFonts w:hint="eastAsia" w:ascii="Times New Roman" w:hAnsi="Times New Roman" w:eastAsia="仿宋_GB2312"/>
          <w:color w:val="auto"/>
          <w:spacing w:val="0"/>
          <w:sz w:val="32"/>
          <w:szCs w:val="32"/>
          <w:highlight w:val="none"/>
          <w:lang w:val="en-US" w:eastAsia="zh-CN"/>
        </w:rPr>
        <w:t>总计</w:t>
      </w:r>
      <w:r>
        <w:rPr>
          <w:rFonts w:hint="eastAsia" w:ascii="Times New Roman" w:hAnsi="Times New Roman" w:eastAsia="仿宋_GB2312"/>
          <w:color w:val="auto"/>
          <w:spacing w:val="0"/>
          <w:sz w:val="32"/>
          <w:szCs w:val="32"/>
          <w:highlight w:val="none"/>
          <w:lang w:val="zh-CN" w:eastAsia="zh-CN"/>
        </w:rPr>
        <w:t>10,358.07</w:t>
      </w:r>
      <w:r>
        <w:rPr>
          <w:rFonts w:hint="eastAsia" w:ascii="Times New Roman" w:hAnsi="Times New Roman" w:eastAsia="仿宋_GB2312"/>
          <w:color w:val="auto"/>
          <w:spacing w:val="0"/>
          <w:sz w:val="32"/>
          <w:szCs w:val="32"/>
          <w:highlight w:val="none"/>
          <w:lang w:eastAsia="zh-CN"/>
        </w:rPr>
        <w:t>万元，</w:t>
      </w:r>
      <w:r>
        <w:rPr>
          <w:rFonts w:hint="eastAsia" w:ascii="Times New Roman" w:hAnsi="Times New Roman" w:eastAsia="仿宋_GB2312"/>
          <w:color w:val="auto"/>
          <w:spacing w:val="0"/>
          <w:sz w:val="32"/>
          <w:szCs w:val="32"/>
          <w:highlight w:val="none"/>
          <w:lang w:val="en-US" w:eastAsia="zh-CN"/>
        </w:rPr>
        <w:t>其中：年末财政拨款结转和结余</w:t>
      </w:r>
      <w:r>
        <w:rPr>
          <w:rFonts w:hint="eastAsia" w:ascii="Times New Roman" w:hAnsi="Times New Roman" w:eastAsia="仿宋_GB2312"/>
          <w:color w:val="auto"/>
          <w:spacing w:val="0"/>
          <w:sz w:val="32"/>
          <w:szCs w:val="32"/>
          <w:highlight w:val="none"/>
          <w:lang w:val="zh-CN" w:eastAsia="zh-CN"/>
        </w:rPr>
        <w:t>0.00</w:t>
      </w:r>
      <w:r>
        <w:rPr>
          <w:rFonts w:hint="eastAsia" w:ascii="Times New Roman" w:hAnsi="Times New Roman" w:eastAsia="仿宋_GB2312"/>
          <w:color w:val="auto"/>
          <w:spacing w:val="0"/>
          <w:sz w:val="32"/>
          <w:szCs w:val="32"/>
          <w:highlight w:val="none"/>
          <w:lang w:eastAsia="zh-CN"/>
        </w:rPr>
        <w:t>万元，</w:t>
      </w:r>
      <w:r>
        <w:rPr>
          <w:rFonts w:hint="eastAsia" w:ascii="Times New Roman" w:hAnsi="Times New Roman" w:eastAsia="仿宋_GB2312"/>
          <w:color w:val="auto"/>
          <w:spacing w:val="0"/>
          <w:sz w:val="32"/>
          <w:szCs w:val="32"/>
          <w:highlight w:val="none"/>
          <w:lang w:val="en-US" w:eastAsia="zh-CN"/>
        </w:rPr>
        <w:t>本年财政拨款支出</w:t>
      </w:r>
      <w:r>
        <w:rPr>
          <w:rFonts w:hint="eastAsia" w:ascii="Times New Roman" w:hAnsi="Times New Roman" w:eastAsia="仿宋_GB2312"/>
          <w:color w:val="auto"/>
          <w:spacing w:val="0"/>
          <w:sz w:val="32"/>
          <w:szCs w:val="32"/>
          <w:highlight w:val="none"/>
          <w:lang w:val="zh-CN" w:eastAsia="zh-CN"/>
        </w:rPr>
        <w:t>10,358.07</w:t>
      </w:r>
      <w:r>
        <w:rPr>
          <w:rFonts w:hint="eastAsia" w:ascii="Times New Roman" w:hAnsi="Times New Roman"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olor w:val="auto"/>
          <w:spacing w:val="0"/>
          <w:sz w:val="32"/>
          <w:szCs w:val="32"/>
          <w:highlight w:val="none"/>
          <w:lang w:eastAsia="zh-CN"/>
        </w:rPr>
      </w:pPr>
      <w:r>
        <w:rPr>
          <w:rFonts w:hint="eastAsia" w:ascii="Times New Roman" w:hAnsi="Times New Roman" w:eastAsia="仿宋_GB2312"/>
          <w:color w:val="auto"/>
          <w:spacing w:val="0"/>
          <w:sz w:val="32"/>
          <w:szCs w:val="32"/>
          <w:highlight w:val="none"/>
          <w:lang w:eastAsia="zh-CN"/>
        </w:rPr>
        <w:t>财政拨款收入支出总体与上年相比</w:t>
      </w:r>
      <w:r>
        <w:rPr>
          <w:rFonts w:hint="eastAsia" w:ascii="Times New Roman" w:hAnsi="Times New Roman" w:eastAsia="仿宋_GB2312"/>
          <w:color w:val="auto"/>
          <w:spacing w:val="0"/>
          <w:sz w:val="32"/>
          <w:szCs w:val="32"/>
          <w:highlight w:val="none"/>
          <w:lang w:val="en-US" w:eastAsia="zh-CN"/>
        </w:rPr>
        <w:t>,</w:t>
      </w:r>
      <w:r>
        <w:rPr>
          <w:rFonts w:hint="eastAsia" w:ascii="Times New Roman" w:hAnsi="Times New Roman" w:eastAsia="仿宋_GB2312"/>
          <w:color w:val="auto"/>
          <w:spacing w:val="0"/>
          <w:sz w:val="32"/>
          <w:szCs w:val="32"/>
          <w:highlight w:val="none"/>
          <w:lang w:val="zh-CN" w:eastAsia="zh-CN"/>
        </w:rPr>
        <w:t>增加</w:t>
      </w:r>
      <w:r>
        <w:rPr>
          <w:rFonts w:hint="eastAsia" w:ascii="Times New Roman" w:hAnsi="Times New Roman" w:eastAsia="仿宋_GB2312"/>
          <w:color w:val="auto"/>
          <w:spacing w:val="0"/>
          <w:sz w:val="32"/>
          <w:szCs w:val="32"/>
          <w:highlight w:val="none"/>
          <w:lang w:val="en-US" w:eastAsia="zh-CN"/>
        </w:rPr>
        <w:t>2023.31</w:t>
      </w:r>
      <w:r>
        <w:rPr>
          <w:rFonts w:hint="eastAsia" w:ascii="Times New Roman" w:hAnsi="Times New Roman" w:eastAsia="仿宋_GB2312"/>
          <w:color w:val="auto"/>
          <w:spacing w:val="0"/>
          <w:sz w:val="32"/>
          <w:szCs w:val="32"/>
          <w:highlight w:val="none"/>
          <w:lang w:val="zh-CN" w:eastAsia="zh-CN"/>
        </w:rPr>
        <w:t>万元</w:t>
      </w:r>
      <w:r>
        <w:rPr>
          <w:rFonts w:hint="eastAsia" w:ascii="Times New Roman" w:hAnsi="Times New Roman" w:eastAsia="仿宋_GB2312"/>
          <w:color w:val="auto"/>
          <w:spacing w:val="0"/>
          <w:sz w:val="32"/>
          <w:szCs w:val="32"/>
          <w:highlight w:val="none"/>
          <w:lang w:eastAsia="zh-CN"/>
        </w:rPr>
        <w:t>，</w:t>
      </w:r>
      <w:r>
        <w:rPr>
          <w:rFonts w:hint="eastAsia" w:ascii="Times New Roman" w:hAnsi="Times New Roman" w:eastAsia="仿宋_GB2312"/>
          <w:color w:val="auto"/>
          <w:spacing w:val="0"/>
          <w:sz w:val="32"/>
          <w:szCs w:val="32"/>
          <w:highlight w:val="none"/>
          <w:lang w:val="zh-CN" w:eastAsia="zh-CN"/>
        </w:rPr>
        <w:t>增长</w:t>
      </w:r>
      <w:r>
        <w:rPr>
          <w:rFonts w:hint="eastAsia" w:eastAsia="仿宋_GB2312"/>
          <w:color w:val="auto"/>
          <w:spacing w:val="0"/>
          <w:sz w:val="32"/>
          <w:szCs w:val="32"/>
          <w:highlight w:val="none"/>
          <w:lang w:val="en-US" w:eastAsia="zh-CN"/>
        </w:rPr>
        <w:t>24.28</w:t>
      </w:r>
      <w:r>
        <w:rPr>
          <w:rFonts w:hint="eastAsia" w:ascii="Times New Roman" w:hAnsi="Times New Roman" w:eastAsia="仿宋_GB2312"/>
          <w:color w:val="auto"/>
          <w:spacing w:val="0"/>
          <w:sz w:val="32"/>
          <w:szCs w:val="32"/>
          <w:highlight w:val="none"/>
          <w:lang w:val="zh-CN" w:eastAsia="zh-CN"/>
        </w:rPr>
        <w:t>%，</w:t>
      </w:r>
      <w:r>
        <w:rPr>
          <w:rFonts w:hint="eastAsia" w:ascii="Times New Roman" w:hAnsi="Times New Roman" w:eastAsia="仿宋_GB2312"/>
          <w:color w:val="auto"/>
          <w:spacing w:val="0"/>
          <w:sz w:val="32"/>
          <w:szCs w:val="32"/>
          <w:highlight w:val="none"/>
          <w:lang w:eastAsia="zh-CN"/>
        </w:rPr>
        <w:t>主要原因是：本年度自主就业退役士兵的一次性经济补助支出和义务兵家庭优待支出以及优抚对象补助支出较上年增加较多以及本年新接收军队离退休干部</w:t>
      </w:r>
      <w:r>
        <w:rPr>
          <w:rFonts w:hint="eastAsia" w:ascii="Times New Roman" w:hAnsi="Times New Roman" w:eastAsia="仿宋_GB2312"/>
          <w:color w:val="auto"/>
          <w:spacing w:val="0"/>
          <w:sz w:val="32"/>
          <w:szCs w:val="32"/>
          <w:highlight w:val="none"/>
          <w:lang w:val="en-US" w:eastAsia="zh-CN"/>
        </w:rPr>
        <w:t>18人，相应经费增加</w:t>
      </w:r>
      <w:r>
        <w:rPr>
          <w:rFonts w:hint="eastAsia" w:ascii="Times New Roman" w:hAnsi="Times New Roman"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olor w:val="auto"/>
          <w:spacing w:val="0"/>
          <w:sz w:val="32"/>
          <w:szCs w:val="32"/>
          <w:highlight w:val="none"/>
          <w:lang w:val="en-US" w:eastAsia="zh-CN"/>
        </w:rPr>
      </w:pPr>
      <w:r>
        <w:rPr>
          <w:rFonts w:hint="eastAsia" w:ascii="Times New Roman" w:hAnsi="Times New Roman" w:eastAsia="仿宋_GB2312"/>
          <w:color w:val="auto"/>
          <w:spacing w:val="0"/>
          <w:sz w:val="32"/>
          <w:szCs w:val="32"/>
          <w:highlight w:val="none"/>
          <w:lang w:eastAsia="zh-CN"/>
        </w:rPr>
        <w:t>与年初预算相比，年初预算数</w:t>
      </w:r>
      <w:r>
        <w:rPr>
          <w:rFonts w:hint="eastAsia" w:ascii="Times New Roman" w:hAnsi="Times New Roman" w:eastAsia="仿宋_GB2312"/>
          <w:color w:val="auto"/>
          <w:spacing w:val="0"/>
          <w:sz w:val="32"/>
          <w:szCs w:val="32"/>
          <w:highlight w:val="none"/>
          <w:lang w:val="zh-CN" w:eastAsia="zh-CN"/>
        </w:rPr>
        <w:t>10,393.79</w:t>
      </w:r>
      <w:r>
        <w:rPr>
          <w:rFonts w:hint="eastAsia" w:ascii="Times New Roman" w:hAnsi="Times New Roman" w:eastAsia="仿宋_GB2312"/>
          <w:color w:val="auto"/>
          <w:spacing w:val="0"/>
          <w:sz w:val="32"/>
          <w:szCs w:val="32"/>
          <w:highlight w:val="none"/>
          <w:lang w:eastAsia="zh-CN"/>
        </w:rPr>
        <w:t>万元，决算数</w:t>
      </w:r>
      <w:r>
        <w:rPr>
          <w:rFonts w:hint="eastAsia" w:ascii="Times New Roman" w:hAnsi="Times New Roman" w:eastAsia="仿宋_GB2312"/>
          <w:color w:val="auto"/>
          <w:spacing w:val="0"/>
          <w:sz w:val="32"/>
          <w:szCs w:val="32"/>
          <w:highlight w:val="none"/>
          <w:lang w:val="zh-CN" w:eastAsia="zh-CN"/>
        </w:rPr>
        <w:t>10,358.07</w:t>
      </w:r>
      <w:r>
        <w:rPr>
          <w:rFonts w:hint="eastAsia" w:ascii="Times New Roman" w:hAnsi="Times New Roman" w:eastAsia="仿宋_GB2312"/>
          <w:color w:val="auto"/>
          <w:spacing w:val="0"/>
          <w:sz w:val="32"/>
          <w:szCs w:val="32"/>
          <w:highlight w:val="none"/>
          <w:lang w:eastAsia="zh-CN"/>
        </w:rPr>
        <w:t>万元，预决算差异率-0.34%，主要原因是：</w:t>
      </w:r>
      <w:r>
        <w:rPr>
          <w:rFonts w:hint="eastAsia" w:ascii="Times New Roman" w:hAnsi="Times New Roman" w:eastAsia="仿宋_GB2312" w:cs="Times New Roman"/>
          <w:sz w:val="32"/>
          <w:szCs w:val="32"/>
          <w:lang w:eastAsia="zh-CN"/>
        </w:rPr>
        <w:t>年初预算安排政府性基金预算支出烈士陵园项目支出率低</w:t>
      </w:r>
      <w:r>
        <w:rPr>
          <w:rFonts w:hint="eastAsia" w:ascii="Times New Roman" w:hAnsi="Times New Roman"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宋体"/>
          <w:bCs/>
          <w:color w:val="auto"/>
          <w:kern w:val="0"/>
          <w:sz w:val="32"/>
          <w:szCs w:val="32"/>
          <w:highlight w:val="none"/>
          <w:lang w:eastAsia="zh-CN"/>
        </w:rPr>
      </w:pPr>
      <w:bookmarkStart w:id="16" w:name="_Toc13833"/>
      <w:bookmarkStart w:id="17" w:name="_Toc20360"/>
      <w:r>
        <w:rPr>
          <w:rFonts w:hint="eastAsia" w:ascii="Times New Roman" w:hAnsi="Times New Roman"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Times New Roman" w:hAnsi="Times New Roman" w:eastAsia="黑体"/>
          <w:color w:val="auto"/>
          <w:sz w:val="32"/>
          <w:szCs w:val="32"/>
          <w:highlight w:val="none"/>
          <w:lang w:eastAsia="zh-CN"/>
        </w:rPr>
      </w:pPr>
      <w:r>
        <w:rPr>
          <w:rFonts w:hint="eastAsia" w:ascii="Times New Roman" w:hAnsi="Times New Roman"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olor w:val="auto"/>
          <w:spacing w:val="0"/>
          <w:sz w:val="32"/>
          <w:szCs w:val="32"/>
          <w:highlight w:val="none"/>
          <w:lang w:val="en-US" w:eastAsia="zh-CN"/>
        </w:rPr>
      </w:pPr>
      <w:r>
        <w:rPr>
          <w:rFonts w:hint="eastAsia" w:ascii="Times New Roman" w:hAnsi="Times New Roman" w:eastAsia="仿宋_GB2312"/>
          <w:color w:val="auto"/>
          <w:spacing w:val="0"/>
          <w:sz w:val="32"/>
          <w:szCs w:val="32"/>
          <w:highlight w:val="none"/>
          <w:lang w:eastAsia="zh-CN"/>
        </w:rPr>
        <w:t>2023年度一般公共预算财政拨款支出10,072.24万元，占本年支出合计的</w:t>
      </w:r>
      <w:r>
        <w:rPr>
          <w:rFonts w:hint="eastAsia" w:ascii="Times New Roman" w:hAnsi="Times New Roman" w:eastAsia="仿宋_GB2312"/>
          <w:color w:val="auto"/>
          <w:spacing w:val="0"/>
          <w:sz w:val="32"/>
          <w:szCs w:val="32"/>
          <w:highlight w:val="none"/>
          <w:lang w:val="zh-CN" w:eastAsia="zh-CN"/>
        </w:rPr>
        <w:t>93.08%</w:t>
      </w:r>
      <w:r>
        <w:rPr>
          <w:rFonts w:hint="eastAsia" w:ascii="Times New Roman" w:hAnsi="Times New Roman" w:eastAsia="仿宋_GB2312"/>
          <w:color w:val="auto"/>
          <w:spacing w:val="0"/>
          <w:sz w:val="32"/>
          <w:szCs w:val="32"/>
          <w:highlight w:val="none"/>
          <w:lang w:eastAsia="zh-CN"/>
        </w:rPr>
        <w:t>。与上年相比，</w:t>
      </w:r>
      <w:r>
        <w:rPr>
          <w:rFonts w:hint="eastAsia" w:ascii="Times New Roman" w:hAnsi="Times New Roman" w:eastAsia="仿宋_GB2312"/>
          <w:color w:val="auto"/>
          <w:spacing w:val="0"/>
          <w:sz w:val="32"/>
          <w:szCs w:val="32"/>
          <w:highlight w:val="none"/>
          <w:lang w:val="zh-CN" w:eastAsia="zh-CN"/>
        </w:rPr>
        <w:t>增加</w:t>
      </w:r>
      <w:r>
        <w:rPr>
          <w:rFonts w:hint="eastAsia" w:ascii="Times New Roman" w:hAnsi="Times New Roman" w:eastAsia="仿宋_GB2312"/>
          <w:color w:val="auto"/>
          <w:spacing w:val="0"/>
          <w:sz w:val="32"/>
          <w:szCs w:val="32"/>
          <w:highlight w:val="none"/>
          <w:lang w:val="en-US" w:eastAsia="zh-CN"/>
        </w:rPr>
        <w:t>2023.31</w:t>
      </w:r>
      <w:r>
        <w:rPr>
          <w:rFonts w:hint="eastAsia" w:ascii="Times New Roman" w:hAnsi="Times New Roman" w:eastAsia="仿宋_GB2312"/>
          <w:color w:val="auto"/>
          <w:spacing w:val="0"/>
          <w:sz w:val="32"/>
          <w:szCs w:val="32"/>
          <w:highlight w:val="none"/>
          <w:lang w:val="zh-CN" w:eastAsia="zh-CN"/>
        </w:rPr>
        <w:t>万元</w:t>
      </w:r>
      <w:r>
        <w:rPr>
          <w:rFonts w:hint="eastAsia" w:ascii="Times New Roman" w:hAnsi="Times New Roman" w:eastAsia="仿宋_GB2312"/>
          <w:color w:val="auto"/>
          <w:spacing w:val="0"/>
          <w:sz w:val="32"/>
          <w:szCs w:val="32"/>
          <w:highlight w:val="none"/>
          <w:lang w:eastAsia="zh-CN"/>
        </w:rPr>
        <w:t>，</w:t>
      </w:r>
      <w:r>
        <w:rPr>
          <w:rFonts w:hint="eastAsia" w:ascii="Times New Roman" w:hAnsi="Times New Roman" w:eastAsia="仿宋_GB2312"/>
          <w:color w:val="auto"/>
          <w:spacing w:val="0"/>
          <w:sz w:val="32"/>
          <w:szCs w:val="32"/>
          <w:highlight w:val="none"/>
          <w:lang w:val="zh-CN" w:eastAsia="zh-CN"/>
        </w:rPr>
        <w:t>增长</w:t>
      </w:r>
      <w:r>
        <w:rPr>
          <w:rFonts w:hint="eastAsia" w:ascii="Times New Roman" w:hAnsi="Times New Roman" w:eastAsia="仿宋_GB2312"/>
          <w:color w:val="auto"/>
          <w:spacing w:val="0"/>
          <w:sz w:val="32"/>
          <w:szCs w:val="32"/>
          <w:highlight w:val="none"/>
          <w:lang w:val="en-US" w:eastAsia="zh-CN"/>
        </w:rPr>
        <w:t>25.14</w:t>
      </w:r>
      <w:r>
        <w:rPr>
          <w:rFonts w:hint="eastAsia" w:ascii="Times New Roman" w:hAnsi="Times New Roman" w:eastAsia="仿宋_GB2312"/>
          <w:color w:val="auto"/>
          <w:spacing w:val="0"/>
          <w:sz w:val="32"/>
          <w:szCs w:val="32"/>
          <w:highlight w:val="none"/>
          <w:lang w:val="zh-CN" w:eastAsia="zh-CN"/>
        </w:rPr>
        <w:t>%，</w:t>
      </w:r>
      <w:r>
        <w:rPr>
          <w:rFonts w:hint="eastAsia" w:ascii="Times New Roman" w:hAnsi="Times New Roman" w:eastAsia="仿宋_GB2312"/>
          <w:color w:val="auto"/>
          <w:spacing w:val="0"/>
          <w:sz w:val="32"/>
          <w:szCs w:val="32"/>
          <w:highlight w:val="none"/>
          <w:lang w:eastAsia="zh-CN"/>
        </w:rPr>
        <w:t>主要原因是：本年度自主就业退役士兵的一次性经济补助支出和义务兵家庭优待支出以及优抚对象补助支出较上年增加较多以及本年新接收军队离退休干部</w:t>
      </w:r>
      <w:r>
        <w:rPr>
          <w:rFonts w:hint="eastAsia" w:ascii="Times New Roman" w:hAnsi="Times New Roman" w:eastAsia="仿宋_GB2312"/>
          <w:color w:val="auto"/>
          <w:spacing w:val="0"/>
          <w:sz w:val="32"/>
          <w:szCs w:val="32"/>
          <w:highlight w:val="none"/>
          <w:lang w:val="en-US" w:eastAsia="zh-CN"/>
        </w:rPr>
        <w:t>18人，相应经费增加</w:t>
      </w:r>
      <w:r>
        <w:rPr>
          <w:rFonts w:hint="eastAsia" w:ascii="Times New Roman" w:hAnsi="Times New Roman" w:eastAsia="仿宋_GB2312"/>
          <w:color w:val="auto"/>
          <w:spacing w:val="0"/>
          <w:sz w:val="32"/>
          <w:szCs w:val="32"/>
          <w:highlight w:val="none"/>
          <w:lang w:eastAsia="zh-CN"/>
        </w:rPr>
        <w:t>。与年初预算相比，年初预算数</w:t>
      </w:r>
      <w:r>
        <w:rPr>
          <w:rFonts w:hint="eastAsia" w:ascii="Times New Roman" w:hAnsi="Times New Roman" w:eastAsia="仿宋_GB2312"/>
          <w:color w:val="auto"/>
          <w:spacing w:val="0"/>
          <w:sz w:val="32"/>
          <w:szCs w:val="32"/>
          <w:highlight w:val="none"/>
          <w:lang w:val="zh-CN" w:eastAsia="zh-CN"/>
        </w:rPr>
        <w:t>9,693.79</w:t>
      </w:r>
      <w:r>
        <w:rPr>
          <w:rFonts w:hint="eastAsia" w:ascii="Times New Roman" w:hAnsi="Times New Roman" w:eastAsia="仿宋_GB2312"/>
          <w:color w:val="auto"/>
          <w:spacing w:val="0"/>
          <w:sz w:val="32"/>
          <w:szCs w:val="32"/>
          <w:highlight w:val="none"/>
          <w:lang w:eastAsia="zh-CN"/>
        </w:rPr>
        <w:t>万元，决算数</w:t>
      </w:r>
      <w:r>
        <w:rPr>
          <w:rFonts w:hint="eastAsia" w:ascii="Times New Roman" w:hAnsi="Times New Roman" w:eastAsia="仿宋_GB2312"/>
          <w:color w:val="auto"/>
          <w:spacing w:val="0"/>
          <w:sz w:val="32"/>
          <w:szCs w:val="32"/>
          <w:highlight w:val="none"/>
          <w:lang w:val="zh-CN" w:eastAsia="zh-CN"/>
        </w:rPr>
        <w:t>10,072.24</w:t>
      </w:r>
      <w:r>
        <w:rPr>
          <w:rFonts w:hint="eastAsia" w:ascii="Times New Roman" w:hAnsi="Times New Roman" w:eastAsia="仿宋_GB2312"/>
          <w:color w:val="auto"/>
          <w:spacing w:val="0"/>
          <w:sz w:val="32"/>
          <w:szCs w:val="32"/>
          <w:highlight w:val="none"/>
          <w:lang w:eastAsia="zh-CN"/>
        </w:rPr>
        <w:t>万元，预决算差异率</w:t>
      </w:r>
      <w:r>
        <w:rPr>
          <w:rFonts w:hint="eastAsia" w:ascii="Times New Roman" w:hAnsi="Times New Roman" w:eastAsia="仿宋_GB2312"/>
          <w:color w:val="auto"/>
          <w:spacing w:val="0"/>
          <w:sz w:val="32"/>
          <w:szCs w:val="32"/>
          <w:highlight w:val="none"/>
          <w:lang w:val="zh-CN" w:eastAsia="zh-CN"/>
        </w:rPr>
        <w:t>3.90%</w:t>
      </w:r>
      <w:r>
        <w:rPr>
          <w:rFonts w:hint="eastAsia" w:ascii="Times New Roman" w:hAnsi="Times New Roman" w:eastAsia="仿宋_GB2312"/>
          <w:color w:val="auto"/>
          <w:spacing w:val="0"/>
          <w:sz w:val="32"/>
          <w:szCs w:val="32"/>
          <w:highlight w:val="none"/>
          <w:lang w:eastAsia="zh-CN"/>
        </w:rPr>
        <w:t>，主要原因是：本年新接收军队离退休干部</w:t>
      </w:r>
      <w:r>
        <w:rPr>
          <w:rFonts w:hint="eastAsia" w:ascii="Times New Roman" w:hAnsi="Times New Roman" w:eastAsia="仿宋_GB2312"/>
          <w:color w:val="auto"/>
          <w:spacing w:val="0"/>
          <w:sz w:val="32"/>
          <w:szCs w:val="32"/>
          <w:highlight w:val="none"/>
          <w:lang w:val="en-US" w:eastAsia="zh-CN"/>
        </w:rPr>
        <w:t>18人，</w:t>
      </w:r>
      <w:r>
        <w:rPr>
          <w:rFonts w:hint="eastAsia" w:ascii="Times New Roman" w:hAnsi="Times New Roman" w:eastAsia="仿宋_GB2312"/>
          <w:color w:val="auto"/>
          <w:spacing w:val="0"/>
          <w:sz w:val="32"/>
          <w:szCs w:val="32"/>
          <w:highlight w:val="none"/>
          <w:lang w:eastAsia="zh-CN"/>
        </w:rPr>
        <w:t>上级退役军人事务局部门拨付军休经费增加。</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Times New Roman" w:hAnsi="Times New Roman" w:eastAsia="黑体"/>
          <w:color w:val="auto"/>
          <w:sz w:val="32"/>
          <w:szCs w:val="32"/>
          <w:highlight w:val="none"/>
          <w:lang w:eastAsia="zh-CN"/>
        </w:rPr>
      </w:pPr>
      <w:r>
        <w:rPr>
          <w:rFonts w:hint="eastAsia" w:ascii="Times New Roman" w:hAnsi="Times New Roman" w:eastAsia="黑体"/>
          <w:color w:val="auto"/>
          <w:sz w:val="32"/>
          <w:szCs w:val="32"/>
          <w:highlight w:val="none"/>
          <w:lang w:eastAsia="zh-CN"/>
        </w:rPr>
        <w:t>一般公共预算</w:t>
      </w:r>
      <w:r>
        <w:rPr>
          <w:rFonts w:hint="eastAsia" w:ascii="Times New Roman" w:hAnsi="Times New Roman" w:eastAsia="黑体"/>
          <w:color w:val="auto"/>
          <w:sz w:val="32"/>
          <w:szCs w:val="32"/>
          <w:highlight w:val="none"/>
          <w:lang w:val="en-US" w:eastAsia="zh-CN"/>
        </w:rPr>
        <w:t>财政拨款支出决算</w:t>
      </w:r>
      <w:r>
        <w:rPr>
          <w:rFonts w:hint="eastAsia" w:ascii="Times New Roman" w:hAnsi="Times New Roman" w:eastAsia="黑体"/>
          <w:color w:val="auto"/>
          <w:sz w:val="32"/>
          <w:szCs w:val="32"/>
          <w:highlight w:val="none"/>
          <w:lang w:eastAsia="zh-CN"/>
        </w:rPr>
        <w:t>结构情况</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eastAsia" w:ascii="Times New Roman" w:hAnsi="Times New Roman" w:eastAsia="仿宋_GB2312" w:cs="Times New Roman"/>
          <w:color w:val="auto"/>
          <w:spacing w:val="0"/>
          <w:kern w:val="2"/>
          <w:sz w:val="32"/>
          <w:szCs w:val="32"/>
          <w:lang w:val="en-US" w:eastAsia="zh-CN" w:bidi="ar-SA"/>
        </w:rPr>
        <w:t>1</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教育支出（类）</w:t>
      </w:r>
      <w:r>
        <w:rPr>
          <w:rFonts w:hint="eastAsia" w:ascii="Times New Roman" w:hAnsi="Times New Roman" w:eastAsia="仿宋_GB2312" w:cs="Times New Roman"/>
          <w:color w:val="auto"/>
          <w:spacing w:val="0"/>
          <w:kern w:val="2"/>
          <w:sz w:val="32"/>
          <w:szCs w:val="32"/>
          <w:highlight w:val="none"/>
          <w:lang w:val="zh-CN" w:eastAsia="zh-CN" w:bidi="ar-SA"/>
        </w:rPr>
        <w:t>0.79</w:t>
      </w:r>
      <w:r>
        <w:rPr>
          <w:rFonts w:hint="default" w:ascii="Times New Roman" w:hAnsi="Times New Roman" w:eastAsia="仿宋_GB2312" w:cs="Times New Roman"/>
          <w:color w:val="auto"/>
          <w:spacing w:val="0"/>
          <w:kern w:val="2"/>
          <w:sz w:val="32"/>
          <w:szCs w:val="32"/>
          <w:highlight w:val="none"/>
          <w:lang w:val="zh-CN" w:eastAsia="zh-CN" w:bidi="ar-SA"/>
        </w:rPr>
        <w:t>万元，占</w:t>
      </w:r>
      <w:r>
        <w:rPr>
          <w:rFonts w:hint="eastAsia" w:ascii="Times New Roman" w:hAnsi="Times New Roman" w:eastAsia="仿宋_GB2312" w:cs="Times New Roman"/>
          <w:color w:val="auto"/>
          <w:spacing w:val="0"/>
          <w:kern w:val="2"/>
          <w:sz w:val="32"/>
          <w:szCs w:val="32"/>
          <w:highlight w:val="none"/>
          <w:lang w:val="zh-CN" w:eastAsia="zh-CN" w:bidi="ar-SA"/>
        </w:rPr>
        <w:t>0.01</w:t>
      </w:r>
      <w:r>
        <w:rPr>
          <w:rFonts w:hint="default" w:ascii="Times New Roman" w:hAnsi="Times New Roman" w:eastAsia="仿宋_GB2312" w:cs="Times New Roman"/>
          <w:color w:val="auto"/>
          <w:spacing w:val="0"/>
          <w:kern w:val="2"/>
          <w:sz w:val="32"/>
          <w:szCs w:val="32"/>
          <w:highlight w:val="none"/>
          <w:lang w:val="zh-CN" w:eastAsia="zh-CN" w:bidi="ar-SA"/>
        </w:rPr>
        <w:t>%；</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eastAsia" w:ascii="Times New Roman" w:hAnsi="Times New Roman" w:eastAsia="仿宋_GB2312" w:cs="Times New Roman"/>
          <w:color w:val="auto"/>
          <w:spacing w:val="0"/>
          <w:kern w:val="2"/>
          <w:sz w:val="32"/>
          <w:szCs w:val="32"/>
          <w:lang w:val="en-US" w:eastAsia="zh-CN" w:bidi="ar-SA"/>
        </w:rPr>
        <w:t>2</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社会保障和就业支出（类）</w:t>
      </w:r>
      <w:r>
        <w:rPr>
          <w:rFonts w:hint="eastAsia" w:ascii="Times New Roman" w:hAnsi="Times New Roman" w:eastAsia="仿宋_GB2312" w:cs="Times New Roman"/>
          <w:color w:val="auto"/>
          <w:spacing w:val="0"/>
          <w:kern w:val="2"/>
          <w:sz w:val="32"/>
          <w:szCs w:val="32"/>
          <w:highlight w:val="none"/>
          <w:lang w:val="zh-CN" w:eastAsia="zh-CN" w:bidi="ar-SA"/>
        </w:rPr>
        <w:t>10,030.97</w:t>
      </w:r>
      <w:r>
        <w:rPr>
          <w:rFonts w:hint="default" w:ascii="Times New Roman" w:hAnsi="Times New Roman" w:eastAsia="仿宋_GB2312" w:cs="Times New Roman"/>
          <w:color w:val="auto"/>
          <w:spacing w:val="0"/>
          <w:kern w:val="2"/>
          <w:sz w:val="32"/>
          <w:szCs w:val="32"/>
          <w:highlight w:val="none"/>
          <w:lang w:val="zh-CN" w:eastAsia="zh-CN" w:bidi="ar-SA"/>
        </w:rPr>
        <w:t>万元，占</w:t>
      </w:r>
      <w:r>
        <w:rPr>
          <w:rFonts w:hint="eastAsia" w:ascii="Times New Roman" w:hAnsi="Times New Roman" w:eastAsia="仿宋_GB2312" w:cs="Times New Roman"/>
          <w:color w:val="auto"/>
          <w:spacing w:val="0"/>
          <w:kern w:val="2"/>
          <w:sz w:val="32"/>
          <w:szCs w:val="32"/>
          <w:highlight w:val="none"/>
          <w:lang w:val="zh-CN" w:eastAsia="zh-CN" w:bidi="ar-SA"/>
        </w:rPr>
        <w:t>99.59</w:t>
      </w:r>
      <w:r>
        <w:rPr>
          <w:rFonts w:hint="default" w:ascii="Times New Roman" w:hAnsi="Times New Roman" w:eastAsia="仿宋_GB2312" w:cs="Times New Roman"/>
          <w:color w:val="auto"/>
          <w:spacing w:val="0"/>
          <w:kern w:val="2"/>
          <w:sz w:val="32"/>
          <w:szCs w:val="32"/>
          <w:highlight w:val="none"/>
          <w:lang w:val="zh-CN" w:eastAsia="zh-CN" w:bidi="ar-SA"/>
        </w:rPr>
        <w:t>%；</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eastAsia" w:ascii="Times New Roman" w:hAnsi="Times New Roman" w:eastAsia="仿宋_GB2312" w:cs="Times New Roman"/>
          <w:color w:val="auto"/>
          <w:spacing w:val="0"/>
          <w:kern w:val="2"/>
          <w:sz w:val="32"/>
          <w:szCs w:val="32"/>
          <w:lang w:val="en-US" w:eastAsia="zh-CN" w:bidi="ar-SA"/>
        </w:rPr>
        <w:t>3</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卫生健康支出（类）</w:t>
      </w:r>
      <w:r>
        <w:rPr>
          <w:rFonts w:hint="eastAsia" w:ascii="Times New Roman" w:hAnsi="Times New Roman" w:eastAsia="仿宋_GB2312" w:cs="Times New Roman"/>
          <w:color w:val="auto"/>
          <w:spacing w:val="0"/>
          <w:kern w:val="2"/>
          <w:sz w:val="32"/>
          <w:szCs w:val="32"/>
          <w:highlight w:val="none"/>
          <w:lang w:val="zh-CN" w:eastAsia="zh-CN" w:bidi="ar-SA"/>
        </w:rPr>
        <w:t>22.24</w:t>
      </w:r>
      <w:r>
        <w:rPr>
          <w:rFonts w:hint="default" w:ascii="Times New Roman" w:hAnsi="Times New Roman" w:eastAsia="仿宋_GB2312" w:cs="Times New Roman"/>
          <w:color w:val="auto"/>
          <w:spacing w:val="0"/>
          <w:kern w:val="2"/>
          <w:sz w:val="32"/>
          <w:szCs w:val="32"/>
          <w:highlight w:val="none"/>
          <w:lang w:val="zh-CN" w:eastAsia="zh-CN" w:bidi="ar-SA"/>
        </w:rPr>
        <w:t>万元，占</w:t>
      </w:r>
      <w:r>
        <w:rPr>
          <w:rFonts w:hint="eastAsia" w:ascii="Times New Roman" w:hAnsi="Times New Roman" w:eastAsia="仿宋_GB2312" w:cs="Times New Roman"/>
          <w:color w:val="auto"/>
          <w:spacing w:val="0"/>
          <w:kern w:val="2"/>
          <w:sz w:val="32"/>
          <w:szCs w:val="32"/>
          <w:highlight w:val="none"/>
          <w:lang w:val="zh-CN" w:eastAsia="zh-CN" w:bidi="ar-SA"/>
        </w:rPr>
        <w:t>0.22</w:t>
      </w:r>
      <w:r>
        <w:rPr>
          <w:rFonts w:hint="default" w:ascii="Times New Roman" w:hAnsi="Times New Roman" w:eastAsia="仿宋_GB2312" w:cs="Times New Roman"/>
          <w:color w:val="auto"/>
          <w:spacing w:val="0"/>
          <w:kern w:val="2"/>
          <w:sz w:val="32"/>
          <w:szCs w:val="32"/>
          <w:highlight w:val="none"/>
          <w:lang w:val="zh-CN" w:eastAsia="zh-CN" w:bidi="ar-SA"/>
        </w:rPr>
        <w:t>%；</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eastAsia" w:ascii="Times New Roman" w:hAnsi="Times New Roman" w:eastAsia="仿宋_GB2312" w:cs="Times New Roman"/>
          <w:color w:val="auto"/>
          <w:spacing w:val="0"/>
          <w:kern w:val="2"/>
          <w:sz w:val="32"/>
          <w:szCs w:val="32"/>
          <w:lang w:val="en-US" w:eastAsia="zh-CN" w:bidi="ar-SA"/>
        </w:rPr>
        <w:t>4</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住房保障支出（类）</w:t>
      </w:r>
      <w:r>
        <w:rPr>
          <w:rFonts w:hint="eastAsia" w:ascii="Times New Roman" w:hAnsi="Times New Roman" w:eastAsia="仿宋_GB2312" w:cs="Times New Roman"/>
          <w:color w:val="auto"/>
          <w:spacing w:val="0"/>
          <w:kern w:val="2"/>
          <w:sz w:val="32"/>
          <w:szCs w:val="32"/>
          <w:highlight w:val="none"/>
          <w:lang w:val="zh-CN" w:eastAsia="zh-CN" w:bidi="ar-SA"/>
        </w:rPr>
        <w:t>18.23</w:t>
      </w:r>
      <w:r>
        <w:rPr>
          <w:rFonts w:hint="default" w:ascii="Times New Roman" w:hAnsi="Times New Roman" w:eastAsia="仿宋_GB2312" w:cs="Times New Roman"/>
          <w:color w:val="auto"/>
          <w:spacing w:val="0"/>
          <w:kern w:val="2"/>
          <w:sz w:val="32"/>
          <w:szCs w:val="32"/>
          <w:highlight w:val="none"/>
          <w:lang w:val="zh-CN" w:eastAsia="zh-CN" w:bidi="ar-SA"/>
        </w:rPr>
        <w:t>万元，占</w:t>
      </w:r>
      <w:r>
        <w:rPr>
          <w:rFonts w:hint="eastAsia" w:ascii="Times New Roman" w:hAnsi="Times New Roman" w:eastAsia="仿宋_GB2312" w:cs="Times New Roman"/>
          <w:color w:val="auto"/>
          <w:spacing w:val="0"/>
          <w:kern w:val="2"/>
          <w:sz w:val="32"/>
          <w:szCs w:val="32"/>
          <w:highlight w:val="none"/>
          <w:lang w:val="zh-CN" w:eastAsia="zh-CN" w:bidi="ar-SA"/>
        </w:rPr>
        <w:t>0.18</w:t>
      </w:r>
      <w:r>
        <w:rPr>
          <w:rFonts w:hint="default" w:ascii="Times New Roman"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Times New Roman" w:hAnsi="Times New Roman" w:eastAsia="黑体"/>
          <w:color w:val="auto"/>
          <w:sz w:val="32"/>
          <w:szCs w:val="32"/>
          <w:highlight w:val="none"/>
          <w:lang w:eastAsia="zh-CN"/>
        </w:rPr>
      </w:pPr>
      <w:r>
        <w:rPr>
          <w:rFonts w:hint="eastAsia" w:ascii="Times New Roman" w:hAnsi="Times New Roman"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w:t>
      </w:r>
      <w:r>
        <w:rPr>
          <w:rFonts w:hint="eastAsia" w:ascii="Times New Roman" w:hAnsi="Times New Roman" w:eastAsia="仿宋_GB2312" w:cs="Times New Roman"/>
          <w:color w:val="auto"/>
          <w:kern w:val="2"/>
          <w:sz w:val="32"/>
          <w:szCs w:val="32"/>
          <w:highlight w:val="none"/>
          <w:lang w:val="en-US" w:eastAsia="zh-CN" w:bidi="ar-SA"/>
        </w:rPr>
        <w:t>.教育支出（类）进修及培训（款）培训支出（项）:支出决算数为0.79万元，比上年决算增加0.14万元，增长</w:t>
      </w:r>
      <w:r>
        <w:rPr>
          <w:rFonts w:hint="eastAsia" w:eastAsia="仿宋_GB2312" w:cs="Times New Roman"/>
          <w:color w:val="auto"/>
          <w:kern w:val="2"/>
          <w:sz w:val="32"/>
          <w:szCs w:val="32"/>
          <w:highlight w:val="none"/>
          <w:lang w:val="en-US" w:eastAsia="zh-CN" w:bidi="ar-SA"/>
        </w:rPr>
        <w:t>21.54</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Times New Roman" w:hAnsi="Times New Roman" w:eastAsia="仿宋_GB2312" w:cs="Times New Roman"/>
          <w:color w:val="auto"/>
          <w:kern w:val="2"/>
          <w:sz w:val="32"/>
          <w:szCs w:val="32"/>
          <w:highlight w:val="none"/>
          <w:lang w:val="zh-CN" w:eastAsia="zh-CN" w:bidi="ar-SA"/>
        </w:rPr>
        <w:t>退役军人系统组织各类培训增加。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2</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.社会保障和就业支出（类）行政事业单位养老支出（款）机关事业单位基本养老保险缴费支出（项）:支出决算数为23.67万元，比上年决算增加6.32万元，增长36.42%，主要原因是：</w:t>
      </w:r>
      <w:r>
        <w:rPr>
          <w:rFonts w:hint="eastAsia" w:eastAsia="仿宋_GB2312"/>
          <w:sz w:val="32"/>
          <w:szCs w:val="32"/>
          <w:lang w:val="zh-CN"/>
        </w:rPr>
        <w:t>因工资调标，</w:t>
      </w:r>
      <w:r>
        <w:rPr>
          <w:rFonts w:hint="eastAsia" w:ascii="Times New Roman" w:hAnsi="Times New Roman" w:eastAsia="仿宋_GB2312" w:cs="仿宋_GB2312"/>
          <w:color w:val="auto"/>
          <w:kern w:val="0"/>
          <w:sz w:val="31"/>
          <w:szCs w:val="31"/>
          <w:highlight w:val="none"/>
          <w:lang w:val="en-US" w:eastAsia="zh-CN"/>
        </w:rPr>
        <w:t>2023年机关事业单位基本养老保险缴费基数较上年调增</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3</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.社会保障和就业支出（类）行政事业单位养老支出（款）机关事业单位职业年金缴费支出（项）:支出决算数为6.04万元，比上年决算增加6.04万元，增长100%，主要原因是：</w:t>
      </w:r>
      <w:r>
        <w:rPr>
          <w:rFonts w:hint="eastAsia" w:eastAsia="仿宋_GB2312" w:cs="Times New Roman"/>
          <w:color w:val="auto"/>
          <w:kern w:val="2"/>
          <w:sz w:val="32"/>
          <w:szCs w:val="32"/>
          <w:highlight w:val="none"/>
          <w:lang w:val="en-US" w:eastAsia="zh-CN" w:bidi="ar-SA"/>
        </w:rPr>
        <w:t>本年度有新增退休人员，职业年金个人账户记实，支出增加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4</w:t>
      </w:r>
      <w:r>
        <w:rPr>
          <w:rFonts w:hint="eastAsia" w:ascii="Times New Roman" w:hAnsi="Times New Roman" w:eastAsia="仿宋_GB2312" w:cs="Times New Roman"/>
          <w:color w:val="auto"/>
          <w:kern w:val="2"/>
          <w:sz w:val="32"/>
          <w:szCs w:val="32"/>
          <w:highlight w:val="none"/>
          <w:lang w:val="en-US" w:eastAsia="zh-CN" w:bidi="ar-SA"/>
        </w:rPr>
        <w:t>.社会保障和就业支出（类）抚恤（款）死亡抚恤（项）:支出决算数为491.98万元，比上年决算增加483.41万元，增长</w:t>
      </w:r>
      <w:r>
        <w:rPr>
          <w:rFonts w:hint="eastAsia" w:eastAsia="仿宋_GB2312" w:cs="Times New Roman"/>
          <w:color w:val="auto"/>
          <w:kern w:val="2"/>
          <w:sz w:val="32"/>
          <w:szCs w:val="32"/>
          <w:highlight w:val="none"/>
          <w:lang w:val="en-US" w:eastAsia="zh-CN" w:bidi="ar-SA"/>
        </w:rPr>
        <w:t>5640.72</w:t>
      </w:r>
      <w:r>
        <w:rPr>
          <w:rFonts w:hint="eastAsia" w:ascii="Times New Roman" w:hAnsi="Times New Roman" w:eastAsia="仿宋_GB2312" w:cs="Times New Roman"/>
          <w:color w:val="auto"/>
          <w:kern w:val="2"/>
          <w:sz w:val="32"/>
          <w:szCs w:val="32"/>
          <w:highlight w:val="none"/>
          <w:lang w:val="en-US" w:eastAsia="zh-CN" w:bidi="ar-SA"/>
        </w:rPr>
        <w:t>%，主要原因是：军队离退休干部、无军籍职工去世丧抚费以及2023年新增</w:t>
      </w:r>
      <w:r>
        <w:rPr>
          <w:rFonts w:hint="eastAsia" w:ascii="Times New Roman" w:hAnsi="Times New Roman" w:eastAsia="仿宋_GB2312" w:cs="Times New Roman"/>
          <w:color w:val="auto"/>
          <w:kern w:val="2"/>
          <w:sz w:val="32"/>
          <w:szCs w:val="32"/>
          <w:highlight w:val="none"/>
          <w:lang w:val="zh-CN" w:eastAsia="zh-CN" w:bidi="ar-SA"/>
        </w:rPr>
        <w:t>烈士王裕海褒扬金及死亡抚恤金增加。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5</w:t>
      </w:r>
      <w:r>
        <w:rPr>
          <w:rFonts w:hint="eastAsia" w:ascii="Times New Roman" w:hAnsi="Times New Roman" w:eastAsia="仿宋_GB2312" w:cs="Times New Roman"/>
          <w:color w:val="auto"/>
          <w:kern w:val="2"/>
          <w:sz w:val="32"/>
          <w:szCs w:val="32"/>
          <w:highlight w:val="none"/>
          <w:lang w:val="en-US" w:eastAsia="zh-CN" w:bidi="ar-SA"/>
        </w:rPr>
        <w:t>.社会保障和就业支出（类）抚恤（款）伤残抚恤（项）:支出决算数为226.98万元，比上年决算减少198.94万元，下降46.71%，主要原因是：202</w:t>
      </w:r>
      <w:r>
        <w:rPr>
          <w:rFonts w:hint="eastAsia" w:eastAsia="仿宋_GB2312" w:cs="Times New Roman"/>
          <w:color w:val="auto"/>
          <w:kern w:val="2"/>
          <w:sz w:val="32"/>
          <w:szCs w:val="32"/>
          <w:highlight w:val="none"/>
          <w:lang w:val="en-US" w:eastAsia="zh-CN" w:bidi="ar-SA"/>
        </w:rPr>
        <w:t>3</w:t>
      </w:r>
      <w:r>
        <w:rPr>
          <w:rFonts w:hint="eastAsia" w:ascii="Times New Roman" w:hAnsi="Times New Roman" w:eastAsia="仿宋_GB2312" w:cs="Times New Roman"/>
          <w:color w:val="auto"/>
          <w:kern w:val="2"/>
          <w:sz w:val="32"/>
          <w:szCs w:val="32"/>
          <w:highlight w:val="none"/>
          <w:lang w:val="en-US" w:eastAsia="zh-CN" w:bidi="ar-SA"/>
        </w:rPr>
        <w:t>年优抚对象</w:t>
      </w:r>
      <w:r>
        <w:rPr>
          <w:rFonts w:hint="eastAsia" w:eastAsia="仿宋_GB2312" w:cs="Times New Roman"/>
          <w:color w:val="auto"/>
          <w:kern w:val="2"/>
          <w:sz w:val="32"/>
          <w:szCs w:val="32"/>
          <w:highlight w:val="none"/>
          <w:lang w:val="en-US" w:eastAsia="zh-CN" w:bidi="ar-SA"/>
        </w:rPr>
        <w:t>补助部分调整至</w:t>
      </w:r>
      <w:r>
        <w:rPr>
          <w:rFonts w:hint="eastAsia" w:ascii="Times New Roman" w:hAnsi="Times New Roman" w:eastAsia="仿宋_GB2312" w:cs="Times New Roman"/>
          <w:color w:val="auto"/>
          <w:kern w:val="2"/>
          <w:sz w:val="32"/>
          <w:szCs w:val="32"/>
          <w:highlight w:val="none"/>
          <w:lang w:val="en-US" w:eastAsia="zh-CN" w:bidi="ar-SA"/>
        </w:rPr>
        <w:t>社会保障和就业支出（类）抚恤（款）其他优抚支出（项）</w:t>
      </w:r>
      <w:r>
        <w:rPr>
          <w:rFonts w:hint="eastAsia" w:eastAsia="仿宋_GB2312" w:cs="Times New Roman"/>
          <w:color w:val="auto"/>
          <w:kern w:val="2"/>
          <w:sz w:val="32"/>
          <w:szCs w:val="32"/>
          <w:highlight w:val="none"/>
          <w:lang w:val="en-US" w:eastAsia="zh-CN" w:bidi="ar-SA"/>
        </w:rPr>
        <w:t>科目下</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6</w:t>
      </w:r>
      <w:r>
        <w:rPr>
          <w:rFonts w:hint="eastAsia" w:ascii="Times New Roman" w:hAnsi="Times New Roman" w:eastAsia="仿宋_GB2312" w:cs="Times New Roman"/>
          <w:color w:val="auto"/>
          <w:kern w:val="2"/>
          <w:sz w:val="32"/>
          <w:szCs w:val="32"/>
          <w:highlight w:val="none"/>
          <w:lang w:val="en-US" w:eastAsia="zh-CN" w:bidi="ar-SA"/>
        </w:rPr>
        <w:t>.社会保障和就业支出（类）抚恤（款）义务兵优待（项）:支出决算数为395.23万元，比上年决算增加80.70万元，增长25.66%，主要原因是：</w:t>
      </w:r>
      <w:r>
        <w:rPr>
          <w:rFonts w:hint="eastAsia" w:ascii="Times New Roman" w:hAnsi="Times New Roman" w:eastAsia="仿宋_GB2312" w:cs="仿宋_GB2312"/>
          <w:color w:val="auto"/>
          <w:kern w:val="0"/>
          <w:sz w:val="31"/>
          <w:szCs w:val="31"/>
          <w:highlight w:val="none"/>
          <w:lang w:val="en-US" w:eastAsia="zh-CN"/>
        </w:rPr>
        <w:t>2023年发放义务兵家庭优待金较以前年度增加</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7</w:t>
      </w:r>
      <w:r>
        <w:rPr>
          <w:rFonts w:hint="eastAsia" w:ascii="Times New Roman" w:hAnsi="Times New Roman" w:eastAsia="仿宋_GB2312" w:cs="Times New Roman"/>
          <w:color w:val="auto"/>
          <w:kern w:val="2"/>
          <w:sz w:val="32"/>
          <w:szCs w:val="32"/>
          <w:highlight w:val="none"/>
          <w:lang w:val="en-US" w:eastAsia="zh-CN" w:bidi="ar-SA"/>
        </w:rPr>
        <w:t>.社会保障和就业支出（类）抚恤（款）烈士纪念设施管理维护（项）:支出决算数为18.48万元，比上年决算减少73.05万元，下降79.81%，主要原因是：2023年烈士纪念设施因烈士陵园建设项目实施致使项目施工费用增加的同时，管理维护费用降低</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8</w:t>
      </w:r>
      <w:r>
        <w:rPr>
          <w:rFonts w:hint="eastAsia" w:ascii="Times New Roman" w:hAnsi="Times New Roman" w:eastAsia="仿宋_GB2312" w:cs="Times New Roman"/>
          <w:color w:val="auto"/>
          <w:kern w:val="2"/>
          <w:sz w:val="32"/>
          <w:szCs w:val="32"/>
          <w:highlight w:val="none"/>
          <w:lang w:val="en-US" w:eastAsia="zh-CN" w:bidi="ar-SA"/>
        </w:rPr>
        <w:t>.社会保障和就业支出（类）抚恤（款）其他优抚支出（项）:支出决算数为1,777.73万元，比上年决算增加429.74万元，增长31.88%，主要原因是：2023年</w:t>
      </w:r>
      <w:r>
        <w:rPr>
          <w:rFonts w:hint="eastAsia" w:ascii="Times New Roman" w:hAnsi="Times New Roman" w:eastAsia="仿宋_GB2312"/>
          <w:color w:val="auto"/>
          <w:spacing w:val="0"/>
          <w:sz w:val="32"/>
          <w:szCs w:val="32"/>
          <w:highlight w:val="none"/>
          <w:lang w:eastAsia="zh-CN"/>
        </w:rPr>
        <w:t>优抚对象人数增加以及补助发放标准提高导致</w:t>
      </w:r>
      <w:r>
        <w:rPr>
          <w:rFonts w:hint="eastAsia" w:ascii="Times New Roman" w:hAnsi="Times New Roman" w:eastAsia="仿宋_GB2312" w:cs="Times New Roman"/>
          <w:color w:val="auto"/>
          <w:kern w:val="2"/>
          <w:sz w:val="32"/>
          <w:szCs w:val="32"/>
          <w:highlight w:val="none"/>
          <w:lang w:val="en-US" w:eastAsia="zh-CN" w:bidi="ar-SA"/>
        </w:rPr>
        <w:t>其他优抚支出增加</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9.</w:t>
      </w:r>
      <w:r>
        <w:rPr>
          <w:rFonts w:hint="eastAsia" w:ascii="Times New Roman" w:hAnsi="Times New Roman" w:eastAsia="仿宋_GB2312" w:cs="Times New Roman"/>
          <w:color w:val="auto"/>
          <w:kern w:val="2"/>
          <w:sz w:val="32"/>
          <w:szCs w:val="32"/>
          <w:highlight w:val="none"/>
          <w:lang w:val="en-US" w:eastAsia="zh-CN" w:bidi="ar-SA"/>
        </w:rPr>
        <w:t>社会保障和就业支出（类）退役安置（款）退役士兵安置（项）:支出决算数为712.10万元，比上年决算增加712.10万元，增长100%，主要原因是</w:t>
      </w:r>
      <w:r>
        <w:rPr>
          <w:rFonts w:hint="eastAsia" w:eastAsia="仿宋_GB2312" w:cs="Times New Roman"/>
          <w:color w:val="auto"/>
          <w:kern w:val="2"/>
          <w:sz w:val="32"/>
          <w:szCs w:val="32"/>
          <w:highlight w:val="none"/>
          <w:lang w:val="en-US" w:eastAsia="zh-CN" w:bidi="ar-SA"/>
        </w:rPr>
        <w:t>：对2022年因疫情原因未及时</w:t>
      </w:r>
      <w:r>
        <w:rPr>
          <w:rFonts w:hint="eastAsia" w:ascii="Times New Roman" w:hAnsi="Times New Roman" w:eastAsia="仿宋_GB2312" w:cs="Times New Roman"/>
          <w:color w:val="auto"/>
          <w:kern w:val="2"/>
          <w:sz w:val="32"/>
          <w:szCs w:val="32"/>
          <w:highlight w:val="none"/>
          <w:lang w:val="en-US" w:eastAsia="zh-CN" w:bidi="ar-SA"/>
        </w:rPr>
        <w:t>领取</w:t>
      </w:r>
      <w:r>
        <w:rPr>
          <w:rFonts w:hint="eastAsia" w:ascii="Times New Roman" w:hAnsi="Times New Roman" w:eastAsia="仿宋_GB2312" w:cs="Times New Roman"/>
          <w:color w:val="auto"/>
          <w:kern w:val="2"/>
          <w:sz w:val="32"/>
          <w:szCs w:val="32"/>
          <w:highlight w:val="none"/>
          <w:lang w:val="zh-CN" w:eastAsia="zh-CN" w:bidi="ar-SA"/>
        </w:rPr>
        <w:t>一次性就业经济补助金</w:t>
      </w:r>
      <w:r>
        <w:rPr>
          <w:rFonts w:hint="eastAsia" w:eastAsia="仿宋_GB2312" w:cs="Times New Roman"/>
          <w:color w:val="auto"/>
          <w:kern w:val="2"/>
          <w:sz w:val="32"/>
          <w:szCs w:val="32"/>
          <w:highlight w:val="none"/>
          <w:lang w:val="zh-CN" w:eastAsia="zh-CN" w:bidi="ar-SA"/>
        </w:rPr>
        <w:t>的退役士兵于</w:t>
      </w:r>
      <w:r>
        <w:rPr>
          <w:rFonts w:hint="eastAsia" w:eastAsia="仿宋_GB2312" w:cs="Times New Roman"/>
          <w:color w:val="auto"/>
          <w:kern w:val="2"/>
          <w:sz w:val="32"/>
          <w:szCs w:val="32"/>
          <w:highlight w:val="none"/>
          <w:lang w:val="en-US" w:eastAsia="zh-CN" w:bidi="ar-SA"/>
        </w:rPr>
        <w:t>2023年进行补发，导致2023年</w:t>
      </w:r>
      <w:r>
        <w:rPr>
          <w:rFonts w:hint="eastAsia" w:ascii="Times New Roman" w:hAnsi="Times New Roman" w:eastAsia="仿宋_GB2312" w:cs="Times New Roman"/>
          <w:color w:val="auto"/>
          <w:kern w:val="2"/>
          <w:sz w:val="32"/>
          <w:szCs w:val="32"/>
          <w:highlight w:val="none"/>
          <w:lang w:val="zh-CN" w:eastAsia="zh-CN" w:bidi="ar-SA"/>
        </w:rPr>
        <w:t>补助金较上年增加。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10</w:t>
      </w:r>
      <w:r>
        <w:rPr>
          <w:rFonts w:hint="eastAsia" w:ascii="Times New Roman" w:hAnsi="Times New Roman" w:eastAsia="仿宋_GB2312" w:cs="Times New Roman"/>
          <w:color w:val="auto"/>
          <w:kern w:val="2"/>
          <w:sz w:val="32"/>
          <w:szCs w:val="32"/>
          <w:highlight w:val="none"/>
          <w:lang w:val="en-US" w:eastAsia="zh-CN" w:bidi="ar-SA"/>
        </w:rPr>
        <w:t>.社会保障和就业支出（类）退役安置（款）军队移交政府的离退休人员安置（项）:支出决算数为3.09万元，比上年决算减少411.98万元，下降99.25%，主要原因是：该科目中退休费调整到其他退役安置支出科目中反映，导致该支出比上年决算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640" w:firstLineChars="200"/>
        <w:textAlignment w:val="auto"/>
        <w:rPr>
          <w:rFonts w:hint="eastAsia" w:eastAsia="仿宋_GB2312" w:cs="Times New Roman"/>
          <w:color w:val="auto"/>
          <w:kern w:val="2"/>
          <w:sz w:val="32"/>
          <w:szCs w:val="32"/>
          <w:highlight w:val="none"/>
          <w:lang w:val="en-US" w:eastAsia="zh-CN" w:bidi="ar-SA"/>
        </w:rPr>
      </w:pPr>
      <w:r>
        <w:rPr>
          <w:rFonts w:hint="eastAsia" w:eastAsia="仿宋_GB2312" w:cs="Times New Roman"/>
          <w:color w:val="auto"/>
          <w:kern w:val="2"/>
          <w:sz w:val="32"/>
          <w:szCs w:val="32"/>
          <w:highlight w:val="none"/>
          <w:lang w:val="en-US" w:eastAsia="zh-CN" w:bidi="ar-SA"/>
        </w:rPr>
        <w:t>11</w:t>
      </w:r>
      <w:r>
        <w:rPr>
          <w:rFonts w:hint="eastAsia" w:ascii="Times New Roman" w:hAnsi="Times New Roman" w:eastAsia="仿宋_GB2312" w:cs="Times New Roman"/>
          <w:color w:val="auto"/>
          <w:kern w:val="2"/>
          <w:sz w:val="32"/>
          <w:szCs w:val="32"/>
          <w:highlight w:val="none"/>
          <w:lang w:val="en-US" w:eastAsia="zh-CN" w:bidi="ar-SA"/>
        </w:rPr>
        <w:t>.社会保障和就业支出（类）退役安置（款）军队移交政府离退休干部管理机构（项）:支出决算数为78.99万元，比上年决算减少5.22万元，降低6.20%，主要原因是：</w:t>
      </w:r>
      <w:r>
        <w:rPr>
          <w:rFonts w:hint="eastAsia" w:eastAsia="仿宋_GB2312" w:cs="Times New Roman"/>
          <w:color w:val="auto"/>
          <w:kern w:val="2"/>
          <w:sz w:val="32"/>
          <w:szCs w:val="32"/>
          <w:highlight w:val="none"/>
          <w:lang w:val="en-US" w:eastAsia="zh-CN" w:bidi="ar-SA"/>
        </w:rPr>
        <w:t>军休</w:t>
      </w:r>
      <w:r>
        <w:rPr>
          <w:rFonts w:hint="eastAsia" w:ascii="Times New Roman" w:hAnsi="Times New Roman" w:eastAsia="仿宋_GB2312" w:cs="Times New Roman"/>
          <w:color w:val="auto"/>
          <w:kern w:val="2"/>
          <w:sz w:val="32"/>
          <w:szCs w:val="32"/>
          <w:highlight w:val="none"/>
          <w:lang w:val="en-US" w:eastAsia="zh-CN" w:bidi="ar-SA"/>
        </w:rPr>
        <w:t>机构基本建设资金在本年度</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，导致该支出比上年决算</w:t>
      </w:r>
      <w:r>
        <w:rPr>
          <w:rFonts w:hint="eastAsia" w:eastAsia="仿宋_GB2312" w:cs="Times New Roman"/>
          <w:color w:val="auto"/>
          <w:kern w:val="2"/>
          <w:sz w:val="32"/>
          <w:szCs w:val="32"/>
          <w:highlight w:val="none"/>
          <w:lang w:val="en-US" w:eastAsia="zh-CN" w:bidi="ar-SA"/>
        </w:rPr>
        <w:t>减少</w:t>
      </w:r>
      <w:r>
        <w:rPr>
          <w:rFonts w:hint="eastAsia" w:eastAsia="仿宋_GB2312" w:cs="Times New Roman"/>
          <w:color w:val="auto"/>
          <w:kern w:val="2"/>
          <w:sz w:val="32"/>
          <w:szCs w:val="32"/>
          <w:highlight w:val="none"/>
          <w:lang w:val="zh-CN" w:eastAsia="zh-CN" w:bidi="ar-SA"/>
        </w:rPr>
        <w:t>。</w:t>
      </w:r>
      <w:r>
        <w:rPr>
          <w:rFonts w:hint="eastAsia" w:eastAsia="仿宋_GB2312" w:cs="Times New Roman"/>
          <w:color w:val="auto"/>
          <w:kern w:val="2"/>
          <w:sz w:val="32"/>
          <w:szCs w:val="32"/>
          <w:highlight w:val="none"/>
          <w:lang w:val="en-US" w:eastAsia="zh-CN" w:bidi="ar-SA"/>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640" w:firstLineChars="200"/>
        <w:textAlignment w:val="auto"/>
        <w:rPr>
          <w:rFonts w:hint="default" w:ascii="Times New Roman" w:hAnsi="Times New Roman" w:eastAsia="仿宋_GB2312" w:cs="仿宋_GB2312"/>
          <w:color w:val="auto"/>
          <w:kern w:val="0"/>
          <w:sz w:val="31"/>
          <w:szCs w:val="31"/>
          <w:highlight w:val="none"/>
          <w:lang w:val="en-US" w:eastAsia="zh-CN"/>
        </w:rPr>
      </w:pPr>
      <w:r>
        <w:rPr>
          <w:rFonts w:hint="eastAsia" w:eastAsia="仿宋_GB2312" w:cs="Times New Roman"/>
          <w:color w:val="auto"/>
          <w:kern w:val="2"/>
          <w:sz w:val="32"/>
          <w:szCs w:val="32"/>
          <w:highlight w:val="none"/>
          <w:lang w:val="en-US" w:eastAsia="zh-CN" w:bidi="ar-SA"/>
        </w:rPr>
        <w:t>12</w:t>
      </w:r>
      <w:r>
        <w:rPr>
          <w:rFonts w:hint="eastAsia" w:ascii="Times New Roman" w:hAnsi="Times New Roman" w:eastAsia="仿宋_GB2312" w:cs="Times New Roman"/>
          <w:color w:val="auto"/>
          <w:kern w:val="2"/>
          <w:sz w:val="32"/>
          <w:szCs w:val="32"/>
          <w:highlight w:val="none"/>
          <w:lang w:val="en-US" w:eastAsia="zh-CN" w:bidi="ar-SA"/>
        </w:rPr>
        <w:t>.社会保障和就业支出（类）退役安置（款）军队转业干部安置（项）:支出决算数为105.31万元，比上年决算减少257.49万元，下降70.97%，主要原因是：</w:t>
      </w:r>
      <w:r>
        <w:rPr>
          <w:rFonts w:hint="eastAsia" w:ascii="Times New Roman" w:hAnsi="Times New Roman" w:eastAsia="仿宋_GB2312" w:cs="仿宋_GB2312"/>
          <w:color w:val="auto"/>
          <w:kern w:val="0"/>
          <w:sz w:val="31"/>
          <w:szCs w:val="31"/>
          <w:highlight w:val="none"/>
          <w:lang w:val="en-US" w:eastAsia="zh-CN"/>
        </w:rPr>
        <w:t>2022年无军籍职工工资支出在此功能科目下体现，而2023年在</w:t>
      </w:r>
      <w:r>
        <w:rPr>
          <w:rFonts w:hint="eastAsia" w:ascii="Times New Roman" w:hAnsi="Times New Roman" w:eastAsia="仿宋_GB2312" w:cs="Times New Roman"/>
          <w:color w:val="auto"/>
          <w:kern w:val="2"/>
          <w:sz w:val="32"/>
          <w:szCs w:val="32"/>
          <w:highlight w:val="none"/>
          <w:lang w:val="en-US" w:eastAsia="zh-CN" w:bidi="ar-SA"/>
        </w:rPr>
        <w:t>其他退役安置支出</w:t>
      </w:r>
      <w:r>
        <w:rPr>
          <w:rFonts w:hint="eastAsia" w:ascii="Times New Roman" w:hAnsi="Times New Roman" w:eastAsia="仿宋_GB2312" w:cs="仿宋_GB2312"/>
          <w:color w:val="auto"/>
          <w:kern w:val="0"/>
          <w:sz w:val="31"/>
          <w:szCs w:val="31"/>
          <w:highlight w:val="none"/>
          <w:lang w:val="en-US" w:eastAsia="zh-CN"/>
        </w:rPr>
        <w:t>科目下反映。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13</w:t>
      </w:r>
      <w:r>
        <w:rPr>
          <w:rFonts w:hint="eastAsia" w:ascii="Times New Roman" w:hAnsi="Times New Roman" w:eastAsia="仿宋_GB2312" w:cs="Times New Roman"/>
          <w:color w:val="auto"/>
          <w:kern w:val="2"/>
          <w:sz w:val="32"/>
          <w:szCs w:val="32"/>
          <w:highlight w:val="none"/>
          <w:lang w:val="en-US" w:eastAsia="zh-CN" w:bidi="ar-SA"/>
        </w:rPr>
        <w:t>.社会保障和就业支出（类）退役安置（款）其他退役安置支出（项）:支出决算数为5,929.95万元，比上年决算增加1333.14万元，增长29%，主要原因是：</w:t>
      </w:r>
      <w:r>
        <w:rPr>
          <w:rFonts w:hint="eastAsia" w:eastAsia="仿宋_GB2312" w:cs="Times New Roman"/>
          <w:color w:val="auto"/>
          <w:kern w:val="2"/>
          <w:sz w:val="32"/>
          <w:szCs w:val="32"/>
          <w:highlight w:val="none"/>
          <w:lang w:val="en-US" w:eastAsia="zh-CN" w:bidi="ar-SA"/>
        </w:rPr>
        <w:t>一是</w:t>
      </w:r>
      <w:r>
        <w:rPr>
          <w:rFonts w:hint="eastAsia" w:ascii="Times New Roman" w:hAnsi="Times New Roman" w:eastAsia="仿宋_GB2312" w:cs="Times New Roman"/>
          <w:color w:val="auto"/>
          <w:kern w:val="2"/>
          <w:sz w:val="32"/>
          <w:szCs w:val="32"/>
          <w:highlight w:val="none"/>
          <w:lang w:val="en-US" w:eastAsia="zh-CN" w:bidi="ar-SA"/>
        </w:rPr>
        <w:t>决算口径调整，原军队移交政府的离退休人员安置科目中退休费调整到其他退役安置支出科目中，导致该支出比上年决算增加</w:t>
      </w:r>
      <w:r>
        <w:rPr>
          <w:rFonts w:hint="eastAsia" w:eastAsia="仿宋_GB2312" w:cs="Times New Roman"/>
          <w:color w:val="auto"/>
          <w:kern w:val="2"/>
          <w:sz w:val="32"/>
          <w:szCs w:val="32"/>
          <w:highlight w:val="none"/>
          <w:lang w:val="en-US" w:eastAsia="zh-CN" w:bidi="ar-SA"/>
        </w:rPr>
        <w:t>；二是</w:t>
      </w:r>
      <w:r>
        <w:rPr>
          <w:rFonts w:hint="eastAsia" w:ascii="Times New Roman" w:hAnsi="Times New Roman" w:eastAsia="仿宋_GB2312" w:cs="仿宋_GB2312"/>
          <w:color w:val="auto"/>
          <w:kern w:val="0"/>
          <w:sz w:val="31"/>
          <w:szCs w:val="31"/>
          <w:highlight w:val="none"/>
          <w:lang w:val="en-US" w:eastAsia="zh-CN"/>
        </w:rPr>
        <w:t>自主择业干部</w:t>
      </w:r>
      <w:r>
        <w:rPr>
          <w:rFonts w:hint="eastAsia" w:eastAsia="仿宋_GB2312" w:cs="仿宋_GB2312"/>
          <w:color w:val="auto"/>
          <w:kern w:val="0"/>
          <w:sz w:val="31"/>
          <w:szCs w:val="31"/>
          <w:highlight w:val="none"/>
          <w:lang w:val="en-US" w:eastAsia="zh-CN"/>
        </w:rPr>
        <w:t>工资调标，</w:t>
      </w:r>
      <w:r>
        <w:rPr>
          <w:rFonts w:hint="eastAsia" w:ascii="Times New Roman" w:hAnsi="Times New Roman" w:eastAsia="仿宋_GB2312" w:cs="仿宋_GB2312"/>
          <w:color w:val="auto"/>
          <w:kern w:val="0"/>
          <w:sz w:val="31"/>
          <w:szCs w:val="31"/>
          <w:highlight w:val="none"/>
          <w:lang w:val="en-US" w:eastAsia="zh-CN"/>
        </w:rPr>
        <w:t>医疗费</w:t>
      </w:r>
      <w:r>
        <w:rPr>
          <w:rFonts w:hint="eastAsia" w:eastAsia="仿宋_GB2312" w:cs="仿宋_GB2312"/>
          <w:color w:val="auto"/>
          <w:kern w:val="0"/>
          <w:sz w:val="31"/>
          <w:szCs w:val="31"/>
          <w:highlight w:val="none"/>
          <w:lang w:val="en-US" w:eastAsia="zh-CN"/>
        </w:rPr>
        <w:t>缴费基数增加导致</w:t>
      </w:r>
      <w:r>
        <w:rPr>
          <w:rFonts w:hint="eastAsia" w:ascii="Times New Roman" w:hAnsi="Times New Roman" w:eastAsia="仿宋_GB2312" w:cs="仿宋_GB2312"/>
          <w:color w:val="auto"/>
          <w:kern w:val="0"/>
          <w:sz w:val="31"/>
          <w:szCs w:val="31"/>
          <w:highlight w:val="none"/>
          <w:lang w:val="en-US" w:eastAsia="zh-CN"/>
        </w:rPr>
        <w:t>2023年</w:t>
      </w:r>
      <w:r>
        <w:rPr>
          <w:rFonts w:hint="eastAsia" w:eastAsia="仿宋_GB2312" w:cs="仿宋_GB2312"/>
          <w:color w:val="auto"/>
          <w:kern w:val="0"/>
          <w:sz w:val="31"/>
          <w:szCs w:val="31"/>
          <w:highlight w:val="none"/>
          <w:lang w:val="en-US" w:eastAsia="zh-CN"/>
        </w:rPr>
        <w:t>自主择业干部医疗费</w:t>
      </w:r>
      <w:r>
        <w:rPr>
          <w:rFonts w:hint="eastAsia" w:ascii="Times New Roman" w:hAnsi="Times New Roman" w:eastAsia="仿宋_GB2312" w:cs="仿宋_GB2312"/>
          <w:color w:val="auto"/>
          <w:kern w:val="0"/>
          <w:sz w:val="31"/>
          <w:szCs w:val="31"/>
          <w:highlight w:val="none"/>
          <w:lang w:val="en-US" w:eastAsia="zh-CN"/>
        </w:rPr>
        <w:t>较上年增加</w:t>
      </w:r>
      <w:r>
        <w:rPr>
          <w:rFonts w:hint="eastAsia" w:ascii="Times New Roman" w:hAnsi="Times New Roman" w:eastAsia="仿宋_GB2312" w:cs="Times New Roman"/>
          <w:color w:val="auto"/>
          <w:kern w:val="2"/>
          <w:sz w:val="32"/>
          <w:szCs w:val="32"/>
          <w:highlight w:val="none"/>
          <w:lang w:val="zh-CN" w:eastAsia="zh-CN" w:bidi="ar-SA"/>
        </w:rPr>
        <w:t>。</w:t>
      </w:r>
    </w:p>
    <w:p>
      <w:pPr>
        <w:ind w:firstLine="640" w:firstLineChars="200"/>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14</w:t>
      </w:r>
      <w:r>
        <w:rPr>
          <w:rFonts w:hint="eastAsia" w:ascii="Times New Roman" w:hAnsi="Times New Roman" w:eastAsia="仿宋_GB2312" w:cs="Times New Roman"/>
          <w:color w:val="auto"/>
          <w:kern w:val="2"/>
          <w:sz w:val="32"/>
          <w:szCs w:val="32"/>
          <w:highlight w:val="none"/>
          <w:lang w:val="en-US" w:eastAsia="zh-CN" w:bidi="ar-SA"/>
        </w:rPr>
        <w:t>.社会保障和就业支出（类）退役军人管理事务（款）行政运行（项）:支出决算数为207.48万元，比上年决算增加36.12万元，增长21.07%，主要原因是：2023年</w:t>
      </w:r>
      <w:r>
        <w:rPr>
          <w:rFonts w:hint="eastAsia" w:eastAsia="仿宋_GB2312"/>
          <w:sz w:val="32"/>
          <w:szCs w:val="32"/>
          <w:highlight w:val="none"/>
          <w:lang w:val="zh-CN"/>
        </w:rPr>
        <w:t>人员调资及2022年、2023年基础绩效奖金导致</w:t>
      </w:r>
      <w:r>
        <w:rPr>
          <w:rFonts w:hint="eastAsia" w:ascii="Times New Roman" w:hAnsi="Times New Roman" w:eastAsia="仿宋_GB2312" w:cs="仿宋_GB2312"/>
          <w:color w:val="auto"/>
          <w:kern w:val="0"/>
          <w:sz w:val="31"/>
          <w:szCs w:val="31"/>
          <w:highlight w:val="none"/>
          <w:lang w:val="en-US" w:eastAsia="zh-CN"/>
        </w:rPr>
        <w:t>决算支出较上年度增加</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15</w:t>
      </w:r>
      <w:r>
        <w:rPr>
          <w:rFonts w:hint="eastAsia" w:ascii="Times New Roman" w:hAnsi="Times New Roman" w:eastAsia="仿宋_GB2312" w:cs="Times New Roman"/>
          <w:color w:val="auto"/>
          <w:kern w:val="2"/>
          <w:sz w:val="32"/>
          <w:szCs w:val="32"/>
          <w:highlight w:val="none"/>
          <w:lang w:val="en-US" w:eastAsia="zh-CN" w:bidi="ar-SA"/>
        </w:rPr>
        <w:t>.社会保障和就业支出（类）退役军人管理事务（款）拥军优属（项）:支出决算数为53.92万元，比上年决算增加34.47万元，增长177.</w:t>
      </w:r>
      <w:r>
        <w:rPr>
          <w:rFonts w:hint="eastAsia" w:eastAsia="仿宋_GB2312" w:cs="Times New Roman"/>
          <w:color w:val="auto"/>
          <w:kern w:val="2"/>
          <w:sz w:val="32"/>
          <w:szCs w:val="32"/>
          <w:highlight w:val="none"/>
          <w:lang w:val="en-US" w:eastAsia="zh-CN" w:bidi="ar-SA"/>
        </w:rPr>
        <w:t>22</w:t>
      </w:r>
      <w:r>
        <w:rPr>
          <w:rFonts w:hint="eastAsia" w:ascii="Times New Roman" w:hAnsi="Times New Roman" w:eastAsia="仿宋_GB2312" w:cs="Times New Roman"/>
          <w:color w:val="auto"/>
          <w:kern w:val="2"/>
          <w:sz w:val="32"/>
          <w:szCs w:val="32"/>
          <w:highlight w:val="none"/>
          <w:lang w:val="en-US" w:eastAsia="zh-CN" w:bidi="ar-SA"/>
        </w:rPr>
        <w:t>%，主要原因是：2023年创建双拥模范城，双拥展厅建设和专题片制作费用增加</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16</w:t>
      </w:r>
      <w:r>
        <w:rPr>
          <w:rFonts w:hint="eastAsia" w:ascii="Times New Roman" w:hAnsi="Times New Roman" w:eastAsia="仿宋_GB2312" w:cs="Times New Roman"/>
          <w:color w:val="auto"/>
          <w:kern w:val="2"/>
          <w:sz w:val="32"/>
          <w:szCs w:val="32"/>
          <w:highlight w:val="none"/>
          <w:lang w:val="en-US" w:eastAsia="zh-CN" w:bidi="ar-SA"/>
        </w:rPr>
        <w:t>.卫生健康支出（类）行政事业单位医疗（款）行政单位医疗（项）:支出决算数为10.96万元，比上年决算增加2.29万元，增长26.</w:t>
      </w:r>
      <w:r>
        <w:rPr>
          <w:rFonts w:hint="eastAsia" w:eastAsia="仿宋_GB2312" w:cs="Times New Roman"/>
          <w:color w:val="auto"/>
          <w:kern w:val="2"/>
          <w:sz w:val="32"/>
          <w:szCs w:val="32"/>
          <w:highlight w:val="none"/>
          <w:lang w:val="en-US" w:eastAsia="zh-CN" w:bidi="ar-SA"/>
        </w:rPr>
        <w:t>41</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sz w:val="32"/>
          <w:szCs w:val="32"/>
          <w:lang w:val="zh-CN"/>
        </w:rPr>
        <w:t>因工资调标，</w:t>
      </w:r>
      <w:r>
        <w:rPr>
          <w:rFonts w:hint="eastAsia" w:ascii="Times New Roman" w:hAnsi="Times New Roman" w:eastAsia="仿宋_GB2312" w:cs="Times New Roman"/>
          <w:color w:val="auto"/>
          <w:kern w:val="2"/>
          <w:sz w:val="32"/>
          <w:szCs w:val="32"/>
          <w:highlight w:val="none"/>
          <w:lang w:val="en-US" w:eastAsia="zh-CN" w:bidi="ar-SA"/>
        </w:rPr>
        <w:t>2023年行</w:t>
      </w:r>
      <w:r>
        <w:rPr>
          <w:rFonts w:hint="eastAsia" w:ascii="Times New Roman" w:hAnsi="Times New Roman" w:eastAsia="仿宋_GB2312" w:cs="仿宋_GB2312"/>
          <w:b w:val="0"/>
          <w:bCs w:val="0"/>
          <w:color w:val="auto"/>
          <w:kern w:val="0"/>
          <w:sz w:val="31"/>
          <w:szCs w:val="31"/>
          <w:highlight w:val="none"/>
          <w:lang w:val="en-US" w:eastAsia="zh-CN" w:bidi="ar-SA"/>
        </w:rPr>
        <w:t>政单位医疗缴费基数调整，决算数增加</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17</w:t>
      </w:r>
      <w:r>
        <w:rPr>
          <w:rFonts w:hint="eastAsia" w:ascii="Times New Roman" w:hAnsi="Times New Roman" w:eastAsia="仿宋_GB2312" w:cs="Times New Roman"/>
          <w:color w:val="auto"/>
          <w:kern w:val="2"/>
          <w:sz w:val="32"/>
          <w:szCs w:val="32"/>
          <w:highlight w:val="none"/>
          <w:lang w:val="en-US" w:eastAsia="zh-CN" w:bidi="ar-SA"/>
        </w:rPr>
        <w:t>.卫生健康支出（类）行政事业单位医疗（款）公务员医疗补助（项）:支出决算数为2.05万元，比上年决算增加0.48万元，增长30.</w:t>
      </w:r>
      <w:r>
        <w:rPr>
          <w:rFonts w:hint="eastAsia" w:eastAsia="仿宋_GB2312" w:cs="Times New Roman"/>
          <w:color w:val="auto"/>
          <w:kern w:val="2"/>
          <w:sz w:val="32"/>
          <w:szCs w:val="32"/>
          <w:highlight w:val="none"/>
          <w:lang w:val="en-US" w:eastAsia="zh-CN" w:bidi="ar-SA"/>
        </w:rPr>
        <w:t>57</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sz w:val="32"/>
          <w:szCs w:val="32"/>
          <w:lang w:val="zh-CN"/>
        </w:rPr>
        <w:t>因工资调标，</w:t>
      </w:r>
      <w:r>
        <w:rPr>
          <w:rFonts w:hint="eastAsia" w:ascii="Times New Roman" w:hAnsi="Times New Roman" w:eastAsia="仿宋_GB2312" w:cs="仿宋_GB2312"/>
          <w:b w:val="0"/>
          <w:bCs w:val="0"/>
          <w:color w:val="auto"/>
          <w:kern w:val="0"/>
          <w:sz w:val="31"/>
          <w:szCs w:val="31"/>
          <w:highlight w:val="none"/>
          <w:lang w:val="en-US" w:eastAsia="zh-CN" w:bidi="ar-SA"/>
        </w:rPr>
        <w:t>2023年行政单位公务员医疗补助缴费基数调整，决算数增加</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18</w:t>
      </w:r>
      <w:r>
        <w:rPr>
          <w:rFonts w:hint="eastAsia" w:ascii="Times New Roman" w:hAnsi="Times New Roman" w:eastAsia="仿宋_GB2312" w:cs="Times New Roman"/>
          <w:color w:val="auto"/>
          <w:kern w:val="2"/>
          <w:sz w:val="32"/>
          <w:szCs w:val="32"/>
          <w:highlight w:val="none"/>
          <w:lang w:val="en-US" w:eastAsia="zh-CN" w:bidi="ar-SA"/>
        </w:rPr>
        <w:t>.卫生健康支出（类）优抚对象医疗（款）其他优抚对象医疗支出（项）:支出决算数为9.23万元，比上年决算减少128.23万元，下降93.28%，主要原因是：2023年优抚对象医疗报销人数及金额较2022年减少</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19.</w:t>
      </w:r>
      <w:r>
        <w:rPr>
          <w:rFonts w:hint="eastAsia" w:ascii="Times New Roman" w:hAnsi="Times New Roman" w:eastAsia="仿宋_GB2312" w:cs="Times New Roman"/>
          <w:color w:val="auto"/>
          <w:kern w:val="2"/>
          <w:sz w:val="32"/>
          <w:szCs w:val="32"/>
          <w:highlight w:val="none"/>
          <w:lang w:val="en-US" w:eastAsia="zh-CN" w:bidi="ar-SA"/>
        </w:rPr>
        <w:t>住房保障支出（类）住房改革支出（款）住房公积金（项）:支出决算数为18.23万元，比上年决算增加3.63万元，增长24.8</w:t>
      </w:r>
      <w:r>
        <w:rPr>
          <w:rFonts w:hint="eastAsia" w:eastAsia="仿宋_GB2312" w:cs="Times New Roman"/>
          <w:color w:val="auto"/>
          <w:kern w:val="2"/>
          <w:sz w:val="32"/>
          <w:szCs w:val="32"/>
          <w:highlight w:val="none"/>
          <w:lang w:val="en-US" w:eastAsia="zh-CN" w:bidi="ar-SA"/>
        </w:rPr>
        <w:t>6</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sz w:val="32"/>
          <w:szCs w:val="32"/>
          <w:lang w:val="zh-CN"/>
        </w:rPr>
        <w:t>因工资调标，</w:t>
      </w:r>
      <w:r>
        <w:rPr>
          <w:rFonts w:hint="eastAsia" w:ascii="Times New Roman" w:hAnsi="Times New Roman" w:eastAsia="仿宋_GB2312" w:cs="仿宋_GB2312"/>
          <w:b w:val="0"/>
          <w:bCs w:val="0"/>
          <w:color w:val="auto"/>
          <w:kern w:val="0"/>
          <w:sz w:val="31"/>
          <w:szCs w:val="31"/>
          <w:highlight w:val="none"/>
          <w:lang w:val="en-US" w:eastAsia="zh-CN" w:bidi="ar-SA"/>
        </w:rPr>
        <w:t>2023年住房公积金缴费基数调整，决算数增加</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20</w:t>
      </w:r>
      <w:r>
        <w:rPr>
          <w:rFonts w:hint="eastAsia" w:ascii="Times New Roman" w:hAnsi="Times New Roman" w:eastAsia="仿宋_GB2312" w:cs="Times New Roman"/>
          <w:color w:val="auto"/>
          <w:kern w:val="2"/>
          <w:sz w:val="32"/>
          <w:szCs w:val="32"/>
          <w:highlight w:val="none"/>
          <w:lang w:val="zh-CN" w:eastAsia="zh-CN" w:bidi="ar-SA"/>
        </w:rPr>
        <w:t>.社会保障和就业支出（类）就业补助（款）其他就业补助支出（项）:支出决算数为0.00万元，比上年决算减少1.45万元，下降100%，主要原因是：</w:t>
      </w:r>
      <w:r>
        <w:rPr>
          <w:rFonts w:hint="eastAsia" w:eastAsia="仿宋_GB2312" w:cs="Times New Roman"/>
          <w:color w:val="auto"/>
          <w:kern w:val="2"/>
          <w:sz w:val="32"/>
          <w:szCs w:val="32"/>
          <w:highlight w:val="none"/>
          <w:lang w:val="en-US" w:eastAsia="zh-CN" w:bidi="ar-SA"/>
        </w:rPr>
        <w:t>2022年开展退役士兵适应性培训1.45万元，本年无此项目支出</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zh-CN" w:eastAsia="zh-CN" w:bidi="ar-SA"/>
        </w:rPr>
        <w:t>2</w:t>
      </w:r>
      <w:r>
        <w:rPr>
          <w:rFonts w:hint="eastAsia" w:eastAsia="仿宋_GB2312" w:cs="Times New Roman"/>
          <w:color w:val="auto"/>
          <w:kern w:val="2"/>
          <w:sz w:val="32"/>
          <w:szCs w:val="32"/>
          <w:highlight w:val="none"/>
          <w:lang w:val="en-US" w:eastAsia="zh-CN" w:bidi="ar-SA"/>
        </w:rPr>
        <w:t>1</w:t>
      </w:r>
      <w:r>
        <w:rPr>
          <w:rFonts w:hint="eastAsia" w:ascii="Times New Roman" w:hAnsi="Times New Roman" w:eastAsia="仿宋_GB2312" w:cs="Times New Roman"/>
          <w:color w:val="auto"/>
          <w:kern w:val="2"/>
          <w:sz w:val="32"/>
          <w:szCs w:val="32"/>
          <w:highlight w:val="none"/>
          <w:lang w:val="zh-CN" w:eastAsia="zh-CN" w:bidi="ar-SA"/>
        </w:rPr>
        <w:t>.社会保障和就业支出（类）退役军人管理事务（款）其他退役军人事务管理支出（项）:支出决算数为0.00万元，比上年决算减少1.98万元，下降100%，主要原因是：</w:t>
      </w:r>
      <w:r>
        <w:rPr>
          <w:rFonts w:hint="eastAsia" w:eastAsia="仿宋_GB2312" w:cs="Times New Roman"/>
          <w:color w:val="auto"/>
          <w:kern w:val="2"/>
          <w:sz w:val="32"/>
          <w:szCs w:val="32"/>
          <w:highlight w:val="none"/>
          <w:lang w:val="en-US" w:eastAsia="zh-CN" w:bidi="ar-SA"/>
        </w:rPr>
        <w:t>2022年</w:t>
      </w:r>
      <w:r>
        <w:rPr>
          <w:rFonts w:hint="eastAsia" w:eastAsia="仿宋_GB2312" w:cs="Times New Roman"/>
          <w:color w:val="auto"/>
          <w:kern w:val="2"/>
          <w:sz w:val="32"/>
          <w:szCs w:val="32"/>
          <w:highlight w:val="none"/>
          <w:lang w:val="zh-CN" w:eastAsia="zh-CN" w:bidi="ar-SA"/>
        </w:rPr>
        <w:t>烈士陵园</w:t>
      </w:r>
      <w:r>
        <w:rPr>
          <w:rFonts w:hint="eastAsia" w:ascii="Times New Roman" w:hAnsi="Times New Roman" w:eastAsia="仿宋_GB2312" w:cs="Times New Roman"/>
          <w:color w:val="auto"/>
          <w:kern w:val="2"/>
          <w:sz w:val="32"/>
          <w:szCs w:val="32"/>
          <w:highlight w:val="none"/>
          <w:lang w:val="zh-CN" w:eastAsia="zh-CN" w:bidi="ar-SA"/>
        </w:rPr>
        <w:t>烈士名录制作费</w:t>
      </w:r>
      <w:r>
        <w:rPr>
          <w:rFonts w:hint="eastAsia" w:eastAsia="仿宋_GB2312" w:cs="Times New Roman"/>
          <w:color w:val="auto"/>
          <w:kern w:val="2"/>
          <w:sz w:val="32"/>
          <w:szCs w:val="32"/>
          <w:highlight w:val="none"/>
          <w:lang w:val="en-US" w:eastAsia="zh-CN" w:bidi="ar-SA"/>
        </w:rPr>
        <w:t>1.98万元，本年无此项目支出</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zh-CN" w:eastAsia="zh-CN" w:bidi="ar-SA"/>
        </w:rPr>
        <w:t>2</w:t>
      </w:r>
      <w:r>
        <w:rPr>
          <w:rFonts w:hint="eastAsia" w:eastAsia="仿宋_GB2312" w:cs="Times New Roman"/>
          <w:color w:val="auto"/>
          <w:kern w:val="2"/>
          <w:sz w:val="32"/>
          <w:szCs w:val="32"/>
          <w:highlight w:val="none"/>
          <w:lang w:val="en-US" w:eastAsia="zh-CN" w:bidi="ar-SA"/>
        </w:rPr>
        <w:t>2</w:t>
      </w:r>
      <w:r>
        <w:rPr>
          <w:rFonts w:hint="eastAsia" w:ascii="Times New Roman" w:hAnsi="Times New Roman" w:eastAsia="仿宋_GB2312" w:cs="Times New Roman"/>
          <w:color w:val="auto"/>
          <w:kern w:val="2"/>
          <w:sz w:val="32"/>
          <w:szCs w:val="32"/>
          <w:highlight w:val="none"/>
          <w:lang w:val="zh-CN" w:eastAsia="zh-CN" w:bidi="ar-SA"/>
        </w:rPr>
        <w:t>.卫生健康支出（类）优抚对象医疗（款）优抚对象医疗补助（项）:支出决算数为0.00万元，比上年决算减少25.80万元，下降100%，主要原因是：</w:t>
      </w:r>
      <w:r>
        <w:rPr>
          <w:rFonts w:hint="eastAsia" w:eastAsia="仿宋_GB2312" w:cs="Times New Roman"/>
          <w:color w:val="auto"/>
          <w:kern w:val="2"/>
          <w:sz w:val="32"/>
          <w:szCs w:val="32"/>
          <w:highlight w:val="none"/>
          <w:lang w:val="en-US" w:eastAsia="zh-CN" w:bidi="ar-SA"/>
        </w:rPr>
        <w:t>2022年上级拨付优抚对象医疗保障经费25.8万元通过该功能科目核算，2023年调整至</w:t>
      </w:r>
      <w:r>
        <w:rPr>
          <w:rFonts w:hint="eastAsia" w:ascii="Times New Roman" w:hAnsi="Times New Roman" w:eastAsia="仿宋_GB2312" w:cs="Times New Roman"/>
          <w:color w:val="auto"/>
          <w:kern w:val="2"/>
          <w:sz w:val="32"/>
          <w:szCs w:val="32"/>
          <w:highlight w:val="none"/>
          <w:lang w:val="en-US" w:eastAsia="zh-CN" w:bidi="ar-SA"/>
        </w:rPr>
        <w:t>卫生健康支出（类）优抚对象医疗（款）其他优抚对象医疗支出（项）</w:t>
      </w:r>
      <w:r>
        <w:rPr>
          <w:rFonts w:hint="eastAsia" w:eastAsia="仿宋_GB2312" w:cs="Times New Roman"/>
          <w:color w:val="auto"/>
          <w:kern w:val="2"/>
          <w:sz w:val="32"/>
          <w:szCs w:val="32"/>
          <w:highlight w:val="none"/>
          <w:lang w:val="en-US" w:eastAsia="zh-CN" w:bidi="ar-SA"/>
        </w:rPr>
        <w:t>下进行支出并反映</w:t>
      </w:r>
      <w:r>
        <w:rPr>
          <w:rFonts w:hint="eastAsia" w:ascii="Times New Roman" w:hAnsi="Times New Roman" w:eastAsia="仿宋_GB2312" w:cs="Times New Roman"/>
          <w:color w:val="auto"/>
          <w:kern w:val="2"/>
          <w:sz w:val="32"/>
          <w:szCs w:val="32"/>
          <w:highlight w:val="none"/>
          <w:lang w:val="zh-CN" w:eastAsia="zh-CN" w:bidi="ar-SA"/>
        </w:rPr>
        <w:t>。</w:t>
      </w:r>
    </w:p>
    <w:p>
      <w:pPr>
        <w:pStyle w:val="2"/>
        <w:ind w:firstLine="640" w:firstLineChars="200"/>
        <w:rPr>
          <w:rFonts w:hint="default"/>
          <w:lang w:val="en-US" w:eastAsia="zh-CN"/>
        </w:rPr>
      </w:pPr>
      <w:r>
        <w:rPr>
          <w:rFonts w:hint="eastAsia" w:eastAsia="仿宋_GB2312" w:cs="Times New Roman"/>
          <w:color w:val="auto"/>
          <w:kern w:val="2"/>
          <w:sz w:val="32"/>
          <w:szCs w:val="32"/>
          <w:highlight w:val="none"/>
          <w:lang w:val="en-US" w:eastAsia="zh-CN" w:bidi="ar-SA"/>
        </w:rPr>
        <w:t>23.</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社会保障和就业支出（类）行政事业单位养老支出（款）事业单位离退休（项）:支出决算数为0.00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1.13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本年</w:t>
      </w:r>
      <w:r>
        <w:rPr>
          <w:rFonts w:hint="eastAsia" w:ascii="Times New Roman" w:hAnsi="Times New Roman" w:eastAsia="仿宋_GB2312" w:cs="Times New Roman"/>
          <w:color w:val="auto"/>
          <w:kern w:val="2"/>
          <w:sz w:val="32"/>
          <w:szCs w:val="32"/>
          <w:highlight w:val="none"/>
          <w:lang w:val="en-US" w:eastAsia="zh-CN" w:bidi="ar-SA"/>
        </w:rPr>
        <w:t>该退休费支出在军队移交政府的离退休人员安置科目中反映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宋体"/>
          <w:bCs/>
          <w:color w:val="auto"/>
          <w:kern w:val="0"/>
          <w:sz w:val="32"/>
          <w:szCs w:val="32"/>
          <w:highlight w:val="none"/>
          <w:lang w:eastAsia="zh-CN"/>
        </w:rPr>
      </w:pPr>
      <w:r>
        <w:rPr>
          <w:rFonts w:hint="eastAsia" w:ascii="Times New Roman" w:hAnsi="Times New Roman"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pacing w:val="0"/>
          <w:sz w:val="32"/>
          <w:szCs w:val="32"/>
          <w:highlight w:val="none"/>
          <w:lang w:eastAsia="zh-CN"/>
        </w:rPr>
        <w:t>2023年度</w:t>
      </w:r>
      <w:r>
        <w:rPr>
          <w:rFonts w:hint="eastAsia" w:ascii="Times New Roman" w:hAnsi="Times New Roman" w:eastAsia="仿宋_GB2312"/>
          <w:color w:val="auto"/>
          <w:sz w:val="32"/>
          <w:szCs w:val="32"/>
          <w:highlight w:val="none"/>
        </w:rPr>
        <w:t>一般公共预算财政拨款基本支出</w:t>
      </w:r>
      <w:r>
        <w:rPr>
          <w:rFonts w:hint="eastAsia" w:ascii="Times New Roman" w:hAnsi="Times New Roman" w:eastAsia="仿宋_GB2312"/>
          <w:color w:val="auto"/>
          <w:sz w:val="32"/>
          <w:szCs w:val="32"/>
          <w:highlight w:val="none"/>
          <w:lang w:eastAsia="zh-CN"/>
        </w:rPr>
        <w:t>850.24</w:t>
      </w:r>
      <w:r>
        <w:rPr>
          <w:rFonts w:hint="eastAsia" w:ascii="Times New Roman" w:hAnsi="Times New Roman" w:eastAsia="仿宋_GB2312"/>
          <w:color w:val="auto"/>
          <w:sz w:val="32"/>
          <w:szCs w:val="32"/>
          <w:highlight w:val="none"/>
        </w:rPr>
        <w:t>万元，其中：人员经费</w:t>
      </w:r>
      <w:r>
        <w:rPr>
          <w:rFonts w:hint="eastAsia" w:ascii="Times New Roman" w:hAnsi="Times New Roman" w:eastAsia="仿宋_GB2312"/>
          <w:color w:val="auto"/>
          <w:sz w:val="32"/>
          <w:szCs w:val="32"/>
          <w:highlight w:val="none"/>
          <w:lang w:eastAsia="zh-CN"/>
        </w:rPr>
        <w:t>822.73</w:t>
      </w:r>
      <w:r>
        <w:rPr>
          <w:rFonts w:hint="eastAsia" w:ascii="Times New Roman" w:hAnsi="Times New Roman" w:eastAsia="仿宋_GB2312"/>
          <w:color w:val="auto"/>
          <w:sz w:val="32"/>
          <w:szCs w:val="32"/>
          <w:highlight w:val="none"/>
        </w:rPr>
        <w:t>万元，包括：</w:t>
      </w:r>
      <w:r>
        <w:rPr>
          <w:rFonts w:hint="eastAsia" w:ascii="Times New Roman" w:hAnsi="Times New Roman" w:eastAsia="仿宋_GB2312"/>
          <w:color w:val="auto"/>
          <w:sz w:val="32"/>
          <w:szCs w:val="32"/>
          <w:highlight w:val="none"/>
          <w:lang w:val="en-US" w:eastAsia="zh-CN"/>
        </w:rPr>
        <w:t>基本工资、津贴补贴、奖金、伙食补助费、绩效工资、机关事业单位基本养老保险缴费、职业年金缴费、职工基本医疗保险缴费、公务员医疗补助缴费、其他社会保障缴费、住房公积金、退休费、抚恤金、医疗费补助、奖励金、其他对个人和家庭的补助。</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olor w:val="auto"/>
          <w:sz w:val="32"/>
          <w:szCs w:val="32"/>
          <w:highlight w:val="red"/>
          <w:lang w:val="en-US" w:eastAsia="zh-CN"/>
        </w:rPr>
      </w:pPr>
      <w:r>
        <w:rPr>
          <w:rFonts w:hint="eastAsia" w:ascii="Times New Roman" w:hAnsi="Times New Roman" w:eastAsia="仿宋_GB2312"/>
          <w:color w:val="auto"/>
          <w:sz w:val="32"/>
          <w:szCs w:val="32"/>
          <w:highlight w:val="none"/>
        </w:rPr>
        <w:t>公用经费</w:t>
      </w:r>
      <w:r>
        <w:rPr>
          <w:rFonts w:hint="eastAsia" w:ascii="Times New Roman" w:hAnsi="Times New Roman" w:eastAsia="仿宋_GB2312"/>
          <w:color w:val="auto"/>
          <w:sz w:val="32"/>
          <w:szCs w:val="32"/>
          <w:highlight w:val="none"/>
          <w:lang w:eastAsia="zh-CN"/>
        </w:rPr>
        <w:t>27.51</w:t>
      </w:r>
      <w:r>
        <w:rPr>
          <w:rFonts w:hint="eastAsia" w:ascii="Times New Roman" w:hAnsi="Times New Roman" w:eastAsia="仿宋_GB2312"/>
          <w:color w:val="auto"/>
          <w:sz w:val="32"/>
          <w:szCs w:val="32"/>
          <w:highlight w:val="none"/>
        </w:rPr>
        <w:t>万元，包括：</w:t>
      </w:r>
      <w:r>
        <w:rPr>
          <w:rFonts w:hint="eastAsia" w:ascii="Times New Roman" w:hAnsi="Times New Roman" w:eastAsia="仿宋_GB2312"/>
          <w:color w:val="auto"/>
          <w:sz w:val="32"/>
          <w:szCs w:val="32"/>
          <w:highlight w:val="none"/>
          <w:lang w:val="en-US" w:eastAsia="zh-CN"/>
        </w:rPr>
        <w:t>办公费、印刷费、水费、电费、邮电费、取暖费、差旅费、维修（护）费、培训费、劳务费、委托业务费、工会经费、福利费、公务用车运行维护费</w:t>
      </w:r>
      <w:r>
        <w:rPr>
          <w:rFonts w:hint="eastAsia" w:ascii="Times New Roman" w:hAnsi="Times New Roman"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宋体"/>
          <w:bCs/>
          <w:color w:val="auto"/>
          <w:kern w:val="0"/>
          <w:sz w:val="32"/>
          <w:szCs w:val="32"/>
          <w:highlight w:val="none"/>
          <w:lang w:eastAsia="zh-CN"/>
        </w:rPr>
      </w:pPr>
      <w:r>
        <w:rPr>
          <w:rFonts w:hint="eastAsia" w:ascii="Times New Roman" w:hAnsi="Times New Roman" w:eastAsia="黑体" w:cs="宋体"/>
          <w:bCs/>
          <w:color w:val="auto"/>
          <w:kern w:val="0"/>
          <w:sz w:val="32"/>
          <w:szCs w:val="32"/>
          <w:highlight w:val="none"/>
          <w:lang w:val="en-US" w:eastAsia="zh-CN"/>
        </w:rPr>
        <w:t>七、</w:t>
      </w:r>
      <w:r>
        <w:rPr>
          <w:rFonts w:hint="eastAsia" w:ascii="Times New Roman" w:hAnsi="Times New Roman" w:eastAsia="黑体" w:cs="宋体"/>
          <w:bCs/>
          <w:color w:val="auto"/>
          <w:kern w:val="0"/>
          <w:sz w:val="32"/>
          <w:szCs w:val="32"/>
          <w:highlight w:val="none"/>
          <w:lang w:eastAsia="zh-CN"/>
        </w:rPr>
        <w:t>财政拨款</w:t>
      </w:r>
      <w:r>
        <w:rPr>
          <w:rFonts w:hint="eastAsia" w:ascii="Times New Roman" w:hAnsi="Times New Roman" w:eastAsia="黑体" w:cs="宋体"/>
          <w:bCs/>
          <w:color w:val="auto"/>
          <w:kern w:val="0"/>
          <w:sz w:val="32"/>
          <w:szCs w:val="32"/>
          <w:highlight w:val="none"/>
        </w:rPr>
        <w:t>“三公”经费支出</w:t>
      </w:r>
      <w:r>
        <w:rPr>
          <w:rFonts w:hint="eastAsia" w:ascii="Times New Roman" w:hAnsi="Times New Roman" w:eastAsia="黑体" w:cs="宋体"/>
          <w:bCs/>
          <w:color w:val="auto"/>
          <w:kern w:val="0"/>
          <w:sz w:val="32"/>
          <w:szCs w:val="32"/>
          <w:highlight w:val="none"/>
          <w:lang w:eastAsia="zh-CN"/>
        </w:rPr>
        <w:t>决算</w:t>
      </w:r>
      <w:r>
        <w:rPr>
          <w:rFonts w:hint="eastAsia" w:ascii="Times New Roman" w:hAnsi="Times New Roman" w:eastAsia="黑体" w:cs="宋体"/>
          <w:bCs/>
          <w:color w:val="auto"/>
          <w:kern w:val="0"/>
          <w:sz w:val="32"/>
          <w:szCs w:val="32"/>
          <w:highlight w:val="none"/>
        </w:rPr>
        <w:t>情况</w:t>
      </w:r>
      <w:r>
        <w:rPr>
          <w:rFonts w:hint="eastAsia" w:ascii="Times New Roman" w:hAnsi="Times New Roman"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olor w:val="auto"/>
          <w:sz w:val="32"/>
          <w:szCs w:val="32"/>
          <w:highlight w:val="none"/>
          <w:lang w:val="zh-CN" w:eastAsia="zh-CN"/>
        </w:rPr>
      </w:pPr>
      <w:r>
        <w:rPr>
          <w:rFonts w:hint="eastAsia" w:ascii="Times New Roman" w:hAnsi="Times New Roman" w:eastAsia="仿宋_GB2312"/>
          <w:color w:val="auto"/>
          <w:sz w:val="32"/>
          <w:szCs w:val="32"/>
          <w:highlight w:val="none"/>
          <w:lang w:val="zh-CN" w:eastAsia="zh-CN"/>
        </w:rPr>
        <w:t>2023年度</w:t>
      </w:r>
      <w:r>
        <w:rPr>
          <w:rFonts w:hint="eastAsia" w:ascii="Times New Roman" w:hAnsi="Times New Roman" w:eastAsia="仿宋_GB2312"/>
          <w:color w:val="auto"/>
          <w:sz w:val="32"/>
          <w:szCs w:val="32"/>
          <w:highlight w:val="none"/>
          <w:lang w:val="en-US" w:eastAsia="zh-CN"/>
        </w:rPr>
        <w:t>财政拨款</w:t>
      </w:r>
      <w:r>
        <w:rPr>
          <w:rFonts w:hint="eastAsia" w:ascii="Times New Roman" w:hAnsi="Times New Roman" w:eastAsia="仿宋_GB2312"/>
          <w:color w:val="auto"/>
          <w:sz w:val="32"/>
          <w:szCs w:val="32"/>
          <w:highlight w:val="none"/>
          <w:lang w:val="zh-CN" w:eastAsia="zh-CN"/>
        </w:rPr>
        <w:t>“三公”经费支出7.20万元，</w:t>
      </w:r>
      <w:r>
        <w:rPr>
          <w:rFonts w:hint="eastAsia" w:ascii="Times New Roman" w:hAnsi="Times New Roman" w:eastAsia="仿宋_GB2312"/>
          <w:color w:val="auto"/>
          <w:sz w:val="32"/>
          <w:szCs w:val="32"/>
          <w:highlight w:val="none"/>
          <w:lang w:val="en-US" w:eastAsia="zh-CN"/>
        </w:rPr>
        <w:t>比上年</w:t>
      </w:r>
      <w:r>
        <w:rPr>
          <w:rFonts w:hint="eastAsia" w:ascii="Times New Roman" w:hAnsi="Times New Roman" w:eastAsia="仿宋_GB2312"/>
          <w:color w:val="auto"/>
          <w:sz w:val="32"/>
          <w:szCs w:val="32"/>
          <w:highlight w:val="none"/>
          <w:lang w:val="zh-CN" w:eastAsia="zh-CN"/>
        </w:rPr>
        <w:t>增加1.60万元，增长</w:t>
      </w:r>
      <w:r>
        <w:rPr>
          <w:rFonts w:hint="eastAsia" w:eastAsia="仿宋_GB2312"/>
          <w:color w:val="auto"/>
          <w:sz w:val="32"/>
          <w:szCs w:val="32"/>
          <w:highlight w:val="none"/>
          <w:lang w:val="en-US" w:eastAsia="zh-CN"/>
        </w:rPr>
        <w:t>28.57</w:t>
      </w:r>
      <w:r>
        <w:rPr>
          <w:rFonts w:hint="eastAsia" w:ascii="Times New Roman" w:hAnsi="Times New Roman" w:eastAsia="仿宋_GB2312"/>
          <w:color w:val="auto"/>
          <w:sz w:val="32"/>
          <w:szCs w:val="32"/>
          <w:highlight w:val="none"/>
          <w:lang w:val="zh-CN" w:eastAsia="zh-CN"/>
        </w:rPr>
        <w:t>%，主要原因是：2023年开展四下基层活动指导乡镇退役军人服务站开展工作较多，因此公务用车运行维护费增加。其中：因公出国（境）费支出0.00万元，占0.00%，比上年增加0.00万元，增长0.00%，主要原因是：</w:t>
      </w:r>
      <w:r>
        <w:rPr>
          <w:rFonts w:hint="eastAsia" w:eastAsia="仿宋_GB2312"/>
          <w:color w:val="auto"/>
          <w:sz w:val="31"/>
          <w:szCs w:val="31"/>
          <w:highlight w:val="none"/>
          <w:lang w:eastAsia="zh-CN"/>
        </w:rPr>
        <w:t>我部门无</w:t>
      </w:r>
      <w:r>
        <w:rPr>
          <w:rFonts w:hint="eastAsia" w:ascii="Times New Roman" w:hAnsi="Times New Roman" w:eastAsia="仿宋_GB2312"/>
          <w:color w:val="auto"/>
          <w:sz w:val="32"/>
          <w:szCs w:val="32"/>
          <w:highlight w:val="none"/>
          <w:lang w:val="zh-CN" w:eastAsia="zh-CN"/>
        </w:rPr>
        <w:t>因公出国（境）费</w:t>
      </w:r>
      <w:r>
        <w:rPr>
          <w:rFonts w:hint="eastAsia" w:eastAsia="仿宋_GB2312"/>
          <w:color w:val="auto"/>
          <w:sz w:val="32"/>
          <w:szCs w:val="32"/>
          <w:highlight w:val="none"/>
          <w:lang w:val="zh-CN" w:eastAsia="zh-CN"/>
        </w:rPr>
        <w:t>支出，</w:t>
      </w:r>
      <w:r>
        <w:rPr>
          <w:rFonts w:hint="eastAsia" w:ascii="Times New Roman" w:hAnsi="Times New Roman" w:eastAsia="仿宋_GB2312"/>
          <w:color w:val="auto"/>
          <w:sz w:val="31"/>
          <w:szCs w:val="31"/>
          <w:highlight w:val="none"/>
        </w:rPr>
        <w:t>与上年相比无变</w:t>
      </w:r>
      <w:r>
        <w:rPr>
          <w:rFonts w:hint="eastAsia" w:ascii="Times New Roman" w:hAnsi="Times New Roman" w:eastAsia="仿宋_GB2312"/>
          <w:color w:val="auto"/>
          <w:sz w:val="31"/>
          <w:szCs w:val="31"/>
          <w:highlight w:val="none"/>
          <w:lang w:eastAsia="zh-CN"/>
        </w:rPr>
        <w:t>动</w:t>
      </w:r>
      <w:r>
        <w:rPr>
          <w:rFonts w:hint="eastAsia" w:ascii="Times New Roman" w:hAnsi="Times New Roman" w:eastAsia="仿宋_GB2312"/>
          <w:color w:val="auto"/>
          <w:sz w:val="32"/>
          <w:szCs w:val="32"/>
          <w:highlight w:val="none"/>
          <w:lang w:val="zh-CN" w:eastAsia="zh-CN"/>
        </w:rPr>
        <w:t>；公务用车购置及运行维护费支出7.20万元，占100.00%，</w:t>
      </w:r>
      <w:r>
        <w:rPr>
          <w:rFonts w:hint="eastAsia" w:ascii="Times New Roman" w:hAnsi="Times New Roman" w:eastAsia="仿宋_GB2312"/>
          <w:color w:val="auto"/>
          <w:sz w:val="32"/>
          <w:szCs w:val="32"/>
          <w:highlight w:val="none"/>
          <w:lang w:val="en-US" w:eastAsia="zh-CN"/>
        </w:rPr>
        <w:t>比上年</w:t>
      </w:r>
      <w:r>
        <w:rPr>
          <w:rFonts w:hint="eastAsia" w:ascii="Times New Roman" w:hAnsi="Times New Roman" w:eastAsia="仿宋_GB2312"/>
          <w:color w:val="auto"/>
          <w:sz w:val="32"/>
          <w:szCs w:val="32"/>
          <w:highlight w:val="none"/>
          <w:lang w:val="zh-CN" w:eastAsia="zh-CN"/>
        </w:rPr>
        <w:t>增加1.60万元，增长</w:t>
      </w:r>
      <w:r>
        <w:rPr>
          <w:rFonts w:hint="eastAsia" w:eastAsia="仿宋_GB2312"/>
          <w:color w:val="auto"/>
          <w:sz w:val="32"/>
          <w:szCs w:val="32"/>
          <w:highlight w:val="none"/>
          <w:lang w:val="en-US" w:eastAsia="zh-CN"/>
        </w:rPr>
        <w:t>28.57</w:t>
      </w:r>
      <w:r>
        <w:rPr>
          <w:rFonts w:hint="eastAsia" w:ascii="Times New Roman" w:hAnsi="Times New Roman" w:eastAsia="仿宋_GB2312"/>
          <w:color w:val="auto"/>
          <w:sz w:val="32"/>
          <w:szCs w:val="32"/>
          <w:highlight w:val="none"/>
          <w:lang w:val="zh-CN" w:eastAsia="zh-CN"/>
        </w:rPr>
        <w:t>%，主要原因是：2023年开展四下基层活动指导乡镇退役军人服务站开展工作较多，因此公务用车运行维护费增加；公务接待费支出0.00万元，占0.00%，比上年增加0.00万元，增长0.00%，主要原因是：</w:t>
      </w:r>
      <w:r>
        <w:rPr>
          <w:rFonts w:hint="eastAsia" w:eastAsia="仿宋_GB2312"/>
          <w:color w:val="auto"/>
          <w:sz w:val="31"/>
          <w:szCs w:val="31"/>
          <w:highlight w:val="none"/>
          <w:lang w:eastAsia="zh-CN"/>
        </w:rPr>
        <w:t>我部门无</w:t>
      </w:r>
      <w:r>
        <w:rPr>
          <w:rFonts w:hint="eastAsia" w:ascii="Times New Roman" w:hAnsi="Times New Roman" w:eastAsia="仿宋_GB2312"/>
          <w:color w:val="auto"/>
          <w:sz w:val="32"/>
          <w:szCs w:val="32"/>
          <w:highlight w:val="none"/>
          <w:lang w:val="zh-CN" w:eastAsia="zh-CN"/>
        </w:rPr>
        <w:t>公务接待费</w:t>
      </w:r>
      <w:r>
        <w:rPr>
          <w:rFonts w:hint="eastAsia" w:eastAsia="仿宋_GB2312"/>
          <w:color w:val="auto"/>
          <w:sz w:val="32"/>
          <w:szCs w:val="32"/>
          <w:highlight w:val="none"/>
          <w:lang w:val="zh-CN" w:eastAsia="zh-CN"/>
        </w:rPr>
        <w:t>支出，</w:t>
      </w:r>
      <w:r>
        <w:rPr>
          <w:rFonts w:hint="eastAsia" w:ascii="Times New Roman" w:hAnsi="Times New Roman" w:eastAsia="仿宋_GB2312"/>
          <w:color w:val="auto"/>
          <w:sz w:val="31"/>
          <w:szCs w:val="31"/>
          <w:highlight w:val="none"/>
        </w:rPr>
        <w:t>与上年相比无变</w:t>
      </w:r>
      <w:r>
        <w:rPr>
          <w:rFonts w:hint="eastAsia" w:ascii="Times New Roman" w:hAnsi="Times New Roman" w:eastAsia="仿宋_GB2312"/>
          <w:color w:val="auto"/>
          <w:sz w:val="31"/>
          <w:szCs w:val="31"/>
          <w:highlight w:val="none"/>
          <w:lang w:eastAsia="zh-CN"/>
        </w:rPr>
        <w:t>动</w:t>
      </w:r>
      <w:r>
        <w:rPr>
          <w:rFonts w:hint="eastAsia" w:ascii="Times New Roman" w:hAnsi="Times New Roman"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olor w:val="auto"/>
          <w:sz w:val="32"/>
          <w:szCs w:val="32"/>
          <w:highlight w:val="none"/>
          <w:lang w:val="zh-CN" w:eastAsia="zh-CN"/>
        </w:rPr>
      </w:pPr>
      <w:r>
        <w:rPr>
          <w:rFonts w:hint="eastAsia" w:ascii="Times New Roman" w:hAnsi="Times New Roman"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olor w:val="auto"/>
          <w:sz w:val="32"/>
          <w:szCs w:val="32"/>
          <w:highlight w:val="none"/>
          <w:lang w:val="zh-CN" w:eastAsia="zh-CN"/>
        </w:rPr>
      </w:pPr>
      <w:r>
        <w:rPr>
          <w:rFonts w:hint="eastAsia" w:ascii="Times New Roman" w:hAnsi="Times New Roman" w:eastAsia="仿宋_GB2312"/>
          <w:color w:val="auto"/>
          <w:sz w:val="32"/>
          <w:szCs w:val="32"/>
          <w:highlight w:val="none"/>
          <w:lang w:val="zh-CN" w:eastAsia="zh-CN"/>
        </w:rPr>
        <w:t>因公出国（境）费支出0.00万元，开支内容包括：</w:t>
      </w:r>
      <w:r>
        <w:rPr>
          <w:rFonts w:hint="eastAsia" w:ascii="Times New Roman" w:hAnsi="Times New Roman" w:eastAsia="仿宋_GB2312"/>
          <w:color w:val="auto"/>
          <w:sz w:val="31"/>
          <w:szCs w:val="31"/>
          <w:highlight w:val="none"/>
          <w:lang w:eastAsia="zh-CN"/>
        </w:rPr>
        <w:t>本</w:t>
      </w:r>
      <w:r>
        <w:rPr>
          <w:rFonts w:hint="eastAsia" w:ascii="Times New Roman" w:hAnsi="Times New Roman" w:eastAsia="仿宋_GB2312"/>
          <w:color w:val="auto"/>
          <w:sz w:val="31"/>
          <w:szCs w:val="31"/>
          <w:highlight w:val="none"/>
        </w:rPr>
        <w:t>年未安排因公出国（境）费支出，无开支内</w:t>
      </w:r>
      <w:r>
        <w:rPr>
          <w:rFonts w:hint="eastAsia" w:ascii="Times New Roman" w:hAnsi="Times New Roman" w:eastAsia="仿宋_GB2312"/>
          <w:color w:val="auto"/>
          <w:sz w:val="31"/>
          <w:szCs w:val="31"/>
          <w:highlight w:val="none"/>
          <w:lang w:eastAsia="zh-CN"/>
        </w:rPr>
        <w:t>容</w:t>
      </w:r>
      <w:r>
        <w:rPr>
          <w:rFonts w:hint="eastAsia" w:ascii="Times New Roman" w:hAnsi="Times New Roman"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zh-CN" w:eastAsia="zh-CN"/>
        </w:rPr>
        <w:t>公务用车购置及运行维护费7.20万元，其中：公务用车购置费0.00万元，公务用车运行维护费7.20万元。公务用车运行维护费开支内容包括</w:t>
      </w:r>
      <w:r>
        <w:rPr>
          <w:rFonts w:hint="eastAsia" w:ascii="Times New Roman" w:hAnsi="Times New Roman" w:eastAsia="仿宋_GB2312"/>
          <w:color w:val="auto"/>
          <w:sz w:val="31"/>
          <w:szCs w:val="31"/>
          <w:highlight w:val="none"/>
          <w:lang w:eastAsia="zh-CN"/>
        </w:rPr>
        <w:t>公</w:t>
      </w:r>
      <w:r>
        <w:rPr>
          <w:rFonts w:hint="eastAsia" w:ascii="Times New Roman" w:hAnsi="Times New Roman" w:eastAsia="仿宋_GB2312" w:cs="宋体"/>
          <w:color w:val="auto"/>
          <w:kern w:val="0"/>
          <w:sz w:val="31"/>
          <w:szCs w:val="31"/>
          <w:highlight w:val="none"/>
          <w:lang w:eastAsia="zh-CN"/>
        </w:rPr>
        <w:t>务用车加油费、公务用车维修费、车辆保险费</w:t>
      </w:r>
      <w:r>
        <w:rPr>
          <w:rFonts w:hint="eastAsia" w:ascii="Times New Roman" w:hAnsi="Times New Roman" w:eastAsia="仿宋_GB2312"/>
          <w:color w:val="auto"/>
          <w:sz w:val="32"/>
          <w:szCs w:val="32"/>
          <w:highlight w:val="none"/>
          <w:lang w:val="zh-CN" w:eastAsia="zh-CN"/>
        </w:rPr>
        <w:t>。公务用车购置数0辆，公务用车保有量3辆。国有资产占用情况</w:t>
      </w:r>
      <w:r>
        <w:rPr>
          <w:rFonts w:hint="eastAsia" w:ascii="Times New Roman" w:hAnsi="Times New Roman" w:eastAsia="仿宋_GB2312"/>
          <w:color w:val="auto"/>
          <w:sz w:val="32"/>
          <w:szCs w:val="32"/>
          <w:highlight w:val="none"/>
          <w:lang w:val="en-US" w:eastAsia="zh-CN"/>
        </w:rPr>
        <w:t>中固定资产车辆</w:t>
      </w:r>
      <w:r>
        <w:rPr>
          <w:rFonts w:hint="eastAsia" w:ascii="Times New Roman" w:hAnsi="Times New Roman" w:eastAsia="仿宋_GB2312"/>
          <w:color w:val="auto"/>
          <w:sz w:val="32"/>
          <w:szCs w:val="32"/>
          <w:highlight w:val="none"/>
          <w:lang w:val="zh-CN" w:eastAsia="zh-CN"/>
        </w:rPr>
        <w:t>3辆，</w:t>
      </w:r>
      <w:r>
        <w:rPr>
          <w:rFonts w:hint="eastAsia" w:ascii="Times New Roman" w:hAnsi="Times New Roman" w:eastAsia="仿宋_GB2312"/>
          <w:color w:val="auto"/>
          <w:sz w:val="32"/>
          <w:szCs w:val="32"/>
          <w:highlight w:val="none"/>
          <w:lang w:val="en-US" w:eastAsia="zh-CN"/>
        </w:rPr>
        <w:t>与</w:t>
      </w:r>
      <w:r>
        <w:rPr>
          <w:rFonts w:hint="eastAsia" w:ascii="Times New Roman" w:hAnsi="Times New Roman" w:eastAsia="仿宋_GB2312"/>
          <w:color w:val="auto"/>
          <w:sz w:val="32"/>
          <w:szCs w:val="32"/>
          <w:highlight w:val="none"/>
          <w:lang w:val="zh-CN" w:eastAsia="zh-CN"/>
        </w:rPr>
        <w:t>公务用车</w:t>
      </w:r>
      <w:r>
        <w:rPr>
          <w:rFonts w:hint="eastAsia" w:ascii="Times New Roman" w:hAnsi="Times New Roman" w:eastAsia="仿宋_GB2312"/>
          <w:color w:val="auto"/>
          <w:sz w:val="32"/>
          <w:szCs w:val="32"/>
          <w:highlight w:val="none"/>
          <w:lang w:val="en-US" w:eastAsia="zh-CN"/>
        </w:rPr>
        <w:t>保有量差异</w:t>
      </w:r>
      <w:r>
        <w:rPr>
          <w:rFonts w:hint="eastAsia" w:ascii="Times New Roman" w:hAnsi="Times New Roman" w:eastAsia="仿宋_GB2312"/>
          <w:color w:val="auto"/>
          <w:sz w:val="32"/>
          <w:szCs w:val="32"/>
          <w:highlight w:val="none"/>
          <w:lang w:val="zh-CN" w:eastAsia="zh-CN"/>
        </w:rPr>
        <w:t>原因是：</w:t>
      </w:r>
      <w:r>
        <w:rPr>
          <w:rFonts w:hint="eastAsia" w:ascii="Times New Roman" w:hAnsi="Times New Roman" w:eastAsia="仿宋_GB2312"/>
          <w:color w:val="auto"/>
          <w:sz w:val="31"/>
          <w:szCs w:val="31"/>
          <w:highlight w:val="none"/>
        </w:rPr>
        <w:t>公务用车保有量</w:t>
      </w:r>
      <w:r>
        <w:rPr>
          <w:rFonts w:hint="eastAsia" w:ascii="Times New Roman" w:hAnsi="Times New Roman" w:eastAsia="仿宋_GB2312"/>
          <w:color w:val="auto"/>
          <w:sz w:val="31"/>
          <w:szCs w:val="31"/>
          <w:highlight w:val="none"/>
          <w:lang w:val="en-US" w:eastAsia="zh-CN"/>
        </w:rPr>
        <w:t>3</w:t>
      </w:r>
      <w:r>
        <w:rPr>
          <w:rFonts w:hint="eastAsia" w:ascii="Times New Roman" w:hAnsi="Times New Roman" w:eastAsia="仿宋_GB2312"/>
          <w:color w:val="auto"/>
          <w:sz w:val="31"/>
          <w:szCs w:val="31"/>
          <w:highlight w:val="none"/>
        </w:rPr>
        <w:t>辆</w:t>
      </w:r>
      <w:r>
        <w:rPr>
          <w:rFonts w:hint="eastAsia" w:eastAsia="仿宋_GB2312"/>
          <w:color w:val="auto"/>
          <w:sz w:val="31"/>
          <w:szCs w:val="31"/>
          <w:highlight w:val="none"/>
          <w:lang w:val="en-US" w:eastAsia="zh-CN"/>
        </w:rPr>
        <w:t>，</w:t>
      </w:r>
      <w:r>
        <w:rPr>
          <w:rFonts w:hint="eastAsia" w:ascii="Times New Roman" w:hAnsi="Times New Roman" w:eastAsia="仿宋_GB2312"/>
          <w:color w:val="auto"/>
          <w:sz w:val="31"/>
          <w:szCs w:val="31"/>
          <w:highlight w:val="none"/>
          <w:lang w:val="en-US" w:eastAsia="zh-CN"/>
        </w:rPr>
        <w:t>无差异</w:t>
      </w:r>
      <w:r>
        <w:rPr>
          <w:rFonts w:hint="eastAsia" w:ascii="Times New Roman" w:hAnsi="Times New Roman"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olor w:val="auto"/>
          <w:sz w:val="32"/>
          <w:szCs w:val="32"/>
          <w:highlight w:val="none"/>
          <w:lang w:val="zh-CN" w:eastAsia="zh-CN"/>
        </w:rPr>
      </w:pPr>
      <w:r>
        <w:rPr>
          <w:rFonts w:hint="eastAsia" w:ascii="Times New Roman" w:hAnsi="Times New Roman" w:eastAsia="仿宋_GB2312"/>
          <w:color w:val="auto"/>
          <w:sz w:val="32"/>
          <w:szCs w:val="32"/>
          <w:highlight w:val="none"/>
          <w:lang w:val="zh-CN" w:eastAsia="zh-CN"/>
        </w:rPr>
        <w:t>公务接待费0.00万元，开支内容包括：</w:t>
      </w:r>
      <w:r>
        <w:rPr>
          <w:rFonts w:hint="eastAsia" w:ascii="Times New Roman" w:hAnsi="Times New Roman" w:eastAsia="仿宋_GB2312"/>
          <w:color w:val="auto"/>
          <w:sz w:val="31"/>
          <w:szCs w:val="31"/>
          <w:highlight w:val="none"/>
        </w:rPr>
        <w:t>未安排</w:t>
      </w:r>
      <w:r>
        <w:rPr>
          <w:rFonts w:hint="eastAsia" w:ascii="Times New Roman" w:hAnsi="Times New Roman" w:eastAsia="仿宋_GB2312"/>
          <w:color w:val="auto"/>
          <w:sz w:val="31"/>
          <w:szCs w:val="31"/>
          <w:highlight w:val="none"/>
          <w:lang w:eastAsia="zh-CN"/>
        </w:rPr>
        <w:t>公务接待费</w:t>
      </w:r>
      <w:r>
        <w:rPr>
          <w:rFonts w:hint="eastAsia" w:ascii="Times New Roman" w:hAnsi="Times New Roman" w:eastAsia="仿宋_GB2312"/>
          <w:color w:val="auto"/>
          <w:sz w:val="31"/>
          <w:szCs w:val="31"/>
          <w:highlight w:val="none"/>
        </w:rPr>
        <w:t>，无开支内</w:t>
      </w:r>
      <w:r>
        <w:rPr>
          <w:rFonts w:hint="eastAsia" w:ascii="Times New Roman" w:hAnsi="Times New Roman" w:eastAsia="仿宋_GB2312"/>
          <w:color w:val="auto"/>
          <w:sz w:val="31"/>
          <w:szCs w:val="31"/>
          <w:highlight w:val="none"/>
          <w:lang w:eastAsia="zh-CN"/>
        </w:rPr>
        <w:t>容</w:t>
      </w:r>
      <w:r>
        <w:rPr>
          <w:rFonts w:hint="eastAsia" w:ascii="Times New Roman" w:hAnsi="Times New Roman"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olor w:val="auto"/>
          <w:sz w:val="32"/>
          <w:szCs w:val="32"/>
          <w:highlight w:val="none"/>
          <w:lang w:val="zh-CN" w:eastAsia="zh-CN"/>
        </w:rPr>
      </w:pPr>
      <w:r>
        <w:rPr>
          <w:rFonts w:hint="eastAsia" w:ascii="Times New Roman" w:hAnsi="Times New Roman" w:eastAsia="仿宋_GB2312"/>
          <w:color w:val="auto"/>
          <w:sz w:val="32"/>
          <w:szCs w:val="32"/>
          <w:highlight w:val="none"/>
          <w:lang w:val="zh-CN" w:eastAsia="zh-CN"/>
        </w:rPr>
        <w:t>与</w:t>
      </w:r>
      <w:r>
        <w:rPr>
          <w:rFonts w:hint="eastAsia" w:ascii="Times New Roman" w:hAnsi="Times New Roman" w:eastAsia="仿宋_GB2312"/>
          <w:color w:val="auto"/>
          <w:sz w:val="32"/>
          <w:szCs w:val="32"/>
          <w:highlight w:val="none"/>
          <w:lang w:val="en-US" w:eastAsia="zh-CN"/>
        </w:rPr>
        <w:t>全年</w:t>
      </w:r>
      <w:r>
        <w:rPr>
          <w:rFonts w:hint="eastAsia" w:ascii="Times New Roman" w:hAnsi="Times New Roman" w:eastAsia="仿宋_GB2312"/>
          <w:color w:val="auto"/>
          <w:sz w:val="32"/>
          <w:szCs w:val="32"/>
          <w:highlight w:val="none"/>
          <w:lang w:val="zh-CN" w:eastAsia="zh-CN"/>
        </w:rPr>
        <w:t>预算相比</w:t>
      </w:r>
      <w:r>
        <w:rPr>
          <w:rFonts w:hint="eastAsia" w:ascii="Times New Roman" w:hAnsi="Times New Roman" w:eastAsia="仿宋_GB2312"/>
          <w:color w:val="auto"/>
          <w:sz w:val="32"/>
          <w:szCs w:val="32"/>
          <w:highlight w:val="none"/>
          <w:lang w:val="en-US" w:eastAsia="zh-CN"/>
        </w:rPr>
        <w:t>,</w:t>
      </w:r>
      <w:r>
        <w:rPr>
          <w:rFonts w:hint="eastAsia" w:ascii="Times New Roman" w:hAnsi="Times New Roman" w:eastAsia="仿宋_GB2312"/>
          <w:color w:val="auto"/>
          <w:sz w:val="32"/>
          <w:szCs w:val="32"/>
          <w:highlight w:val="none"/>
          <w:lang w:val="zh-CN" w:eastAsia="zh-CN"/>
        </w:rPr>
        <w:t>财政拨款“三公”经费支出</w:t>
      </w:r>
      <w:r>
        <w:rPr>
          <w:rFonts w:hint="eastAsia" w:ascii="Times New Roman" w:hAnsi="Times New Roman" w:eastAsia="仿宋_GB2312"/>
          <w:color w:val="auto"/>
          <w:sz w:val="32"/>
          <w:szCs w:val="32"/>
          <w:highlight w:val="none"/>
          <w:lang w:val="en-US" w:eastAsia="zh-CN"/>
        </w:rPr>
        <w:t>全年</w:t>
      </w:r>
      <w:r>
        <w:rPr>
          <w:rFonts w:hint="eastAsia" w:ascii="Times New Roman" w:hAnsi="Times New Roman" w:eastAsia="仿宋_GB2312"/>
          <w:color w:val="auto"/>
          <w:sz w:val="32"/>
          <w:szCs w:val="32"/>
          <w:highlight w:val="none"/>
          <w:lang w:val="zh-CN" w:eastAsia="zh-CN"/>
        </w:rPr>
        <w:t>预算数7.20万元，决算数7.20万元，预决算差异率0.00%，主要原因是：</w:t>
      </w:r>
      <w:r>
        <w:rPr>
          <w:rFonts w:hint="eastAsia" w:ascii="Times New Roman" w:hAnsi="Times New Roman" w:eastAsia="仿宋_GB2312"/>
          <w:color w:val="auto"/>
          <w:sz w:val="31"/>
          <w:szCs w:val="31"/>
          <w:highlight w:val="none"/>
          <w:lang w:eastAsia="zh-CN"/>
        </w:rPr>
        <w:t>预决算无差异</w:t>
      </w:r>
      <w:r>
        <w:rPr>
          <w:rFonts w:hint="eastAsia" w:ascii="Times New Roman" w:hAnsi="Times New Roman" w:eastAsia="仿宋_GB2312"/>
          <w:color w:val="auto"/>
          <w:sz w:val="32"/>
          <w:szCs w:val="32"/>
          <w:highlight w:val="none"/>
          <w:lang w:val="zh-CN" w:eastAsia="zh-CN"/>
        </w:rPr>
        <w:t>。其中：因公出国（境）费</w:t>
      </w:r>
      <w:r>
        <w:rPr>
          <w:rFonts w:hint="eastAsia" w:ascii="Times New Roman" w:hAnsi="Times New Roman" w:eastAsia="仿宋_GB2312"/>
          <w:color w:val="auto"/>
          <w:sz w:val="32"/>
          <w:szCs w:val="32"/>
          <w:highlight w:val="none"/>
          <w:lang w:val="en-US" w:eastAsia="zh-CN"/>
        </w:rPr>
        <w:t>全年预算数</w:t>
      </w:r>
      <w:r>
        <w:rPr>
          <w:rFonts w:hint="eastAsia" w:ascii="Times New Roman" w:hAnsi="Times New Roman" w:eastAsia="仿宋_GB2312"/>
          <w:color w:val="auto"/>
          <w:sz w:val="32"/>
          <w:szCs w:val="32"/>
          <w:highlight w:val="none"/>
          <w:lang w:val="zh-CN" w:eastAsia="zh-CN"/>
        </w:rPr>
        <w:t>0.00万元，决算数0.00万元，预决算差异率0.00%，主要原因是：</w:t>
      </w:r>
      <w:r>
        <w:rPr>
          <w:rFonts w:hint="eastAsia" w:eastAsia="仿宋_GB2312"/>
          <w:color w:val="auto"/>
          <w:sz w:val="31"/>
          <w:szCs w:val="31"/>
          <w:highlight w:val="none"/>
          <w:lang w:eastAsia="zh-CN"/>
        </w:rPr>
        <w:t>我部门无</w:t>
      </w:r>
      <w:r>
        <w:rPr>
          <w:rFonts w:hint="eastAsia" w:ascii="Times New Roman" w:hAnsi="Times New Roman" w:eastAsia="仿宋_GB2312"/>
          <w:color w:val="auto"/>
          <w:sz w:val="32"/>
          <w:szCs w:val="32"/>
          <w:highlight w:val="none"/>
          <w:lang w:val="zh-CN" w:eastAsia="zh-CN"/>
        </w:rPr>
        <w:t>因公出国（境）费</w:t>
      </w:r>
      <w:r>
        <w:rPr>
          <w:rFonts w:hint="eastAsia" w:eastAsia="仿宋_GB2312"/>
          <w:color w:val="auto"/>
          <w:sz w:val="32"/>
          <w:szCs w:val="32"/>
          <w:highlight w:val="none"/>
          <w:lang w:val="zh-CN" w:eastAsia="zh-CN"/>
        </w:rPr>
        <w:t>支出</w:t>
      </w:r>
      <w:r>
        <w:rPr>
          <w:rFonts w:hint="eastAsia" w:ascii="Times New Roman" w:hAnsi="Times New Roman" w:eastAsia="仿宋_GB2312"/>
          <w:color w:val="auto"/>
          <w:sz w:val="32"/>
          <w:szCs w:val="32"/>
          <w:highlight w:val="none"/>
          <w:lang w:val="zh-CN" w:eastAsia="zh-CN"/>
        </w:rPr>
        <w:t>；公务用车购置费</w:t>
      </w:r>
      <w:r>
        <w:rPr>
          <w:rFonts w:hint="eastAsia" w:ascii="Times New Roman" w:hAnsi="Times New Roman" w:eastAsia="仿宋_GB2312"/>
          <w:color w:val="auto"/>
          <w:sz w:val="32"/>
          <w:szCs w:val="32"/>
          <w:highlight w:val="none"/>
          <w:lang w:val="en-US" w:eastAsia="zh-CN"/>
        </w:rPr>
        <w:t>全年</w:t>
      </w:r>
      <w:r>
        <w:rPr>
          <w:rFonts w:hint="eastAsia" w:ascii="Times New Roman" w:hAnsi="Times New Roman" w:eastAsia="仿宋_GB2312"/>
          <w:color w:val="auto"/>
          <w:sz w:val="32"/>
          <w:szCs w:val="32"/>
          <w:highlight w:val="none"/>
          <w:lang w:val="zh-CN" w:eastAsia="zh-CN"/>
        </w:rPr>
        <w:t>预算数0.00万元，决算数0.00万元，预决算差异率0.00%，主要原因是：</w:t>
      </w:r>
      <w:r>
        <w:rPr>
          <w:rFonts w:hint="eastAsia" w:eastAsia="仿宋_GB2312"/>
          <w:color w:val="auto"/>
          <w:sz w:val="31"/>
          <w:szCs w:val="31"/>
          <w:highlight w:val="none"/>
          <w:lang w:eastAsia="zh-CN"/>
        </w:rPr>
        <w:t>我部门无</w:t>
      </w:r>
      <w:r>
        <w:rPr>
          <w:rFonts w:hint="eastAsia" w:ascii="Times New Roman" w:hAnsi="Times New Roman" w:eastAsia="仿宋_GB2312"/>
          <w:color w:val="auto"/>
          <w:sz w:val="32"/>
          <w:szCs w:val="32"/>
          <w:highlight w:val="none"/>
          <w:lang w:val="zh-CN" w:eastAsia="zh-CN"/>
        </w:rPr>
        <w:t>公务用车购置费</w:t>
      </w:r>
      <w:r>
        <w:rPr>
          <w:rFonts w:hint="eastAsia" w:eastAsia="仿宋_GB2312"/>
          <w:color w:val="auto"/>
          <w:sz w:val="32"/>
          <w:szCs w:val="32"/>
          <w:highlight w:val="none"/>
          <w:lang w:val="zh-CN" w:eastAsia="zh-CN"/>
        </w:rPr>
        <w:t>支出</w:t>
      </w:r>
      <w:r>
        <w:rPr>
          <w:rFonts w:hint="eastAsia" w:ascii="Times New Roman" w:hAnsi="Times New Roman" w:eastAsia="仿宋_GB2312"/>
          <w:color w:val="auto"/>
          <w:sz w:val="32"/>
          <w:szCs w:val="32"/>
          <w:highlight w:val="none"/>
          <w:lang w:val="zh-CN" w:eastAsia="zh-CN"/>
        </w:rPr>
        <w:t>；公务用车运行费</w:t>
      </w:r>
      <w:r>
        <w:rPr>
          <w:rFonts w:hint="eastAsia" w:ascii="Times New Roman" w:hAnsi="Times New Roman" w:eastAsia="仿宋_GB2312"/>
          <w:color w:val="auto"/>
          <w:sz w:val="32"/>
          <w:szCs w:val="32"/>
          <w:highlight w:val="none"/>
          <w:lang w:val="en-US" w:eastAsia="zh-CN"/>
        </w:rPr>
        <w:t>全年</w:t>
      </w:r>
      <w:r>
        <w:rPr>
          <w:rFonts w:hint="eastAsia" w:ascii="Times New Roman" w:hAnsi="Times New Roman" w:eastAsia="仿宋_GB2312"/>
          <w:color w:val="auto"/>
          <w:sz w:val="32"/>
          <w:szCs w:val="32"/>
          <w:highlight w:val="none"/>
          <w:lang w:val="zh-CN" w:eastAsia="zh-CN"/>
        </w:rPr>
        <w:t>预算数7.20万元，决算数7.20万元，预决算差异率0.00%，主要原因是：</w:t>
      </w:r>
      <w:r>
        <w:rPr>
          <w:rFonts w:hint="eastAsia" w:ascii="Times New Roman" w:hAnsi="Times New Roman" w:eastAsia="仿宋_GB2312"/>
          <w:color w:val="auto"/>
          <w:sz w:val="31"/>
          <w:szCs w:val="31"/>
          <w:highlight w:val="none"/>
          <w:lang w:eastAsia="zh-CN"/>
        </w:rPr>
        <w:t>预决算无差异</w:t>
      </w:r>
      <w:r>
        <w:rPr>
          <w:rFonts w:hint="eastAsia" w:ascii="Times New Roman" w:hAnsi="Times New Roman" w:eastAsia="仿宋_GB2312"/>
          <w:color w:val="auto"/>
          <w:sz w:val="32"/>
          <w:szCs w:val="32"/>
          <w:highlight w:val="none"/>
          <w:lang w:val="zh-CN" w:eastAsia="zh-CN"/>
        </w:rPr>
        <w:t>；公务接待费</w:t>
      </w:r>
      <w:r>
        <w:rPr>
          <w:rFonts w:hint="eastAsia" w:ascii="Times New Roman" w:hAnsi="Times New Roman" w:eastAsia="仿宋_GB2312"/>
          <w:color w:val="auto"/>
          <w:sz w:val="32"/>
          <w:szCs w:val="32"/>
          <w:highlight w:val="none"/>
          <w:lang w:val="en-US" w:eastAsia="zh-CN"/>
        </w:rPr>
        <w:t>全年</w:t>
      </w:r>
      <w:r>
        <w:rPr>
          <w:rFonts w:hint="eastAsia" w:ascii="Times New Roman" w:hAnsi="Times New Roman" w:eastAsia="仿宋_GB2312"/>
          <w:color w:val="auto"/>
          <w:sz w:val="32"/>
          <w:szCs w:val="32"/>
          <w:highlight w:val="none"/>
          <w:lang w:val="zh-CN" w:eastAsia="zh-CN"/>
        </w:rPr>
        <w:t>预算数0.00万元，决算数0.00万元，预决算差异率0.00%，主要原因是：</w:t>
      </w:r>
      <w:r>
        <w:rPr>
          <w:rFonts w:hint="eastAsia" w:eastAsia="仿宋_GB2312"/>
          <w:color w:val="auto"/>
          <w:sz w:val="31"/>
          <w:szCs w:val="31"/>
          <w:highlight w:val="none"/>
          <w:lang w:eastAsia="zh-CN"/>
        </w:rPr>
        <w:t>我部门无</w:t>
      </w:r>
      <w:r>
        <w:rPr>
          <w:rFonts w:hint="eastAsia" w:ascii="Times New Roman" w:hAnsi="Times New Roman" w:eastAsia="仿宋_GB2312"/>
          <w:color w:val="auto"/>
          <w:sz w:val="32"/>
          <w:szCs w:val="32"/>
          <w:highlight w:val="none"/>
          <w:lang w:val="zh-CN" w:eastAsia="zh-CN"/>
        </w:rPr>
        <w:t>公务接待费</w:t>
      </w:r>
      <w:r>
        <w:rPr>
          <w:rFonts w:hint="eastAsia" w:eastAsia="仿宋_GB2312"/>
          <w:color w:val="auto"/>
          <w:sz w:val="32"/>
          <w:szCs w:val="32"/>
          <w:highlight w:val="none"/>
          <w:lang w:val="zh-CN" w:eastAsia="zh-CN"/>
        </w:rPr>
        <w:t>支出</w:t>
      </w:r>
      <w:r>
        <w:rPr>
          <w:rFonts w:hint="eastAsia" w:ascii="Times New Roman" w:hAnsi="Times New Roman"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宋体"/>
          <w:bCs/>
          <w:color w:val="auto"/>
          <w:kern w:val="0"/>
          <w:sz w:val="32"/>
          <w:szCs w:val="32"/>
          <w:highlight w:val="none"/>
          <w:lang w:eastAsia="zh-CN"/>
        </w:rPr>
      </w:pPr>
      <w:bookmarkStart w:id="18" w:name="_Toc7927"/>
      <w:bookmarkStart w:id="19" w:name="_Toc5810"/>
      <w:r>
        <w:rPr>
          <w:rFonts w:hint="eastAsia" w:ascii="Times New Roman" w:hAnsi="Times New Roman" w:eastAsia="黑体" w:cs="宋体"/>
          <w:bCs/>
          <w:color w:val="auto"/>
          <w:kern w:val="0"/>
          <w:sz w:val="32"/>
          <w:szCs w:val="32"/>
          <w:highlight w:val="none"/>
          <w:lang w:val="en-US" w:eastAsia="zh-CN"/>
        </w:rPr>
        <w:t>八</w:t>
      </w:r>
      <w:r>
        <w:rPr>
          <w:rFonts w:hint="eastAsia" w:ascii="Times New Roman" w:hAnsi="Times New Roman"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政府性基金预算</w:t>
      </w:r>
      <w:r>
        <w:rPr>
          <w:rFonts w:hint="eastAsia" w:ascii="Times New Roman" w:hAnsi="Times New Roman" w:eastAsia="仿宋_GB2312" w:cs="Times New Roman"/>
          <w:color w:val="auto"/>
          <w:sz w:val="32"/>
          <w:szCs w:val="32"/>
          <w:highlight w:val="none"/>
          <w:lang w:val="en-US" w:eastAsia="zh-CN"/>
        </w:rPr>
        <w:t>财政拨款</w:t>
      </w:r>
      <w:r>
        <w:rPr>
          <w:rFonts w:hint="eastAsia" w:ascii="Times New Roman" w:hAnsi="Times New Roman" w:eastAsia="仿宋_GB2312" w:cs="Times New Roman"/>
          <w:color w:val="auto"/>
          <w:sz w:val="32"/>
          <w:szCs w:val="32"/>
          <w:highlight w:val="none"/>
          <w:lang w:val="zh-CN"/>
        </w:rPr>
        <w:t>收入</w:t>
      </w:r>
      <w:r>
        <w:rPr>
          <w:rFonts w:hint="eastAsia" w:ascii="Times New Roman" w:hAnsi="Times New Roman" w:eastAsia="仿宋_GB2312" w:cs="Times New Roman"/>
          <w:color w:val="auto"/>
          <w:sz w:val="32"/>
          <w:szCs w:val="32"/>
          <w:highlight w:val="none"/>
          <w:lang w:val="en-US" w:eastAsia="zh-CN"/>
        </w:rPr>
        <w:t>总计285.83</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en-US" w:eastAsia="zh-CN"/>
        </w:rPr>
        <w:t>其中：年初结转和结余0.00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本年收入285.83</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rPr>
        <w:t>政府性基金预算财政拨款支出</w:t>
      </w:r>
      <w:r>
        <w:rPr>
          <w:rFonts w:hint="eastAsia" w:ascii="Times New Roman" w:hAnsi="Times New Roman" w:eastAsia="仿宋_GB2312" w:cs="Times New Roman"/>
          <w:color w:val="auto"/>
          <w:sz w:val="32"/>
          <w:szCs w:val="32"/>
          <w:highlight w:val="none"/>
          <w:lang w:val="en-US" w:eastAsia="zh-CN"/>
        </w:rPr>
        <w:t>总计285.83</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en-US" w:eastAsia="zh-CN"/>
        </w:rPr>
        <w:t>其中：年末结转和结余0.00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本年支出285.83</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rPr>
        <w:t>政府性基金预算财政拨款</w:t>
      </w:r>
      <w:r>
        <w:rPr>
          <w:rFonts w:hint="eastAsia" w:ascii="Times New Roman" w:hAnsi="Times New Roman" w:eastAsia="仿宋_GB2312" w:cs="Times New Roman"/>
          <w:color w:val="auto"/>
          <w:sz w:val="32"/>
          <w:szCs w:val="32"/>
          <w:highlight w:val="none"/>
          <w:lang w:val="en-US" w:eastAsia="zh-CN"/>
        </w:rPr>
        <w:t>收入支出</w:t>
      </w:r>
      <w:r>
        <w:rPr>
          <w:rFonts w:hint="eastAsia" w:ascii="Times New Roman" w:hAnsi="Times New Roman" w:eastAsia="仿宋_GB2312" w:cs="Times New Roman"/>
          <w:color w:val="auto"/>
          <w:sz w:val="32"/>
          <w:szCs w:val="32"/>
          <w:highlight w:val="none"/>
          <w:lang w:val="zh-CN"/>
        </w:rPr>
        <w:t>与上年相比，增加285.83万元，增长</w:t>
      </w:r>
      <w:r>
        <w:rPr>
          <w:rFonts w:hint="eastAsia" w:eastAsia="仿宋_GB2312" w:cs="Times New Roman"/>
          <w:color w:val="auto"/>
          <w:sz w:val="32"/>
          <w:szCs w:val="32"/>
          <w:highlight w:val="none"/>
          <w:lang w:val="en-US" w:eastAsia="zh-CN"/>
        </w:rPr>
        <w:t>100</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主要原因是</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en-US" w:eastAsia="zh-CN"/>
        </w:rPr>
        <w:t>中央彩票公益金支持</w:t>
      </w:r>
      <w:r>
        <w:rPr>
          <w:rFonts w:hint="eastAsia" w:ascii="Times New Roman" w:hAnsi="Times New Roman" w:eastAsia="仿宋_GB2312" w:cs="Times New Roman"/>
          <w:color w:val="auto"/>
          <w:sz w:val="32"/>
          <w:szCs w:val="32"/>
          <w:highlight w:val="none"/>
          <w:lang w:val="zh-CN"/>
        </w:rPr>
        <w:t>库尔勒烈士陵园建设项目支出</w:t>
      </w:r>
      <w:r>
        <w:rPr>
          <w:rFonts w:hint="eastAsia" w:ascii="Times New Roman" w:hAnsi="Times New Roman" w:eastAsia="仿宋_GB2312" w:cs="Times New Roman"/>
          <w:color w:val="auto"/>
          <w:sz w:val="32"/>
          <w:szCs w:val="32"/>
          <w:highlight w:val="none"/>
          <w:lang w:val="en-US" w:eastAsia="zh-CN"/>
        </w:rPr>
        <w:t>285.83万元，上年无此项目</w:t>
      </w:r>
      <w:r>
        <w:rPr>
          <w:rFonts w:hint="eastAsia" w:ascii="Times New Roman" w:hAnsi="Times New Roman" w:eastAsia="仿宋_GB2312" w:cs="Times New Roman"/>
          <w:color w:val="auto"/>
          <w:sz w:val="32"/>
          <w:szCs w:val="32"/>
          <w:highlight w:val="none"/>
          <w:lang w:val="zh-CN"/>
        </w:rPr>
        <w:t>。与</w:t>
      </w:r>
      <w:r>
        <w:rPr>
          <w:rFonts w:hint="eastAsia" w:ascii="Times New Roman" w:hAnsi="Times New Roman" w:eastAsia="仿宋_GB2312" w:cs="Times New Roman"/>
          <w:color w:val="auto"/>
          <w:sz w:val="32"/>
          <w:szCs w:val="32"/>
          <w:highlight w:val="none"/>
          <w:lang w:val="zh-CN" w:eastAsia="zh-CN"/>
        </w:rPr>
        <w:t>年初预算</w:t>
      </w:r>
      <w:r>
        <w:rPr>
          <w:rFonts w:hint="eastAsia" w:ascii="Times New Roman" w:hAnsi="Times New Roman" w:eastAsia="仿宋_GB2312" w:cs="Times New Roman"/>
          <w:color w:val="auto"/>
          <w:sz w:val="32"/>
          <w:szCs w:val="32"/>
          <w:highlight w:val="none"/>
          <w:lang w:val="zh-CN"/>
        </w:rPr>
        <w:t>相比</w:t>
      </w:r>
      <w:r>
        <w:rPr>
          <w:rFonts w:hint="eastAsia"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zh-CN" w:eastAsia="zh-CN"/>
        </w:rPr>
        <w:t>年初预算数</w:t>
      </w:r>
      <w:r>
        <w:rPr>
          <w:rFonts w:hint="eastAsia" w:ascii="Times New Roman" w:hAnsi="Times New Roman" w:eastAsia="仿宋_GB2312" w:cs="Times New Roman"/>
          <w:color w:val="auto"/>
          <w:sz w:val="32"/>
          <w:szCs w:val="32"/>
          <w:highlight w:val="none"/>
          <w:lang w:val="en-US" w:eastAsia="zh-CN"/>
        </w:rPr>
        <w:t>700.00</w:t>
      </w:r>
      <w:r>
        <w:rPr>
          <w:rFonts w:hint="eastAsia" w:ascii="Times New Roman" w:hAnsi="Times New Roman" w:eastAsia="仿宋_GB2312" w:cs="Times New Roman"/>
          <w:color w:val="auto"/>
          <w:sz w:val="32"/>
          <w:szCs w:val="32"/>
          <w:highlight w:val="none"/>
          <w:lang w:val="zh-CN"/>
        </w:rPr>
        <w:t>万元，决算数</w:t>
      </w:r>
      <w:r>
        <w:rPr>
          <w:rFonts w:hint="eastAsia" w:ascii="Times New Roman" w:hAnsi="Times New Roman" w:eastAsia="仿宋_GB2312" w:cs="Times New Roman"/>
          <w:color w:val="auto"/>
          <w:sz w:val="30"/>
          <w:szCs w:val="30"/>
          <w:highlight w:val="none"/>
          <w:lang w:val="en-US" w:eastAsia="zh-CN"/>
        </w:rPr>
        <w:t>285.83</w:t>
      </w:r>
      <w:r>
        <w:rPr>
          <w:rFonts w:hint="eastAsia" w:ascii="Times New Roman" w:hAnsi="Times New Roman" w:eastAsia="仿宋_GB2312" w:cs="Times New Roman"/>
          <w:color w:val="auto"/>
          <w:sz w:val="32"/>
          <w:szCs w:val="32"/>
          <w:highlight w:val="none"/>
          <w:lang w:val="zh-CN"/>
        </w:rPr>
        <w:t>万元，预决算差异率</w:t>
      </w:r>
      <w:r>
        <w:rPr>
          <w:rFonts w:hint="eastAsia" w:ascii="Times New Roman" w:hAnsi="Times New Roman" w:eastAsia="仿宋_GB2312" w:cs="Times New Roman"/>
          <w:color w:val="auto"/>
          <w:sz w:val="32"/>
          <w:szCs w:val="32"/>
          <w:highlight w:val="none"/>
          <w:lang w:val="zh-CN" w:eastAsia="zh-CN"/>
        </w:rPr>
        <w:t>-59.17%，主要原因是：</w:t>
      </w:r>
      <w:r>
        <w:rPr>
          <w:rFonts w:hint="eastAsia" w:ascii="Times New Roman" w:hAnsi="Times New Roman" w:eastAsia="仿宋_GB2312" w:cs="Times New Roman"/>
          <w:color w:val="auto"/>
          <w:sz w:val="32"/>
          <w:szCs w:val="32"/>
          <w:highlight w:val="none"/>
          <w:lang w:val="en-US" w:eastAsia="zh-CN"/>
        </w:rPr>
        <w:t>2023年中央彩票公益金支持</w:t>
      </w:r>
      <w:r>
        <w:rPr>
          <w:rFonts w:hint="eastAsia" w:ascii="Times New Roman" w:hAnsi="Times New Roman" w:eastAsia="仿宋_GB2312" w:cs="Times New Roman"/>
          <w:color w:val="auto"/>
          <w:sz w:val="32"/>
          <w:szCs w:val="32"/>
          <w:highlight w:val="none"/>
          <w:lang w:val="zh-CN"/>
        </w:rPr>
        <w:t>库尔勒烈士陵园建设项目预算资金</w:t>
      </w:r>
      <w:r>
        <w:rPr>
          <w:rFonts w:hint="eastAsia" w:ascii="Times New Roman" w:hAnsi="Times New Roman" w:eastAsia="仿宋_GB2312" w:cs="Times New Roman"/>
          <w:color w:val="auto"/>
          <w:sz w:val="32"/>
          <w:szCs w:val="32"/>
          <w:highlight w:val="none"/>
          <w:lang w:val="en-US" w:eastAsia="zh-CN"/>
        </w:rPr>
        <w:t>700万元，该项目2023年未完工，资金支付285.83万元，造成预决算差异</w:t>
      </w:r>
      <w:r>
        <w:rPr>
          <w:rFonts w:hint="eastAsia" w:ascii="Times New Roman" w:hAnsi="Times New Roman" w:eastAsia="仿宋_GB2312" w:cs="Times New Roman"/>
          <w:color w:val="auto"/>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rPr>
        <w:t>政府性基金预算财政拨款支出</w:t>
      </w:r>
      <w:r>
        <w:rPr>
          <w:rFonts w:hint="eastAsia" w:ascii="Times New Roman" w:hAnsi="Times New Roman" w:eastAsia="仿宋_GB2312" w:cs="Times New Roman"/>
          <w:color w:val="auto"/>
          <w:sz w:val="32"/>
          <w:szCs w:val="32"/>
          <w:highlight w:val="none"/>
          <w:lang w:val="zh-CN" w:eastAsia="zh-CN"/>
        </w:rPr>
        <w:t>285.83</w:t>
      </w:r>
      <w:r>
        <w:rPr>
          <w:rFonts w:hint="eastAsia" w:ascii="Times New Roman" w:hAnsi="Times New Roman" w:eastAsia="仿宋_GB2312" w:cs="Times New Roman"/>
          <w:color w:val="auto"/>
          <w:sz w:val="32"/>
          <w:szCs w:val="32"/>
          <w:highlight w:val="none"/>
          <w:lang w:val="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rPr>
        <w:t>1.其他支出（类）彩票公益金安排的支出（款）用于社会福利的彩票公益金支出（项）:支出决算数为285.83</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rPr>
        <w:t>，比上年决算</w:t>
      </w:r>
      <w:r>
        <w:rPr>
          <w:rFonts w:hint="eastAsia" w:ascii="Times New Roman" w:hAnsi="Times New Roman" w:eastAsia="仿宋_GB2312" w:cs="Times New Roman"/>
          <w:color w:val="auto"/>
          <w:sz w:val="32"/>
          <w:szCs w:val="32"/>
          <w:highlight w:val="none"/>
          <w:lang w:val="en-US" w:eastAsia="zh-CN"/>
        </w:rPr>
        <w:t>增加</w:t>
      </w:r>
      <w:r>
        <w:rPr>
          <w:rFonts w:hint="eastAsia" w:ascii="Times New Roman" w:hAnsi="Times New Roman" w:eastAsia="仿宋_GB2312" w:cs="Times New Roman"/>
          <w:color w:val="auto"/>
          <w:sz w:val="32"/>
          <w:szCs w:val="32"/>
          <w:highlight w:val="none"/>
          <w:lang w:val="zh-CN"/>
        </w:rPr>
        <w:t>285.83</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en-US" w:eastAsia="zh-CN"/>
        </w:rPr>
        <w:t>增长</w:t>
      </w:r>
      <w:r>
        <w:rPr>
          <w:rFonts w:hint="eastAsia" w:ascii="Times New Roman" w:hAnsi="Times New Roman" w:eastAsia="仿宋_GB2312" w:cs="Times New Roman"/>
          <w:color w:val="auto"/>
          <w:sz w:val="32"/>
          <w:szCs w:val="32"/>
          <w:highlight w:val="none"/>
          <w:lang w:val="zh-CN"/>
        </w:rPr>
        <w:t>100%，主要原因是：</w:t>
      </w:r>
      <w:r>
        <w:rPr>
          <w:rFonts w:hint="eastAsia" w:ascii="Times New Roman" w:hAnsi="Times New Roman" w:eastAsia="仿宋_GB2312" w:cs="Times New Roman"/>
          <w:color w:val="auto"/>
          <w:sz w:val="32"/>
          <w:szCs w:val="32"/>
          <w:highlight w:val="none"/>
          <w:lang w:val="en-US" w:eastAsia="zh-CN"/>
        </w:rPr>
        <w:t>央彩票公益金支持</w:t>
      </w:r>
      <w:r>
        <w:rPr>
          <w:rFonts w:hint="eastAsia" w:ascii="Times New Roman" w:hAnsi="Times New Roman" w:eastAsia="仿宋_GB2312" w:cs="Times New Roman"/>
          <w:color w:val="auto"/>
          <w:sz w:val="32"/>
          <w:szCs w:val="32"/>
          <w:highlight w:val="none"/>
          <w:lang w:val="zh-CN"/>
        </w:rPr>
        <w:t>库尔勒烈士陵园建设项目支出</w:t>
      </w:r>
      <w:r>
        <w:rPr>
          <w:rFonts w:hint="eastAsia" w:ascii="Times New Roman" w:hAnsi="Times New Roman" w:eastAsia="仿宋_GB2312" w:cs="Times New Roman"/>
          <w:color w:val="auto"/>
          <w:sz w:val="32"/>
          <w:szCs w:val="32"/>
          <w:highlight w:val="none"/>
          <w:lang w:val="en-US" w:eastAsia="zh-CN"/>
        </w:rPr>
        <w:t>285.83万元，上年无此项目</w:t>
      </w:r>
      <w:r>
        <w:rPr>
          <w:rFonts w:hint="eastAsia" w:ascii="Times New Roman" w:hAnsi="Times New Roman" w:eastAsia="仿宋_GB2312" w:cs="Times New Roman"/>
          <w:color w:val="auto"/>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宋体"/>
          <w:bCs/>
          <w:color w:val="auto"/>
          <w:kern w:val="0"/>
          <w:sz w:val="32"/>
          <w:szCs w:val="32"/>
          <w:highlight w:val="none"/>
          <w:lang w:eastAsia="zh-CN"/>
        </w:rPr>
      </w:pPr>
      <w:r>
        <w:rPr>
          <w:rFonts w:hint="eastAsia" w:ascii="Times New Roman" w:hAnsi="Times New Roman" w:eastAsia="黑体" w:cs="宋体"/>
          <w:bCs/>
          <w:color w:val="auto"/>
          <w:kern w:val="0"/>
          <w:sz w:val="32"/>
          <w:szCs w:val="32"/>
          <w:highlight w:val="none"/>
          <w:lang w:val="en-US" w:eastAsia="zh-CN"/>
        </w:rPr>
        <w:t>九</w:t>
      </w:r>
      <w:r>
        <w:rPr>
          <w:rFonts w:hint="eastAsia" w:ascii="Times New Roman" w:hAnsi="Times New Roman"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color w:val="auto"/>
          <w:sz w:val="32"/>
          <w:szCs w:val="32"/>
          <w:highlight w:val="none"/>
          <w:lang w:eastAsia="zh-CN"/>
        </w:rPr>
        <w:t>我</w:t>
      </w:r>
      <w:r>
        <w:rPr>
          <w:rFonts w:hint="eastAsia" w:ascii="Times New Roman" w:hAnsi="Times New Roman" w:eastAsia="仿宋_GB2312"/>
          <w:color w:val="auto"/>
          <w:sz w:val="32"/>
          <w:szCs w:val="32"/>
          <w:highlight w:val="none"/>
          <w:lang w:val="en-US" w:eastAsia="zh-CN"/>
        </w:rPr>
        <w:t>部门</w:t>
      </w:r>
      <w:r>
        <w:rPr>
          <w:rFonts w:hint="eastAsia" w:ascii="Times New Roman" w:hAnsi="Times New Roman" w:eastAsia="仿宋_GB2312"/>
          <w:color w:val="auto"/>
          <w:sz w:val="32"/>
          <w:szCs w:val="32"/>
          <w:highlight w:val="none"/>
          <w:lang w:eastAsia="zh-CN"/>
        </w:rPr>
        <w:t>本年度无国有资本经营预算财政拨款收入、支出</w:t>
      </w:r>
      <w:r>
        <w:rPr>
          <w:rFonts w:hint="eastAsia" w:ascii="Times New Roman" w:hAnsi="Times New Roman" w:eastAsia="仿宋_GB2312"/>
          <w:color w:val="auto"/>
          <w:sz w:val="32"/>
          <w:szCs w:val="32"/>
          <w:highlight w:val="none"/>
          <w:lang w:val="en-US" w:eastAsia="zh-CN"/>
        </w:rPr>
        <w:t>及结转和结余</w:t>
      </w:r>
      <w:r>
        <w:rPr>
          <w:rFonts w:hint="eastAsia" w:ascii="Times New Roman" w:hAnsi="Times New Roman" w:eastAsia="仿宋_GB2312"/>
          <w:color w:val="auto"/>
          <w:sz w:val="32"/>
          <w:szCs w:val="32"/>
          <w:highlight w:val="none"/>
          <w:lang w:eastAsia="zh-CN"/>
        </w:rPr>
        <w:t>，国有资本经营</w:t>
      </w:r>
      <w:r>
        <w:rPr>
          <w:rFonts w:hint="eastAsia" w:ascii="Times New Roman" w:hAnsi="Times New Roman"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宋体"/>
          <w:bCs/>
          <w:color w:val="auto"/>
          <w:kern w:val="0"/>
          <w:sz w:val="32"/>
          <w:szCs w:val="32"/>
          <w:highlight w:val="none"/>
          <w:lang w:eastAsia="zh-CN"/>
        </w:rPr>
      </w:pPr>
      <w:bookmarkStart w:id="20" w:name="_Toc7314"/>
      <w:bookmarkStart w:id="21" w:name="_Toc1235"/>
      <w:r>
        <w:rPr>
          <w:rFonts w:hint="eastAsia" w:ascii="Times New Roman" w:hAnsi="Times New Roman" w:eastAsia="黑体" w:cs="宋体"/>
          <w:bCs/>
          <w:color w:val="auto"/>
          <w:kern w:val="0"/>
          <w:sz w:val="32"/>
          <w:szCs w:val="32"/>
          <w:highlight w:val="none"/>
          <w:lang w:eastAsia="zh-CN"/>
        </w:rPr>
        <w:t>十</w:t>
      </w:r>
      <w:r>
        <w:rPr>
          <w:rFonts w:hint="eastAsia" w:ascii="Times New Roman" w:hAnsi="Times New Roman" w:eastAsia="黑体" w:cs="宋体"/>
          <w:bCs/>
          <w:color w:val="auto"/>
          <w:kern w:val="0"/>
          <w:sz w:val="32"/>
          <w:szCs w:val="32"/>
          <w:highlight w:val="none"/>
        </w:rPr>
        <w:t>、其他重要事项的情况</w:t>
      </w:r>
      <w:r>
        <w:rPr>
          <w:rFonts w:hint="eastAsia" w:ascii="Times New Roman" w:hAnsi="Times New Roman"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Times New Roman" w:hAnsi="Times New Roman" w:eastAsia="黑体"/>
          <w:color w:val="auto"/>
          <w:sz w:val="32"/>
          <w:szCs w:val="32"/>
          <w:highlight w:val="none"/>
        </w:rPr>
      </w:pPr>
      <w:bookmarkStart w:id="22" w:name="_Toc13105"/>
      <w:bookmarkStart w:id="23" w:name="_Toc14519"/>
      <w:r>
        <w:rPr>
          <w:rFonts w:hint="eastAsia" w:ascii="Times New Roman" w:hAnsi="Times New Roman" w:eastAsia="黑体"/>
          <w:color w:val="auto"/>
          <w:sz w:val="32"/>
          <w:szCs w:val="32"/>
          <w:highlight w:val="none"/>
          <w:lang w:eastAsia="zh-CN"/>
        </w:rPr>
        <w:t>（一）</w:t>
      </w:r>
      <w:r>
        <w:rPr>
          <w:rFonts w:hint="eastAsia" w:ascii="Times New Roman" w:hAnsi="Times New Roman" w:eastAsia="黑体"/>
          <w:color w:val="auto"/>
          <w:sz w:val="32"/>
          <w:szCs w:val="32"/>
          <w:highlight w:val="none"/>
        </w:rPr>
        <w:t>机关运行经费支出情况</w:t>
      </w:r>
      <w:bookmarkEnd w:id="22"/>
      <w:bookmarkEnd w:id="23"/>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color w:val="auto"/>
          <w:sz w:val="32"/>
          <w:szCs w:val="32"/>
          <w:highlight w:val="none"/>
          <w:lang w:val="en-US"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库尔勒市退役军人事务局（行政单位和参照公务员法管理事业单位）机关运行经费支出20.02万元，比上年减少29.89万元，下降59.89%，主要原因是：</w:t>
      </w:r>
      <w:r>
        <w:rPr>
          <w:rFonts w:hint="eastAsia" w:eastAsia="仿宋_GB2312" w:cs="Times New Roman"/>
          <w:color w:val="auto"/>
          <w:sz w:val="32"/>
          <w:szCs w:val="32"/>
          <w:highlight w:val="none"/>
          <w:lang w:val="en-US" w:eastAsia="zh-CN"/>
        </w:rPr>
        <w:t>落实过紧日子要求，厉行节约，压减机关运行经费开支</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库尔勒市退役军人事务局（事业单位）公用经费支出7.49万元，</w:t>
      </w:r>
      <w:r>
        <w:rPr>
          <w:rFonts w:hint="eastAsia" w:ascii="Times New Roman" w:hAnsi="Times New Roman" w:eastAsia="仿宋_GB2312" w:cs="Times New Roman"/>
          <w:color w:val="auto"/>
          <w:sz w:val="32"/>
          <w:szCs w:val="32"/>
          <w:highlight w:val="none"/>
          <w:lang w:val="zh-CN" w:eastAsia="zh-CN"/>
        </w:rPr>
        <w:t>比上年减少64.60万元，下降89.61%，主要原因是：厉行节约，精简支出；其次决算口径调整，军休干部公用经费以前年度在基本支出填列，本年调整到项目支出填列，所以公用经费减少。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429.98万元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其中：政府采购货物支出69.98万元、政府采购工程支出186.95万元、政府采购服务支出173.05万元。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授予中小企业合同金额429.98万元，占政府采购支出总额的100.00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，其中：授予小微企业合同金额429.98万元，占政府采购支出总额的100.00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164.52</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屋0.0平方米，价值0.00万元。车辆3辆，价值31.72万元，其中：副部（省）级及以上领导用车0辆、主要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用车0辆、其他用车3辆，其他用车主要是：</w:t>
      </w:r>
      <w:r>
        <w:rPr>
          <w:rFonts w:hint="eastAsia" w:ascii="Times New Roman" w:hAnsi="Times New Roman" w:eastAsia="仿宋_GB2312"/>
          <w:color w:val="auto"/>
          <w:sz w:val="31"/>
          <w:szCs w:val="31"/>
          <w:highlight w:val="none"/>
          <w:lang w:eastAsia="zh-CN"/>
        </w:rPr>
        <w:t>单位办公用车</w:t>
      </w:r>
      <w:r>
        <w:rPr>
          <w:rFonts w:hint="eastAsia" w:ascii="Times New Roman" w:hAnsi="Times New Roman" w:eastAsia="仿宋_GB2312"/>
          <w:color w:val="auto"/>
          <w:sz w:val="31"/>
          <w:szCs w:val="31"/>
          <w:highlight w:val="none"/>
          <w:lang w:val="en-US" w:eastAsia="zh-CN"/>
        </w:rPr>
        <w:t>3辆</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宋体"/>
          <w:bCs/>
          <w:color w:val="auto"/>
          <w:kern w:val="0"/>
          <w:sz w:val="32"/>
          <w:szCs w:val="32"/>
          <w:highlight w:val="none"/>
          <w:lang w:eastAsia="zh-CN"/>
        </w:rPr>
      </w:pPr>
      <w:bookmarkStart w:id="28" w:name="_Toc435"/>
      <w:bookmarkStart w:id="29" w:name="_Toc11283"/>
      <w:r>
        <w:rPr>
          <w:rFonts w:hint="eastAsia" w:ascii="Times New Roman" w:hAnsi="Times New Roman" w:eastAsia="黑体" w:cs="宋体"/>
          <w:bCs/>
          <w:color w:val="auto"/>
          <w:kern w:val="0"/>
          <w:sz w:val="32"/>
          <w:szCs w:val="32"/>
          <w:highlight w:val="none"/>
          <w:lang w:eastAsia="zh-CN"/>
        </w:rPr>
        <w:t>十</w:t>
      </w:r>
      <w:r>
        <w:rPr>
          <w:rFonts w:hint="eastAsia" w:ascii="Times New Roman" w:hAnsi="Times New Roman" w:eastAsia="黑体" w:cs="宋体"/>
          <w:bCs/>
          <w:color w:val="auto"/>
          <w:kern w:val="0"/>
          <w:sz w:val="32"/>
          <w:szCs w:val="32"/>
          <w:highlight w:val="none"/>
          <w:lang w:val="en-US" w:eastAsia="zh-CN"/>
        </w:rPr>
        <w:t>一</w:t>
      </w:r>
      <w:r>
        <w:rPr>
          <w:rFonts w:hint="eastAsia" w:ascii="Times New Roman" w:hAnsi="Times New Roman"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color w:val="auto"/>
          <w:sz w:val="32"/>
          <w:szCs w:val="32"/>
          <w:highlight w:val="none"/>
          <w:lang w:eastAsia="zh-CN"/>
        </w:rPr>
        <w:t>根据预算绩效管理要求，我部门2023年度预算绩效管理整体支出绩效自评表0个，全年预算总额0万元，实际执行总额0万元；预算绩效评价项目35个，全年预算数10621.29万元，全年执行数9507.83万元。其中涉密项目34个，涉及预算资金9921.29万元。预算绩效管理取得的成效：一是单位预算绩效管理意识已经形成；二是绩效管理目标有序实施；三是绩效管理制度不断完善。发现的问题及原因：一是对预算绩效的认识还不够深入，相关知识了解还不够、掌握还不够多，把绩效管理简单等同于工作目标、工作考核和业务管理；二是资金管理水平有待进一步提高，财务审核还需进一步加强。下一步改进措施：一是建立健全的预算绩效管理体制，加强对预算绩效相关知识的了解和掌握，促进绩效管理工作向广度和深度延伸，切实提高部门预算收支管理水平；二是加强财务管理，严格财务审核，在费用报账支付时，按照预算规定费用项目和用途进行资金使用审核、列报支付、财务核算，杜绝超支现象发生。具体项目自评情况附绩效自评表及自评报告。</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宋体"/>
          <w:bCs/>
          <w:color w:val="auto"/>
          <w:kern w:val="0"/>
          <w:sz w:val="32"/>
          <w:szCs w:val="32"/>
          <w:highlight w:val="none"/>
          <w:lang w:eastAsia="zh-CN"/>
        </w:rPr>
      </w:pPr>
      <w:r>
        <w:rPr>
          <w:rFonts w:hint="eastAsia" w:ascii="Times New Roman" w:hAnsi="Times New Roman" w:eastAsia="黑体" w:cs="宋体"/>
          <w:bCs/>
          <w:color w:val="auto"/>
          <w:kern w:val="0"/>
          <w:sz w:val="32"/>
          <w:szCs w:val="32"/>
          <w:highlight w:val="none"/>
          <w:lang w:eastAsia="zh-CN"/>
        </w:rPr>
        <w:t>十</w:t>
      </w:r>
      <w:r>
        <w:rPr>
          <w:rFonts w:hint="eastAsia" w:ascii="Times New Roman" w:hAnsi="Times New Roman" w:eastAsia="黑体" w:cs="宋体"/>
          <w:bCs/>
          <w:color w:val="auto"/>
          <w:kern w:val="0"/>
          <w:sz w:val="32"/>
          <w:szCs w:val="32"/>
          <w:highlight w:val="none"/>
          <w:lang w:val="en-US" w:eastAsia="zh-CN"/>
        </w:rPr>
        <w:t>二</w:t>
      </w:r>
      <w:r>
        <w:rPr>
          <w:rFonts w:hint="eastAsia" w:ascii="Times New Roman" w:hAnsi="Times New Roman"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仿宋_GB2312"/>
          <w:color w:val="auto"/>
          <w:kern w:val="0"/>
          <w:sz w:val="32"/>
          <w:szCs w:val="32"/>
          <w:highlight w:val="none"/>
          <w:lang w:val="en-US" w:eastAsia="zh-CN"/>
        </w:rPr>
      </w:pPr>
      <w:bookmarkStart w:id="30" w:name="_Toc24143"/>
      <w:bookmarkStart w:id="31" w:name="_Toc3250"/>
      <w:r>
        <w:rPr>
          <w:rFonts w:hint="eastAsia" w:ascii="Times New Roman" w:hAnsi="Times New Roman" w:eastAsia="仿宋_GB2312" w:cs="Times New Roman"/>
          <w:color w:val="auto"/>
          <w:sz w:val="32"/>
          <w:szCs w:val="32"/>
          <w:highlight w:val="none"/>
          <w:lang w:val="en-US" w:eastAsia="zh-CN"/>
        </w:rPr>
        <w:t>根据预算绩效管理要求，我部门整体绩效表由下属单位编报公开</w:t>
      </w:r>
      <w:r>
        <w:rPr>
          <w:rFonts w:hint="eastAsia" w:eastAsia="仿宋_GB2312" w:cs="Times New Roman"/>
          <w:color w:val="auto"/>
          <w:sz w:val="32"/>
          <w:szCs w:val="32"/>
          <w:highlight w:val="none"/>
          <w:lang w:val="en-US" w:eastAsia="zh-CN"/>
        </w:rPr>
        <w:t>。</w:t>
      </w:r>
      <w:bookmarkStart w:id="48" w:name="_GoBack"/>
      <w:bookmarkEnd w:id="48"/>
      <w:r>
        <w:rPr>
          <w:rFonts w:hint="eastAsia" w:ascii="Times New Roman" w:hAnsi="Times New Roman" w:eastAsia="仿宋_GB2312" w:cs="Times New Roman"/>
          <w:color w:val="auto"/>
          <w:sz w:val="32"/>
          <w:szCs w:val="32"/>
          <w:highlight w:val="none"/>
          <w:lang w:val="en-US" w:eastAsia="zh-CN"/>
        </w:rPr>
        <w:t>我部门2023年度预算绩效管理整体支出绩效自评表0个，全年预算总额0万元，实际执行总额0万元</w:t>
      </w:r>
      <w:r>
        <w:rPr>
          <w:rFonts w:hint="eastAsia" w:eastAsia="仿宋_GB2312" w:cs="Times New Roman"/>
          <w:color w:val="auto"/>
          <w:sz w:val="32"/>
          <w:szCs w:val="32"/>
          <w:highlight w:val="none"/>
          <w:lang w:val="en-US" w:eastAsia="zh-CN"/>
        </w:rPr>
        <w:t>。</w:t>
      </w:r>
      <w:r>
        <w:rPr>
          <w:rFonts w:hint="eastAsia" w:ascii="Times New Roman" w:hAnsi="Times New Roman" w:eastAsia="仿宋_GB2312" w:cs="仿宋_GB2312"/>
          <w:color w:val="auto"/>
          <w:kern w:val="0"/>
          <w:sz w:val="32"/>
          <w:szCs w:val="32"/>
          <w:highlight w:val="none"/>
          <w:lang w:val="en-US" w:eastAsia="zh-CN"/>
        </w:rPr>
        <w:t>2023年本</w:t>
      </w:r>
      <w:r>
        <w:rPr>
          <w:rFonts w:hint="eastAsia" w:eastAsia="仿宋_GB2312" w:cs="仿宋_GB2312"/>
          <w:color w:val="auto"/>
          <w:kern w:val="0"/>
          <w:sz w:val="32"/>
          <w:szCs w:val="32"/>
          <w:highlight w:val="none"/>
          <w:lang w:val="en-US" w:eastAsia="zh-CN"/>
        </w:rPr>
        <w:t>部门</w:t>
      </w:r>
      <w:r>
        <w:rPr>
          <w:rFonts w:hint="eastAsia" w:ascii="Times New Roman" w:hAnsi="Times New Roman" w:eastAsia="仿宋_GB2312" w:cs="仿宋_GB2312"/>
          <w:color w:val="auto"/>
          <w:kern w:val="0"/>
          <w:sz w:val="32"/>
          <w:szCs w:val="32"/>
          <w:highlight w:val="none"/>
          <w:lang w:val="en-US" w:eastAsia="zh-CN"/>
        </w:rPr>
        <w:t>涉密项目</w:t>
      </w:r>
      <w:r>
        <w:rPr>
          <w:rFonts w:hint="eastAsia" w:eastAsia="仿宋_GB2312" w:cs="仿宋_GB2312"/>
          <w:color w:val="auto"/>
          <w:kern w:val="0"/>
          <w:sz w:val="32"/>
          <w:szCs w:val="32"/>
          <w:highlight w:val="none"/>
          <w:lang w:val="en-US" w:eastAsia="zh-CN"/>
        </w:rPr>
        <w:t>34</w:t>
      </w:r>
      <w:r>
        <w:rPr>
          <w:rFonts w:hint="eastAsia" w:ascii="Times New Roman" w:hAnsi="Times New Roman" w:eastAsia="仿宋_GB2312" w:cs="仿宋_GB2312"/>
          <w:color w:val="auto"/>
          <w:kern w:val="0"/>
          <w:sz w:val="32"/>
          <w:szCs w:val="32"/>
          <w:highlight w:val="none"/>
          <w:lang w:val="en-US" w:eastAsia="zh-CN"/>
        </w:rPr>
        <w:t>个，</w:t>
      </w:r>
      <w:r>
        <w:rPr>
          <w:rFonts w:hint="eastAsia" w:ascii="Times New Roman" w:hAnsi="Times New Roman" w:eastAsia="仿宋_GB2312"/>
          <w:color w:val="auto"/>
          <w:sz w:val="32"/>
          <w:szCs w:val="32"/>
          <w:highlight w:val="none"/>
          <w:lang w:val="en-US" w:eastAsia="zh-CN"/>
        </w:rPr>
        <w:t>涉及预算资金</w:t>
      </w:r>
      <w:r>
        <w:rPr>
          <w:rFonts w:hint="eastAsia" w:eastAsia="仿宋_GB2312"/>
          <w:color w:val="auto"/>
          <w:sz w:val="32"/>
          <w:szCs w:val="32"/>
          <w:highlight w:val="none"/>
          <w:lang w:val="en-US" w:eastAsia="zh-CN"/>
        </w:rPr>
        <w:t>9921.29</w:t>
      </w:r>
      <w:r>
        <w:rPr>
          <w:rFonts w:hint="eastAsia" w:ascii="Times New Roman" w:hAnsi="Times New Roman" w:eastAsia="仿宋_GB2312"/>
          <w:color w:val="auto"/>
          <w:sz w:val="32"/>
          <w:szCs w:val="32"/>
          <w:highlight w:val="none"/>
          <w:lang w:val="en-US"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Times New Roman" w:hAnsi="Times New Roman" w:eastAsia="黑体"/>
          <w:color w:val="auto"/>
          <w:sz w:val="32"/>
          <w:szCs w:val="32"/>
          <w:highlight w:val="none"/>
        </w:rPr>
      </w:pPr>
      <w:r>
        <w:rPr>
          <w:rFonts w:hint="eastAsia" w:ascii="Times New Roman" w:hAnsi="Times New Roman" w:eastAsia="黑体"/>
          <w:color w:val="auto"/>
          <w:sz w:val="32"/>
          <w:szCs w:val="32"/>
          <w:highlight w:val="none"/>
        </w:rPr>
        <w:br w:type="page"/>
      </w:r>
      <w:r>
        <w:rPr>
          <w:rFonts w:hint="eastAsia" w:ascii="Times New Roman" w:hAnsi="Times New Roman" w:eastAsia="黑体"/>
          <w:color w:val="auto"/>
          <w:sz w:val="32"/>
          <w:szCs w:val="32"/>
          <w:highlight w:val="none"/>
        </w:rPr>
        <w:t>第</w:t>
      </w:r>
      <w:r>
        <w:rPr>
          <w:rFonts w:hint="eastAsia" w:ascii="Times New Roman" w:hAnsi="Times New Roman" w:eastAsia="黑体"/>
          <w:color w:val="auto"/>
          <w:sz w:val="32"/>
          <w:szCs w:val="32"/>
          <w:highlight w:val="none"/>
          <w:lang w:val="en-US" w:eastAsia="zh-CN"/>
        </w:rPr>
        <w:t>三</w:t>
      </w:r>
      <w:r>
        <w:rPr>
          <w:rFonts w:hint="eastAsia" w:ascii="Times New Roman" w:hAnsi="Times New Roman"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一、</w:t>
      </w:r>
      <w:r>
        <w:rPr>
          <w:rFonts w:hint="eastAsia" w:ascii="Times New Roman" w:hAnsi="Times New Roman" w:eastAsia="仿宋_GB2312"/>
          <w:b/>
          <w:bCs/>
          <w:color w:val="auto"/>
          <w:sz w:val="32"/>
          <w:szCs w:val="32"/>
          <w:highlight w:val="none"/>
        </w:rPr>
        <w:t>财政拨款收入：</w:t>
      </w:r>
      <w:r>
        <w:rPr>
          <w:rFonts w:hint="eastAsia" w:ascii="Times New Roman" w:hAnsi="Times New Roman"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二、</w:t>
      </w:r>
      <w:r>
        <w:rPr>
          <w:rFonts w:hint="eastAsia" w:ascii="Times New Roman" w:hAnsi="Times New Roman" w:eastAsia="仿宋_GB2312"/>
          <w:b/>
          <w:bCs/>
          <w:color w:val="auto"/>
          <w:sz w:val="32"/>
          <w:szCs w:val="32"/>
          <w:highlight w:val="none"/>
        </w:rPr>
        <w:t>上级补助收入：</w:t>
      </w:r>
      <w:r>
        <w:rPr>
          <w:rFonts w:hint="eastAsia" w:ascii="Times New Roman" w:hAnsi="Times New Roman"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三、</w:t>
      </w:r>
      <w:r>
        <w:rPr>
          <w:rFonts w:hint="eastAsia" w:ascii="Times New Roman" w:hAnsi="Times New Roman" w:eastAsia="仿宋_GB2312"/>
          <w:b/>
          <w:bCs/>
          <w:color w:val="auto"/>
          <w:sz w:val="32"/>
          <w:szCs w:val="32"/>
          <w:highlight w:val="none"/>
        </w:rPr>
        <w:t>事业收入：</w:t>
      </w:r>
      <w:r>
        <w:rPr>
          <w:rFonts w:hint="eastAsia" w:ascii="Times New Roman" w:hAnsi="Times New Roman"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四、</w:t>
      </w:r>
      <w:r>
        <w:rPr>
          <w:rFonts w:hint="eastAsia" w:ascii="Times New Roman" w:hAnsi="Times New Roman" w:eastAsia="仿宋_GB2312"/>
          <w:b/>
          <w:bCs/>
          <w:color w:val="auto"/>
          <w:sz w:val="32"/>
          <w:szCs w:val="32"/>
          <w:highlight w:val="none"/>
        </w:rPr>
        <w:t>经营收入：</w:t>
      </w:r>
      <w:r>
        <w:rPr>
          <w:rFonts w:hint="eastAsia" w:ascii="Times New Roman" w:hAnsi="Times New Roman"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五、</w:t>
      </w:r>
      <w:r>
        <w:rPr>
          <w:rFonts w:hint="eastAsia" w:ascii="Times New Roman" w:hAnsi="Times New Roman" w:eastAsia="仿宋_GB2312"/>
          <w:b/>
          <w:bCs/>
          <w:color w:val="auto"/>
          <w:sz w:val="32"/>
          <w:szCs w:val="32"/>
          <w:highlight w:val="none"/>
        </w:rPr>
        <w:t>附属单位上缴收入：</w:t>
      </w:r>
      <w:r>
        <w:rPr>
          <w:rFonts w:hint="eastAsia" w:ascii="Times New Roman" w:hAnsi="Times New Roman"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六、</w:t>
      </w:r>
      <w:r>
        <w:rPr>
          <w:rFonts w:hint="eastAsia" w:ascii="Times New Roman" w:hAnsi="Times New Roman" w:eastAsia="仿宋_GB2312"/>
          <w:b/>
          <w:bCs/>
          <w:color w:val="auto"/>
          <w:sz w:val="32"/>
          <w:szCs w:val="32"/>
          <w:highlight w:val="none"/>
        </w:rPr>
        <w:t>其他收入：</w:t>
      </w:r>
      <w:r>
        <w:rPr>
          <w:rFonts w:hint="eastAsia" w:ascii="Times New Roman" w:hAnsi="Times New Roman"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七、</w:t>
      </w:r>
      <w:r>
        <w:rPr>
          <w:rFonts w:hint="eastAsia" w:ascii="Times New Roman" w:hAnsi="Times New Roman" w:eastAsia="仿宋_GB2312"/>
          <w:b/>
          <w:bCs/>
          <w:color w:val="auto"/>
          <w:sz w:val="32"/>
          <w:szCs w:val="32"/>
          <w:highlight w:val="none"/>
          <w:lang w:eastAsia="zh-CN"/>
        </w:rPr>
        <w:t>年初</w:t>
      </w:r>
      <w:r>
        <w:rPr>
          <w:rFonts w:hint="eastAsia" w:ascii="Times New Roman" w:hAnsi="Times New Roman" w:eastAsia="仿宋_GB2312"/>
          <w:b/>
          <w:bCs/>
          <w:color w:val="auto"/>
          <w:sz w:val="32"/>
          <w:szCs w:val="32"/>
          <w:highlight w:val="none"/>
        </w:rPr>
        <w:t>结转和结余：</w:t>
      </w:r>
      <w:r>
        <w:rPr>
          <w:rFonts w:hint="eastAsia" w:ascii="Times New Roman" w:hAnsi="Times New Roman"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八、</w:t>
      </w:r>
      <w:r>
        <w:rPr>
          <w:rFonts w:hint="eastAsia" w:ascii="Times New Roman" w:hAnsi="Times New Roman" w:eastAsia="仿宋_GB2312"/>
          <w:b/>
          <w:bCs/>
          <w:color w:val="auto"/>
          <w:sz w:val="32"/>
          <w:szCs w:val="32"/>
          <w:highlight w:val="none"/>
        </w:rPr>
        <w:t>年末结转和结余：</w:t>
      </w:r>
      <w:r>
        <w:rPr>
          <w:rFonts w:hint="eastAsia" w:ascii="Times New Roman" w:hAnsi="Times New Roman"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九、</w:t>
      </w:r>
      <w:r>
        <w:rPr>
          <w:rFonts w:hint="eastAsia" w:ascii="Times New Roman" w:hAnsi="Times New Roman" w:eastAsia="仿宋_GB2312"/>
          <w:b/>
          <w:bCs/>
          <w:color w:val="auto"/>
          <w:sz w:val="32"/>
          <w:szCs w:val="32"/>
          <w:highlight w:val="none"/>
        </w:rPr>
        <w:t>基本支出：</w:t>
      </w:r>
      <w:r>
        <w:rPr>
          <w:rFonts w:hint="eastAsia" w:ascii="Times New Roman" w:hAnsi="Times New Roman"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十、</w:t>
      </w:r>
      <w:r>
        <w:rPr>
          <w:rFonts w:hint="eastAsia" w:ascii="Times New Roman" w:hAnsi="Times New Roman" w:eastAsia="仿宋_GB2312"/>
          <w:b/>
          <w:bCs/>
          <w:color w:val="auto"/>
          <w:sz w:val="32"/>
          <w:szCs w:val="32"/>
          <w:highlight w:val="none"/>
        </w:rPr>
        <w:t>项目支出：</w:t>
      </w:r>
      <w:r>
        <w:rPr>
          <w:rFonts w:hint="eastAsia" w:ascii="Times New Roman" w:hAnsi="Times New Roman"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十一、</w:t>
      </w:r>
      <w:r>
        <w:rPr>
          <w:rFonts w:hint="eastAsia" w:ascii="Times New Roman" w:hAnsi="Times New Roman" w:eastAsia="仿宋_GB2312"/>
          <w:b/>
          <w:bCs/>
          <w:color w:val="auto"/>
          <w:sz w:val="32"/>
          <w:szCs w:val="32"/>
          <w:highlight w:val="none"/>
        </w:rPr>
        <w:t>经营支出：</w:t>
      </w:r>
      <w:r>
        <w:rPr>
          <w:rFonts w:hint="eastAsia" w:ascii="Times New Roman" w:hAnsi="Times New Roman"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十二、</w:t>
      </w:r>
      <w:r>
        <w:rPr>
          <w:rFonts w:hint="eastAsia" w:ascii="Times New Roman" w:hAnsi="Times New Roman" w:eastAsia="仿宋_GB2312"/>
          <w:b/>
          <w:bCs/>
          <w:color w:val="auto"/>
          <w:sz w:val="32"/>
          <w:szCs w:val="32"/>
          <w:highlight w:val="none"/>
        </w:rPr>
        <w:t>对附属单位补助支出：</w:t>
      </w:r>
      <w:r>
        <w:rPr>
          <w:rFonts w:hint="eastAsia" w:ascii="Times New Roman" w:hAnsi="Times New Roman"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b/>
          <w:bCs/>
          <w:color w:val="auto"/>
          <w:sz w:val="32"/>
          <w:szCs w:val="32"/>
          <w:highlight w:val="none"/>
          <w:lang w:val="en-US" w:eastAsia="zh-CN"/>
        </w:rPr>
        <w:t>十三、</w:t>
      </w:r>
      <w:r>
        <w:rPr>
          <w:rFonts w:hint="eastAsia" w:ascii="Times New Roman" w:hAnsi="Times New Roman" w:eastAsia="仿宋_GB2312"/>
          <w:b/>
          <w:bCs/>
          <w:color w:val="auto"/>
          <w:sz w:val="32"/>
          <w:szCs w:val="32"/>
          <w:highlight w:val="none"/>
        </w:rPr>
        <w:t>“三公”经费：</w:t>
      </w:r>
      <w:r>
        <w:rPr>
          <w:rFonts w:hint="eastAsia" w:ascii="Times New Roman" w:hAnsi="Times New Roman"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Times New Roman" w:hAnsi="Times New Roman" w:eastAsia="仿宋_GB2312"/>
          <w:color w:val="auto"/>
          <w:sz w:val="32"/>
          <w:szCs w:val="32"/>
          <w:highlight w:val="none"/>
          <w:lang w:eastAsia="zh-CN"/>
        </w:rPr>
        <w:t>国际旅费、国外城市间交通费、</w:t>
      </w:r>
      <w:r>
        <w:rPr>
          <w:rFonts w:hint="eastAsia" w:ascii="Times New Roman" w:hAnsi="Times New Roman" w:eastAsia="仿宋_GB2312"/>
          <w:color w:val="auto"/>
          <w:sz w:val="32"/>
          <w:szCs w:val="32"/>
          <w:highlight w:val="none"/>
        </w:rPr>
        <w:t>住宿费、伙食费、培训费、</w:t>
      </w:r>
      <w:r>
        <w:rPr>
          <w:rFonts w:hint="eastAsia" w:ascii="Times New Roman" w:hAnsi="Times New Roman" w:eastAsia="仿宋_GB2312"/>
          <w:color w:val="auto"/>
          <w:sz w:val="32"/>
          <w:szCs w:val="32"/>
          <w:highlight w:val="none"/>
          <w:lang w:eastAsia="zh-CN"/>
        </w:rPr>
        <w:t>公</w:t>
      </w:r>
      <w:r>
        <w:rPr>
          <w:rFonts w:hint="eastAsia" w:ascii="Times New Roman" w:hAnsi="Times New Roman" w:eastAsia="仿宋_GB2312"/>
          <w:color w:val="auto"/>
          <w:sz w:val="32"/>
          <w:szCs w:val="32"/>
          <w:highlight w:val="none"/>
        </w:rPr>
        <w:t>杂费等支出；公务用车购置费</w:t>
      </w:r>
      <w:r>
        <w:rPr>
          <w:rFonts w:hint="eastAsia" w:ascii="Times New Roman" w:hAnsi="Times New Roman" w:eastAsia="仿宋_GB2312"/>
          <w:color w:val="auto"/>
          <w:sz w:val="32"/>
          <w:szCs w:val="32"/>
          <w:highlight w:val="none"/>
          <w:lang w:eastAsia="zh-CN"/>
        </w:rPr>
        <w:t>反映公务用车购置支出（含车辆购置税、牌照费）；</w:t>
      </w:r>
      <w:r>
        <w:rPr>
          <w:rFonts w:hint="eastAsia" w:ascii="Times New Roman" w:hAnsi="Times New Roman" w:eastAsia="仿宋_GB2312"/>
          <w:color w:val="auto"/>
          <w:sz w:val="32"/>
          <w:szCs w:val="32"/>
          <w:highlight w:val="none"/>
        </w:rPr>
        <w:t>公务用车运行</w:t>
      </w:r>
      <w:r>
        <w:rPr>
          <w:rFonts w:hint="eastAsia" w:ascii="Times New Roman" w:hAnsi="Times New Roman" w:eastAsia="仿宋_GB2312"/>
          <w:color w:val="auto"/>
          <w:sz w:val="32"/>
          <w:szCs w:val="32"/>
          <w:highlight w:val="none"/>
          <w:lang w:eastAsia="zh-CN"/>
        </w:rPr>
        <w:t>维护</w:t>
      </w:r>
      <w:r>
        <w:rPr>
          <w:rFonts w:hint="eastAsia" w:ascii="Times New Roman" w:hAnsi="Times New Roman" w:eastAsia="仿宋_GB2312"/>
          <w:color w:val="auto"/>
          <w:sz w:val="32"/>
          <w:szCs w:val="32"/>
          <w:highlight w:val="none"/>
        </w:rPr>
        <w:t>费反映</w:t>
      </w:r>
      <w:r>
        <w:rPr>
          <w:rFonts w:hint="eastAsia" w:ascii="Times New Roman" w:hAnsi="Times New Roman" w:eastAsia="仿宋_GB2312"/>
          <w:color w:val="auto"/>
          <w:sz w:val="32"/>
          <w:szCs w:val="32"/>
          <w:highlight w:val="none"/>
          <w:lang w:eastAsia="zh-CN"/>
        </w:rPr>
        <w:t>单位按规定保留的公务用车燃料费、维修费、</w:t>
      </w:r>
      <w:r>
        <w:rPr>
          <w:rFonts w:hint="eastAsia" w:ascii="Times New Roman" w:hAnsi="Times New Roman" w:eastAsia="仿宋_GB2312"/>
          <w:color w:val="auto"/>
          <w:sz w:val="32"/>
          <w:szCs w:val="32"/>
          <w:highlight w:val="none"/>
        </w:rPr>
        <w:t>过路过桥费、保险费、安全奖励费用等支出</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公务接待费反映单位按规定开支的各类公务接待（含外宾接待）</w:t>
      </w:r>
      <w:r>
        <w:rPr>
          <w:rFonts w:hint="eastAsia" w:ascii="Times New Roman" w:hAnsi="Times New Roman" w:eastAsia="仿宋_GB2312"/>
          <w:color w:val="auto"/>
          <w:sz w:val="32"/>
          <w:szCs w:val="32"/>
          <w:highlight w:val="none"/>
          <w:lang w:eastAsia="zh-CN"/>
        </w:rPr>
        <w:t>费用</w:t>
      </w:r>
      <w:r>
        <w:rPr>
          <w:rFonts w:hint="eastAsia" w:ascii="Times New Roman" w:hAnsi="Times New Roman"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十四、</w:t>
      </w:r>
      <w:r>
        <w:rPr>
          <w:rFonts w:hint="eastAsia" w:ascii="Times New Roman" w:hAnsi="Times New Roman" w:eastAsia="仿宋_GB2312"/>
          <w:b/>
          <w:bCs/>
          <w:color w:val="auto"/>
          <w:sz w:val="32"/>
          <w:szCs w:val="32"/>
          <w:highlight w:val="none"/>
        </w:rPr>
        <w:t>机关运行经费：</w:t>
      </w:r>
      <w:r>
        <w:rPr>
          <w:rFonts w:hint="eastAsia" w:ascii="Times New Roman" w:hAnsi="Times New Roman"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Times New Roman" w:hAnsi="Times New Roman" w:eastAsia="黑体"/>
          <w:color w:val="auto"/>
          <w:sz w:val="32"/>
          <w:szCs w:val="32"/>
          <w:highlight w:val="none"/>
        </w:rPr>
      </w:pPr>
      <w:r>
        <w:rPr>
          <w:rFonts w:hint="eastAsia" w:ascii="Times New Roman" w:hAnsi="Times New Roman" w:eastAsia="仿宋_GB2312"/>
          <w:color w:val="auto"/>
          <w:sz w:val="32"/>
          <w:szCs w:val="32"/>
          <w:highlight w:val="none"/>
        </w:rPr>
        <w:br w:type="page"/>
      </w:r>
      <w:r>
        <w:rPr>
          <w:rFonts w:hint="eastAsia" w:ascii="Times New Roman" w:hAnsi="Times New Roman"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仿宋_GB2312" w:cs="宋体"/>
          <w:bCs/>
          <w:color w:val="auto"/>
          <w:kern w:val="0"/>
          <w:sz w:val="32"/>
          <w:szCs w:val="32"/>
          <w:highlight w:val="none"/>
        </w:rPr>
      </w:pPr>
      <w:bookmarkStart w:id="32" w:name="_Toc2183"/>
      <w:bookmarkStart w:id="33" w:name="_Toc6062"/>
      <w:r>
        <w:rPr>
          <w:rFonts w:hint="eastAsia" w:ascii="Times New Roman" w:hAnsi="Times New Roman"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仿宋_GB2312" w:cs="宋体"/>
          <w:bCs/>
          <w:color w:val="auto"/>
          <w:kern w:val="0"/>
          <w:sz w:val="32"/>
          <w:szCs w:val="32"/>
          <w:highlight w:val="none"/>
        </w:rPr>
      </w:pPr>
      <w:bookmarkStart w:id="34" w:name="_Toc30364"/>
      <w:bookmarkStart w:id="35" w:name="_Toc24532"/>
      <w:r>
        <w:rPr>
          <w:rFonts w:hint="eastAsia" w:ascii="Times New Roman" w:hAnsi="Times New Roman"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仿宋_GB2312" w:cs="宋体"/>
          <w:bCs/>
          <w:color w:val="auto"/>
          <w:kern w:val="0"/>
          <w:sz w:val="32"/>
          <w:szCs w:val="32"/>
          <w:highlight w:val="none"/>
        </w:rPr>
      </w:pPr>
      <w:bookmarkStart w:id="36" w:name="_Toc21304"/>
      <w:bookmarkStart w:id="37" w:name="_Toc32434"/>
      <w:r>
        <w:rPr>
          <w:rFonts w:hint="eastAsia" w:ascii="Times New Roman" w:hAnsi="Times New Roman"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仿宋_GB2312" w:cs="宋体"/>
          <w:bCs/>
          <w:color w:val="auto"/>
          <w:kern w:val="0"/>
          <w:sz w:val="32"/>
          <w:szCs w:val="32"/>
          <w:highlight w:val="none"/>
        </w:rPr>
      </w:pPr>
      <w:bookmarkStart w:id="38" w:name="_Toc28786"/>
      <w:bookmarkStart w:id="39" w:name="_Toc14238"/>
      <w:r>
        <w:rPr>
          <w:rFonts w:hint="eastAsia" w:ascii="Times New Roman" w:hAnsi="Times New Roman"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仿宋_GB2312" w:cs="宋体"/>
          <w:bCs/>
          <w:color w:val="auto"/>
          <w:kern w:val="0"/>
          <w:sz w:val="32"/>
          <w:szCs w:val="32"/>
          <w:highlight w:val="none"/>
        </w:rPr>
      </w:pPr>
      <w:bookmarkStart w:id="40" w:name="_Toc14869"/>
      <w:bookmarkStart w:id="41" w:name="_Toc10347"/>
      <w:r>
        <w:rPr>
          <w:rFonts w:hint="eastAsia" w:ascii="Times New Roman" w:hAnsi="Times New Roman"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仿宋_GB2312" w:cs="宋体"/>
          <w:bCs/>
          <w:color w:val="auto"/>
          <w:kern w:val="0"/>
          <w:sz w:val="32"/>
          <w:szCs w:val="32"/>
          <w:highlight w:val="none"/>
        </w:rPr>
      </w:pPr>
      <w:bookmarkStart w:id="42" w:name="_Toc8884"/>
      <w:bookmarkStart w:id="43" w:name="_Toc5626"/>
      <w:r>
        <w:rPr>
          <w:rFonts w:hint="eastAsia" w:ascii="Times New Roman" w:hAnsi="Times New Roman"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仿宋_GB2312" w:cs="宋体"/>
          <w:bCs/>
          <w:color w:val="auto"/>
          <w:kern w:val="0"/>
          <w:sz w:val="32"/>
          <w:szCs w:val="32"/>
          <w:highlight w:val="none"/>
        </w:rPr>
      </w:pPr>
      <w:r>
        <w:rPr>
          <w:rFonts w:hint="eastAsia" w:ascii="Times New Roman" w:hAnsi="Times New Roman" w:eastAsia="仿宋_GB2312" w:cs="宋体"/>
          <w:bCs/>
          <w:color w:val="auto"/>
          <w:kern w:val="0"/>
          <w:sz w:val="32"/>
          <w:szCs w:val="32"/>
          <w:highlight w:val="none"/>
        </w:rPr>
        <w:t>七、</w:t>
      </w:r>
      <w:bookmarkStart w:id="44" w:name="_Toc32663"/>
      <w:bookmarkStart w:id="45" w:name="_Toc29106"/>
      <w:r>
        <w:rPr>
          <w:rFonts w:hint="eastAsia" w:ascii="Times New Roman" w:hAnsi="Times New Roman"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仿宋_GB2312" w:cs="宋体"/>
          <w:bCs/>
          <w:color w:val="auto"/>
          <w:kern w:val="0"/>
          <w:sz w:val="32"/>
          <w:szCs w:val="32"/>
          <w:highlight w:val="none"/>
        </w:rPr>
      </w:pPr>
      <w:bookmarkStart w:id="46" w:name="_Toc7643"/>
      <w:bookmarkStart w:id="47" w:name="_Toc5453"/>
      <w:r>
        <w:rPr>
          <w:rFonts w:hint="eastAsia" w:ascii="Times New Roman" w:hAnsi="Times New Roman"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仿宋_GB2312" w:cs="宋体"/>
          <w:bCs/>
          <w:color w:val="auto"/>
          <w:kern w:val="0"/>
          <w:sz w:val="32"/>
          <w:szCs w:val="32"/>
          <w:highlight w:val="none"/>
        </w:rPr>
      </w:pPr>
      <w:r>
        <w:rPr>
          <w:rFonts w:hint="eastAsia" w:ascii="Times New Roman" w:hAnsi="Times New Roman" w:eastAsia="仿宋_GB2312" w:cs="宋体"/>
          <w:bCs/>
          <w:color w:val="auto"/>
          <w:kern w:val="0"/>
          <w:sz w:val="32"/>
          <w:szCs w:val="32"/>
          <w:highlight w:val="none"/>
          <w:lang w:val="en-US" w:eastAsia="zh-CN"/>
        </w:rPr>
        <w:t>九</w:t>
      </w:r>
      <w:r>
        <w:rPr>
          <w:rFonts w:hint="eastAsia" w:ascii="Times New Roman" w:hAnsi="Times New Roman" w:eastAsia="仿宋_GB2312" w:cs="宋体"/>
          <w:bCs/>
          <w:color w:val="auto"/>
          <w:kern w:val="0"/>
          <w:sz w:val="32"/>
          <w:szCs w:val="32"/>
          <w:highlight w:val="none"/>
        </w:rPr>
        <w:t>、《</w:t>
      </w:r>
      <w:r>
        <w:rPr>
          <w:rFonts w:hint="eastAsia" w:ascii="Times New Roman" w:hAnsi="Times New Roman" w:eastAsia="仿宋_GB2312" w:cs="宋体"/>
          <w:bCs/>
          <w:color w:val="auto"/>
          <w:kern w:val="0"/>
          <w:sz w:val="32"/>
          <w:szCs w:val="32"/>
          <w:highlight w:val="none"/>
          <w:lang w:eastAsia="zh-CN"/>
        </w:rPr>
        <w:t>国有资本经营</w:t>
      </w:r>
      <w:r>
        <w:rPr>
          <w:rFonts w:hint="eastAsia" w:ascii="Times New Roman" w:hAnsi="Times New Roman"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Times New Roman" w:hAnsi="Times New Roman"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黑体" w:cs="宋体"/>
          <w:bCs/>
          <w:color w:val="auto"/>
          <w:kern w:val="0"/>
          <w:sz w:val="32"/>
          <w:szCs w:val="32"/>
          <w:highlight w:val="none"/>
          <w:lang w:eastAsia="zh-CN"/>
        </w:rPr>
      </w:pPr>
    </w:p>
    <w:p>
      <w:pPr>
        <w:pStyle w:val="3"/>
        <w:rPr>
          <w:rFonts w:hint="eastAsia" w:ascii="Times New Roman" w:hAnsi="Times New Roman" w:eastAsia="黑体" w:cs="宋体"/>
          <w:bCs/>
          <w:color w:val="auto"/>
          <w:kern w:val="0"/>
          <w:sz w:val="32"/>
          <w:szCs w:val="32"/>
          <w:highlight w:val="none"/>
          <w:lang w:eastAsia="zh-CN"/>
        </w:rPr>
      </w:pPr>
    </w:p>
    <w:p>
      <w:pPr>
        <w:rPr>
          <w:rFonts w:hint="eastAsia" w:ascii="Times New Roman" w:hAnsi="Times New Roman" w:eastAsia="黑体" w:cs="宋体"/>
          <w:bCs/>
          <w:color w:val="auto"/>
          <w:kern w:val="0"/>
          <w:sz w:val="32"/>
          <w:szCs w:val="32"/>
          <w:highlight w:val="none"/>
          <w:lang w:eastAsia="zh-CN"/>
        </w:rPr>
      </w:pPr>
    </w:p>
    <w:p>
      <w:pPr>
        <w:pStyle w:val="3"/>
        <w:rPr>
          <w:rFonts w:hint="eastAsia" w:ascii="Times New Roman" w:hAnsi="Times New Roman" w:eastAsia="黑体" w:cs="宋体"/>
          <w:bCs/>
          <w:color w:val="auto"/>
          <w:kern w:val="0"/>
          <w:sz w:val="32"/>
          <w:szCs w:val="32"/>
          <w:highlight w:val="none"/>
          <w:lang w:eastAsia="zh-CN"/>
        </w:rPr>
      </w:pPr>
    </w:p>
    <w:p>
      <w:pPr>
        <w:rPr>
          <w:rFonts w:hint="eastAsia" w:ascii="Times New Roman" w:hAnsi="Times New Roman" w:eastAsia="黑体" w:cs="宋体"/>
          <w:bCs/>
          <w:color w:val="auto"/>
          <w:kern w:val="0"/>
          <w:sz w:val="32"/>
          <w:szCs w:val="32"/>
          <w:highlight w:val="none"/>
          <w:lang w:eastAsia="zh-CN"/>
        </w:rPr>
      </w:pPr>
    </w:p>
    <w:p>
      <w:pPr>
        <w:pStyle w:val="3"/>
        <w:rPr>
          <w:rFonts w:hint="eastAsia" w:ascii="Times New Roman" w:hAnsi="Times New Roman" w:eastAsia="黑体" w:cs="宋体"/>
          <w:bCs/>
          <w:color w:val="auto"/>
          <w:kern w:val="0"/>
          <w:sz w:val="32"/>
          <w:szCs w:val="32"/>
          <w:highlight w:val="none"/>
          <w:lang w:eastAsia="zh-CN"/>
        </w:rPr>
      </w:pPr>
    </w:p>
    <w:p>
      <w:pPr>
        <w:rPr>
          <w:rFonts w:hint="eastAsia" w:ascii="Times New Roman" w:hAnsi="Times New Roman" w:eastAsia="黑体" w:cs="宋体"/>
          <w:bCs/>
          <w:color w:val="auto"/>
          <w:kern w:val="0"/>
          <w:sz w:val="32"/>
          <w:szCs w:val="32"/>
          <w:highlight w:val="none"/>
          <w:lang w:eastAsia="zh-CN"/>
        </w:rPr>
      </w:pPr>
    </w:p>
    <w:p>
      <w:pPr>
        <w:bidi w:val="0"/>
        <w:rPr>
          <w:rFonts w:hint="eastAsia"/>
          <w:lang w:val="en-US" w:eastAsia="zh-CN"/>
        </w:rPr>
      </w:pPr>
    </w:p>
    <w:p>
      <w:pPr>
        <w:pStyle w:val="3"/>
        <w:rPr>
          <w:rFonts w:hint="eastAsia"/>
          <w:lang w:val="en-US" w:eastAsia="zh-CN"/>
        </w:rPr>
      </w:pPr>
      <w:r>
        <w:drawing>
          <wp:inline distT="0" distB="0" distL="114300" distR="114300">
            <wp:extent cx="5273675" cy="6100445"/>
            <wp:effectExtent l="0" t="0" r="3175" b="1460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5"/>
                    <a:stretch>
                      <a:fillRect/>
                    </a:stretch>
                  </pic:blipFill>
                  <pic:spPr>
                    <a:xfrm>
                      <a:off x="0" y="0"/>
                      <a:ext cx="5273675" cy="6100445"/>
                    </a:xfrm>
                    <a:prstGeom prst="rect">
                      <a:avLst/>
                    </a:prstGeom>
                    <a:noFill/>
                    <a:ln>
                      <a:noFill/>
                    </a:ln>
                  </pic:spPr>
                </pic:pic>
              </a:graphicData>
            </a:graphic>
          </wp:inline>
        </w:drawing>
      </w:r>
    </w:p>
    <w:p>
      <w:pPr>
        <w:rPr>
          <w:rFonts w:hint="eastAsia"/>
          <w:lang w:val="en-US" w:eastAsia="zh-CN"/>
        </w:rPr>
      </w:pPr>
    </w:p>
    <w:p/>
    <w:p>
      <w:pPr>
        <w:pStyle w:val="3"/>
      </w:pPr>
    </w:p>
    <w:p>
      <w:pPr>
        <w:pStyle w:val="3"/>
      </w:pPr>
    </w:p>
    <w:p/>
    <w:p>
      <w:pPr>
        <w:pStyle w:val="3"/>
      </w:pPr>
    </w:p>
    <w:p/>
    <w:p>
      <w:pPr>
        <w:pStyle w:val="3"/>
      </w:pPr>
      <w:r>
        <w:drawing>
          <wp:inline distT="0" distB="0" distL="114300" distR="114300">
            <wp:extent cx="5271135" cy="6428740"/>
            <wp:effectExtent l="0" t="0" r="5715" b="1016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6"/>
                    <a:stretch>
                      <a:fillRect/>
                    </a:stretch>
                  </pic:blipFill>
                  <pic:spPr>
                    <a:xfrm>
                      <a:off x="0" y="0"/>
                      <a:ext cx="5271135" cy="6428740"/>
                    </a:xfrm>
                    <a:prstGeom prst="rect">
                      <a:avLst/>
                    </a:prstGeom>
                    <a:noFill/>
                    <a:ln>
                      <a:noFill/>
                    </a:ln>
                  </pic:spPr>
                </pic:pic>
              </a:graphicData>
            </a:graphic>
          </wp:inline>
        </w:drawing>
      </w:r>
    </w:p>
    <w:p/>
    <w:p>
      <w:pPr>
        <w:pStyle w:val="2"/>
      </w:pPr>
    </w:p>
    <w:p/>
    <w:p>
      <w:pPr>
        <w:pStyle w:val="2"/>
      </w:pPr>
    </w:p>
    <w:p/>
    <w:p>
      <w:pPr>
        <w:pStyle w:val="2"/>
      </w:pPr>
    </w:p>
    <w:p/>
    <w:p>
      <w:pPr>
        <w:pStyle w:val="2"/>
      </w:pPr>
    </w:p>
    <w:p/>
    <w:p>
      <w:pPr>
        <w:pStyle w:val="2"/>
      </w:pPr>
    </w:p>
    <w:p/>
    <w:p>
      <w:pPr>
        <w:pStyle w:val="2"/>
      </w:pPr>
    </w:p>
    <w:p>
      <w:r>
        <w:drawing>
          <wp:inline distT="0" distB="0" distL="114300" distR="114300">
            <wp:extent cx="5264785" cy="6078855"/>
            <wp:effectExtent l="0" t="0" r="12065" b="1714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7"/>
                    <a:stretch>
                      <a:fillRect/>
                    </a:stretch>
                  </pic:blipFill>
                  <pic:spPr>
                    <a:xfrm>
                      <a:off x="0" y="0"/>
                      <a:ext cx="5264785" cy="6078855"/>
                    </a:xfrm>
                    <a:prstGeom prst="rect">
                      <a:avLst/>
                    </a:prstGeom>
                    <a:noFill/>
                    <a:ln>
                      <a:noFill/>
                    </a:ln>
                  </pic:spPr>
                </pic:pic>
              </a:graphicData>
            </a:graphic>
          </wp:inline>
        </w:drawing>
      </w:r>
    </w:p>
    <w:p/>
    <w:p/>
    <w:p>
      <w:pPr>
        <w:pStyle w:val="3"/>
      </w:pPr>
    </w:p>
    <w:p/>
    <w:p>
      <w:pPr>
        <w:pStyle w:val="3"/>
      </w:pPr>
    </w:p>
    <w:p>
      <w:pPr>
        <w:pStyle w:val="3"/>
      </w:pPr>
    </w:p>
    <w:p/>
    <w:p>
      <w:pPr>
        <w:pStyle w:val="3"/>
      </w:pPr>
      <w:r>
        <w:drawing>
          <wp:inline distT="0" distB="0" distL="114300" distR="114300">
            <wp:extent cx="5264150" cy="5522595"/>
            <wp:effectExtent l="0" t="0" r="12700" b="190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8"/>
                    <a:stretch>
                      <a:fillRect/>
                    </a:stretch>
                  </pic:blipFill>
                  <pic:spPr>
                    <a:xfrm>
                      <a:off x="0" y="0"/>
                      <a:ext cx="5264150" cy="5522595"/>
                    </a:xfrm>
                    <a:prstGeom prst="rect">
                      <a:avLst/>
                    </a:prstGeom>
                    <a:noFill/>
                    <a:ln>
                      <a:noFill/>
                    </a:ln>
                  </pic:spPr>
                </pic:pic>
              </a:graphicData>
            </a:graphic>
          </wp:inline>
        </w:drawing>
      </w:r>
    </w:p>
    <w:p/>
    <w:p>
      <w:pPr>
        <w:pStyle w:val="2"/>
      </w:pPr>
    </w:p>
    <w:p/>
    <w:p>
      <w:pPr>
        <w:pStyle w:val="2"/>
      </w:pPr>
    </w:p>
    <w:p/>
    <w:p>
      <w:pPr>
        <w:pStyle w:val="2"/>
      </w:pPr>
    </w:p>
    <w:p/>
    <w:p>
      <w:pPr>
        <w:pStyle w:val="2"/>
      </w:pPr>
    </w:p>
    <w:p/>
    <w:p/>
    <w:p>
      <w:pPr>
        <w:pStyle w:val="2"/>
      </w:pPr>
    </w:p>
    <w:p/>
    <w:p>
      <w:pPr>
        <w:pStyle w:val="2"/>
      </w:pPr>
    </w:p>
    <w:p/>
    <w:p>
      <w:r>
        <w:drawing>
          <wp:inline distT="0" distB="0" distL="114300" distR="114300">
            <wp:extent cx="5271135" cy="6323965"/>
            <wp:effectExtent l="0" t="0" r="5715" b="635"/>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9"/>
                    <a:stretch>
                      <a:fillRect/>
                    </a:stretch>
                  </pic:blipFill>
                  <pic:spPr>
                    <a:xfrm>
                      <a:off x="0" y="0"/>
                      <a:ext cx="5271135" cy="6323965"/>
                    </a:xfrm>
                    <a:prstGeom prst="rect">
                      <a:avLst/>
                    </a:prstGeom>
                    <a:noFill/>
                    <a:ln>
                      <a:noFill/>
                    </a:ln>
                  </pic:spPr>
                </pic:pic>
              </a:graphicData>
            </a:graphic>
          </wp:inline>
        </w:drawing>
      </w:r>
    </w:p>
    <w:p>
      <w:pPr>
        <w:pStyle w:val="2"/>
      </w:pPr>
    </w:p>
    <w:p/>
    <w:p>
      <w:pPr>
        <w:pStyle w:val="2"/>
      </w:pPr>
    </w:p>
    <w:p/>
    <w:p>
      <w:pPr>
        <w:pStyle w:val="2"/>
      </w:pPr>
    </w:p>
    <w:p/>
    <w:p>
      <w:pPr>
        <w:pStyle w:val="2"/>
      </w:pPr>
    </w:p>
    <w:p/>
    <w:p>
      <w:pPr>
        <w:pStyle w:val="2"/>
      </w:pPr>
    </w:p>
    <w:p/>
    <w:p>
      <w:pPr>
        <w:pStyle w:val="2"/>
      </w:pPr>
    </w:p>
    <w:p>
      <w:pPr>
        <w:pStyle w:val="2"/>
      </w:pPr>
      <w:r>
        <w:drawing>
          <wp:inline distT="0" distB="0" distL="114300" distR="114300">
            <wp:extent cx="5273675" cy="5930900"/>
            <wp:effectExtent l="0" t="0" r="3175" b="1270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0"/>
                    <a:stretch>
                      <a:fillRect/>
                    </a:stretch>
                  </pic:blipFill>
                  <pic:spPr>
                    <a:xfrm>
                      <a:off x="0" y="0"/>
                      <a:ext cx="5273675" cy="5930900"/>
                    </a:xfrm>
                    <a:prstGeom prst="rect">
                      <a:avLst/>
                    </a:prstGeom>
                    <a:noFill/>
                    <a:ln>
                      <a:noFill/>
                    </a:ln>
                  </pic:spPr>
                </pic:pic>
              </a:graphicData>
            </a:graphic>
          </wp:inline>
        </w:drawing>
      </w:r>
    </w:p>
    <w:p>
      <w:pPr>
        <w:pStyle w:val="3"/>
      </w:pPr>
    </w:p>
    <w:p>
      <w:pPr>
        <w:pStyle w:val="3"/>
      </w:pPr>
    </w:p>
    <w:p/>
    <w:p/>
    <w:p>
      <w:pPr>
        <w:pStyle w:val="3"/>
      </w:pPr>
    </w:p>
    <w:p/>
    <w:p>
      <w:pPr>
        <w:pStyle w:val="2"/>
      </w:pPr>
    </w:p>
    <w:p/>
    <w:p>
      <w:pPr>
        <w:pStyle w:val="3"/>
      </w:pPr>
      <w:r>
        <w:drawing>
          <wp:inline distT="0" distB="0" distL="114300" distR="114300">
            <wp:extent cx="5273040" cy="2496185"/>
            <wp:effectExtent l="0" t="0" r="3810" b="18415"/>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1"/>
                    <a:stretch>
                      <a:fillRect/>
                    </a:stretch>
                  </pic:blipFill>
                  <pic:spPr>
                    <a:xfrm>
                      <a:off x="0" y="0"/>
                      <a:ext cx="5273040" cy="2496185"/>
                    </a:xfrm>
                    <a:prstGeom prst="rect">
                      <a:avLst/>
                    </a:prstGeom>
                    <a:noFill/>
                    <a:ln>
                      <a:noFill/>
                    </a:ln>
                  </pic:spPr>
                </pic:pic>
              </a:graphicData>
            </a:graphic>
          </wp:inline>
        </w:drawing>
      </w:r>
    </w:p>
    <w:p/>
    <w:p>
      <w:pPr>
        <w:pStyle w:val="2"/>
      </w:pPr>
    </w:p>
    <w:p/>
    <w:p>
      <w:pPr>
        <w:pStyle w:val="2"/>
      </w:pPr>
    </w:p>
    <w:p/>
    <w:p>
      <w:pPr>
        <w:pStyle w:val="2"/>
      </w:pPr>
    </w:p>
    <w:p/>
    <w:p>
      <w:pPr>
        <w:pStyle w:val="2"/>
      </w:pPr>
    </w:p>
    <w:p/>
    <w:p>
      <w:pPr>
        <w:pStyle w:val="2"/>
      </w:pPr>
    </w:p>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Pr>
        <w:pStyle w:val="3"/>
      </w:pPr>
      <w:r>
        <w:drawing>
          <wp:inline distT="0" distB="0" distL="114300" distR="114300">
            <wp:extent cx="5264785" cy="2683510"/>
            <wp:effectExtent l="0" t="0" r="12065" b="254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2"/>
                    <a:stretch>
                      <a:fillRect/>
                    </a:stretch>
                  </pic:blipFill>
                  <pic:spPr>
                    <a:xfrm>
                      <a:off x="0" y="0"/>
                      <a:ext cx="5264785" cy="2683510"/>
                    </a:xfrm>
                    <a:prstGeom prst="rect">
                      <a:avLst/>
                    </a:prstGeom>
                    <a:noFill/>
                    <a:ln>
                      <a:noFill/>
                    </a:ln>
                  </pic:spPr>
                </pic:pic>
              </a:graphicData>
            </a:graphic>
          </wp:inline>
        </w:drawing>
      </w:r>
    </w:p>
    <w:p/>
    <w:p>
      <w:pPr>
        <w:pStyle w:val="3"/>
      </w:pPr>
    </w:p>
    <w:p>
      <w:pPr>
        <w:pStyle w:val="3"/>
      </w:pPr>
    </w:p>
    <w:p/>
    <w:p>
      <w:pPr>
        <w:pStyle w:val="3"/>
      </w:pPr>
    </w:p>
    <w:p/>
    <w:p>
      <w:pPr>
        <w:pStyle w:val="3"/>
      </w:pPr>
    </w:p>
    <w:p/>
    <w:p>
      <w:pPr>
        <w:pStyle w:val="2"/>
      </w:pPr>
    </w:p>
    <w:p/>
    <w:p>
      <w:pPr>
        <w:pStyle w:val="2"/>
      </w:pPr>
    </w:p>
    <w:p/>
    <w:p>
      <w:pPr>
        <w:pStyle w:val="2"/>
      </w:pPr>
    </w:p>
    <w:p/>
    <w:p>
      <w:pPr>
        <w:pStyle w:val="2"/>
      </w:pPr>
    </w:p>
    <w:p/>
    <w:p>
      <w:pPr>
        <w:pStyle w:val="3"/>
      </w:pPr>
    </w:p>
    <w:p>
      <w:pPr>
        <w:pStyle w:val="3"/>
      </w:pPr>
      <w:r>
        <w:drawing>
          <wp:inline distT="0" distB="0" distL="114300" distR="114300">
            <wp:extent cx="5271135" cy="1932940"/>
            <wp:effectExtent l="0" t="0" r="5715" b="10160"/>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13"/>
                    <a:stretch>
                      <a:fillRect/>
                    </a:stretch>
                  </pic:blipFill>
                  <pic:spPr>
                    <a:xfrm>
                      <a:off x="0" y="0"/>
                      <a:ext cx="5271135" cy="1932940"/>
                    </a:xfrm>
                    <a:prstGeom prst="rect">
                      <a:avLst/>
                    </a:prstGeom>
                    <a:noFill/>
                    <a:ln>
                      <a:noFill/>
                    </a:ln>
                  </pic:spPr>
                </pic:pic>
              </a:graphicData>
            </a:graphic>
          </wp:inline>
        </w:drawing>
      </w:r>
    </w:p>
    <w:p/>
    <w:p>
      <w:pPr>
        <w:pStyle w:val="3"/>
        <w:rPr>
          <w:rFonts w:hint="eastAsia"/>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8F176D"/>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C70A47"/>
    <w:rsid w:val="05EA4DB0"/>
    <w:rsid w:val="05EF4B48"/>
    <w:rsid w:val="05F76ECA"/>
    <w:rsid w:val="06792773"/>
    <w:rsid w:val="06F22225"/>
    <w:rsid w:val="07093795"/>
    <w:rsid w:val="07804730"/>
    <w:rsid w:val="079052BE"/>
    <w:rsid w:val="08145C21"/>
    <w:rsid w:val="08422688"/>
    <w:rsid w:val="085854ED"/>
    <w:rsid w:val="0879188F"/>
    <w:rsid w:val="08A0354D"/>
    <w:rsid w:val="08C028B3"/>
    <w:rsid w:val="08CD4C49"/>
    <w:rsid w:val="08EE1C63"/>
    <w:rsid w:val="09114954"/>
    <w:rsid w:val="095A5B83"/>
    <w:rsid w:val="096466E3"/>
    <w:rsid w:val="0968304D"/>
    <w:rsid w:val="09AF3D17"/>
    <w:rsid w:val="0A7809B7"/>
    <w:rsid w:val="0A7B4867"/>
    <w:rsid w:val="0A840954"/>
    <w:rsid w:val="0A9928ED"/>
    <w:rsid w:val="0B61769D"/>
    <w:rsid w:val="0B691138"/>
    <w:rsid w:val="0B8C3ECC"/>
    <w:rsid w:val="0B9C639D"/>
    <w:rsid w:val="0BB052B2"/>
    <w:rsid w:val="0BD33FFC"/>
    <w:rsid w:val="0BE97AC1"/>
    <w:rsid w:val="0C1C4780"/>
    <w:rsid w:val="0C341DB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5BC7274"/>
    <w:rsid w:val="160D1149"/>
    <w:rsid w:val="163563C0"/>
    <w:rsid w:val="164315EF"/>
    <w:rsid w:val="16557DFE"/>
    <w:rsid w:val="167268FB"/>
    <w:rsid w:val="16D50C50"/>
    <w:rsid w:val="16E120E1"/>
    <w:rsid w:val="16EE18F0"/>
    <w:rsid w:val="17385A05"/>
    <w:rsid w:val="173B3901"/>
    <w:rsid w:val="176747F9"/>
    <w:rsid w:val="17954A6E"/>
    <w:rsid w:val="180059E9"/>
    <w:rsid w:val="183633B2"/>
    <w:rsid w:val="184510FD"/>
    <w:rsid w:val="190648B0"/>
    <w:rsid w:val="19071D6C"/>
    <w:rsid w:val="19D26CD4"/>
    <w:rsid w:val="19E60D19"/>
    <w:rsid w:val="1A065F55"/>
    <w:rsid w:val="1A3E3450"/>
    <w:rsid w:val="1AD807E5"/>
    <w:rsid w:val="1B39345B"/>
    <w:rsid w:val="1BFB2A1F"/>
    <w:rsid w:val="1C015D4A"/>
    <w:rsid w:val="1C290ED5"/>
    <w:rsid w:val="1C317E4F"/>
    <w:rsid w:val="1C472464"/>
    <w:rsid w:val="1D22799A"/>
    <w:rsid w:val="1D5C1A72"/>
    <w:rsid w:val="1DAF458D"/>
    <w:rsid w:val="1E086ACE"/>
    <w:rsid w:val="1E0E5F3A"/>
    <w:rsid w:val="1E62130A"/>
    <w:rsid w:val="1E97358B"/>
    <w:rsid w:val="1EAA4A5F"/>
    <w:rsid w:val="1EE869A7"/>
    <w:rsid w:val="1FA15E62"/>
    <w:rsid w:val="1FED69B6"/>
    <w:rsid w:val="2064678E"/>
    <w:rsid w:val="20DC1AB9"/>
    <w:rsid w:val="20DD6197"/>
    <w:rsid w:val="20ED29A9"/>
    <w:rsid w:val="212631E0"/>
    <w:rsid w:val="21A53757"/>
    <w:rsid w:val="221236C6"/>
    <w:rsid w:val="22D7662C"/>
    <w:rsid w:val="23326B7F"/>
    <w:rsid w:val="2380045B"/>
    <w:rsid w:val="23BC04D2"/>
    <w:rsid w:val="23EF1892"/>
    <w:rsid w:val="2483647E"/>
    <w:rsid w:val="24A32D55"/>
    <w:rsid w:val="24FD6476"/>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DCA662E"/>
    <w:rsid w:val="2E3D144C"/>
    <w:rsid w:val="2E891204"/>
    <w:rsid w:val="2EDB2007"/>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8F02CB3"/>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821ABB"/>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6AB7360"/>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AE86080"/>
    <w:rsid w:val="4B4C0111"/>
    <w:rsid w:val="4B8553A9"/>
    <w:rsid w:val="4BDB3730"/>
    <w:rsid w:val="4C200F7A"/>
    <w:rsid w:val="4CEE3180"/>
    <w:rsid w:val="4D0F4AF6"/>
    <w:rsid w:val="4DF94F37"/>
    <w:rsid w:val="4E0A1DD5"/>
    <w:rsid w:val="4E3160E5"/>
    <w:rsid w:val="4E4543C2"/>
    <w:rsid w:val="4E4D37AF"/>
    <w:rsid w:val="4E8C6496"/>
    <w:rsid w:val="4EFD18DE"/>
    <w:rsid w:val="4F144236"/>
    <w:rsid w:val="4F663C87"/>
    <w:rsid w:val="4F7534EA"/>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2F4A26"/>
    <w:rsid w:val="5CBB0CE2"/>
    <w:rsid w:val="5CC17177"/>
    <w:rsid w:val="5CF306BC"/>
    <w:rsid w:val="5D3F3D64"/>
    <w:rsid w:val="5D4E59B6"/>
    <w:rsid w:val="5D6A02AA"/>
    <w:rsid w:val="5D833043"/>
    <w:rsid w:val="5DD92690"/>
    <w:rsid w:val="5DDB1CFD"/>
    <w:rsid w:val="5E1D6CF2"/>
    <w:rsid w:val="5E7E6D93"/>
    <w:rsid w:val="5ED44800"/>
    <w:rsid w:val="5F350BDE"/>
    <w:rsid w:val="5F61632C"/>
    <w:rsid w:val="5FA17648"/>
    <w:rsid w:val="5FE705CB"/>
    <w:rsid w:val="603D5080"/>
    <w:rsid w:val="60D0261B"/>
    <w:rsid w:val="61090F50"/>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A973C36"/>
    <w:rsid w:val="6B68175F"/>
    <w:rsid w:val="6BFD799F"/>
    <w:rsid w:val="6C092F18"/>
    <w:rsid w:val="6C4A2E5A"/>
    <w:rsid w:val="6C8138D0"/>
    <w:rsid w:val="6CEF0725"/>
    <w:rsid w:val="6D4B2604"/>
    <w:rsid w:val="6D8030E4"/>
    <w:rsid w:val="6E0E35C4"/>
    <w:rsid w:val="6E0F7A08"/>
    <w:rsid w:val="6E3947F5"/>
    <w:rsid w:val="6E9C74ED"/>
    <w:rsid w:val="6EF72976"/>
    <w:rsid w:val="6F70693B"/>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7A3AC0"/>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iPriority="99"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qFormat/>
    <w:uiPriority w:val="0"/>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index 1"/>
    <w:basedOn w:val="1"/>
    <w:next w:val="1"/>
    <w:unhideWhenUsed/>
    <w:qFormat/>
    <w:uiPriority w:val="99"/>
  </w:style>
  <w:style w:type="paragraph" w:styleId="4">
    <w:name w:val="annotation text"/>
    <w:basedOn w:val="1"/>
    <w:qFormat/>
    <w:uiPriority w:val="0"/>
    <w:pPr>
      <w:jc w:val="left"/>
    </w:pPr>
  </w:style>
  <w:style w:type="paragraph" w:styleId="5">
    <w:name w:val="toc 3"/>
    <w:basedOn w:val="1"/>
    <w:next w:val="1"/>
    <w:qFormat/>
    <w:uiPriority w:val="0"/>
    <w:pPr>
      <w:ind w:left="840" w:leftChars="4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0"/>
  </w:style>
  <w:style w:type="paragraph" w:styleId="9">
    <w:name w:val="toc 2"/>
    <w:basedOn w:val="1"/>
    <w:next w:val="1"/>
    <w:qFormat/>
    <w:uiPriority w:val="0"/>
    <w:pPr>
      <w:ind w:left="420" w:leftChars="200"/>
    </w:pPr>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3">
    <w:name w:val="Strong"/>
    <w:basedOn w:val="12"/>
    <w:qFormat/>
    <w:uiPriority w:val="0"/>
    <w:rPr>
      <w:b/>
    </w:rPr>
  </w:style>
  <w:style w:type="paragraph" w:customStyle="1" w:styleId="14">
    <w:name w:val="WPSOffice手动目录 3"/>
    <w:qFormat/>
    <w:uiPriority w:val="0"/>
    <w:pPr>
      <w:ind w:leftChars="400"/>
    </w:pPr>
    <w:rPr>
      <w:rFonts w:ascii="Times New Roman" w:hAnsi="Times New Roman" w:eastAsia="宋体" w:cs="Times New Roman"/>
      <w:sz w:val="20"/>
      <w:szCs w:val="20"/>
    </w:rPr>
  </w:style>
  <w:style w:type="paragraph" w:customStyle="1" w:styleId="15">
    <w:name w:val="WPSOffice手动目录 2"/>
    <w:qFormat/>
    <w:uiPriority w:val="0"/>
    <w:pPr>
      <w:ind w:leftChars="200"/>
    </w:pPr>
    <w:rPr>
      <w:rFonts w:ascii="Times New Roman" w:hAnsi="Times New Roman" w:eastAsia="宋体" w:cs="Times New Roman"/>
      <w:sz w:val="20"/>
      <w:szCs w:val="20"/>
    </w:rPr>
  </w:style>
  <w:style w:type="paragraph" w:customStyle="1" w:styleId="16">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6483</Words>
  <Characters>20828</Characters>
  <Lines>0</Lines>
  <Paragraphs>0</Paragraphs>
  <TotalTime>5</TotalTime>
  <ScaleCrop>false</ScaleCrop>
  <LinksUpToDate>false</LinksUpToDate>
  <CharactersWithSpaces>20940</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2024-11-29T11:04:08Z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D624B15633CD43C8BF9435464A96BF70</vt:lpwstr>
  </property>
</Properties>
</file>