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库尔勒市军队离退休干部休养所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 xml:space="preserve">1.贯彻落实党和国家关于老干部在一系列路线、方针、政策， 做好思想政治工作，开展好各项政治活动。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2.统筹安排和具体承担对老干部的服务管理工作。落实好老干部在政治待遇和生活待遇，保证老干部在利益不受损害。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3.及时发现并反映老干部生活中出现在可能出现的问题，及时 向上级领导反馈信息，定期组织老干部外出参观旅游。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4.认识、研究做好老干部工作的规律，开展老干部工作理论研究，制定和完善相关规章制度，使各项工作能够得到健康有序的开展。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库尔勒市军队离退休干部休养所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单位无下属预算单位，</w:t>
      </w:r>
      <w:bookmarkStart w:id="6" w:name="_Toc29374"/>
      <w:bookmarkStart w:id="7" w:name="_Toc3092"/>
      <w:r>
        <w:rPr>
          <w:rFonts w:hint="eastAsia" w:ascii="仿宋_GB2312" w:hAnsi="黑体" w:eastAsia="仿宋_GB2312" w:cs="宋体"/>
          <w:bCs/>
          <w:color w:val="auto"/>
          <w:kern w:val="0"/>
          <w:sz w:val="32"/>
          <w:szCs w:val="32"/>
          <w:highlight w:val="none"/>
        </w:rPr>
        <w:t>下设 3 个处室，分别是：行政办公室、 财务室、物业管理办公室</w:t>
      </w:r>
      <w:r>
        <w:rPr>
          <w:rFonts w:hint="eastAsia" w:ascii="仿宋_GB2312" w:hAnsi="黑体" w:eastAsia="仿宋_GB2312" w:cs="宋体"/>
          <w:bCs/>
          <w:color w:val="auto"/>
          <w:kern w:val="0"/>
          <w:sz w:val="32"/>
          <w:szCs w:val="32"/>
          <w:highlight w:val="none"/>
          <w:lang w:eastAsia="zh-CN"/>
        </w:rPr>
        <w:t>。</w:t>
      </w:r>
    </w:p>
    <w:p>
      <w:pPr>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br w:type="page"/>
      </w:r>
    </w:p>
    <w:p>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3,761.30万元，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3,761.30万元，使用非财政拨款结余0.00万元，年初结转和结余0.00万元。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3,761.30万元，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3,550.43万元，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0.00万元，年末结转和结余210.87万元。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增加1,370.06万元</w:t>
      </w:r>
      <w:r>
        <w:rPr>
          <w:rFonts w:hint="eastAsia" w:ascii="仿宋_GB2312" w:eastAsia="仿宋_GB2312"/>
          <w:color w:val="auto"/>
          <w:spacing w:val="0"/>
          <w:sz w:val="32"/>
          <w:szCs w:val="32"/>
          <w:highlight w:val="none"/>
          <w:lang w:eastAsia="zh-CN"/>
        </w:rPr>
        <w:t>，增长57.30%，主要原因是：因本年在职人员增加及新接收军休干部，人员及相关公用经费增加，导致本年支出总计增长。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3,761.30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3,087.10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82.08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674.20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17.92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本年支出3,550.43万元，其中：基本支出278.18万元，占7.84%；项目支出3,272.25万元，占92.16%；上缴上级支出0.00万元，占0.00%；经营支出0.00万元，占0.00%；对附属单位补助支出0.00万元，占0.00%。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3,087.10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3,087.10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3,087.10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3,087.10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增加695.86万元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增长29.10%,</w:t>
      </w:r>
      <w:r>
        <w:rPr>
          <w:rFonts w:hint="eastAsia" w:ascii="仿宋_GB2312" w:eastAsia="仿宋_GB2312"/>
          <w:color w:val="auto"/>
          <w:spacing w:val="0"/>
          <w:sz w:val="32"/>
          <w:szCs w:val="32"/>
          <w:highlight w:val="none"/>
          <w:lang w:eastAsia="zh-CN"/>
        </w:rPr>
        <w:t>主要原因是：因本年在职人员增加及新接收军休干部，人员及相关公用经费增加，导致本年支出总计增长。与年初预算相比，年初预算数</w:t>
      </w:r>
      <w:r>
        <w:rPr>
          <w:rFonts w:hint="eastAsia" w:ascii="仿宋_GB2312" w:eastAsia="仿宋_GB2312"/>
          <w:color w:val="auto"/>
          <w:spacing w:val="0"/>
          <w:sz w:val="32"/>
          <w:szCs w:val="32"/>
          <w:highlight w:val="none"/>
          <w:lang w:val="zh-CN" w:eastAsia="zh-CN"/>
        </w:rPr>
        <w:t>2,937.10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3,087.10</w:t>
      </w:r>
      <w:r>
        <w:rPr>
          <w:rFonts w:hint="eastAsia" w:ascii="仿宋_GB2312" w:eastAsia="仿宋_GB2312"/>
          <w:color w:val="auto"/>
          <w:spacing w:val="0"/>
          <w:sz w:val="32"/>
          <w:szCs w:val="32"/>
          <w:highlight w:val="none"/>
          <w:lang w:eastAsia="zh-CN"/>
        </w:rPr>
        <w:t>万元，预决算差异率5.11%，主要原因是：因本年在职人员增加及新接收军休干部，人员及相关公用经费增 加，导致财政拨款收入总计预决算数存在差异。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2023年度一般公共预算财政拨款支出3,087.10万元，占本年支出合计的</w:t>
      </w:r>
      <w:r>
        <w:rPr>
          <w:rFonts w:hint="eastAsia" w:ascii="仿宋_GB2312" w:eastAsia="仿宋_GB2312"/>
          <w:color w:val="auto"/>
          <w:spacing w:val="0"/>
          <w:sz w:val="32"/>
          <w:szCs w:val="32"/>
          <w:highlight w:val="none"/>
          <w:lang w:val="zh-CN" w:eastAsia="zh-CN"/>
        </w:rPr>
        <w:t>86.95%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增加695.86万元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增长29.10%,</w:t>
      </w:r>
      <w:r>
        <w:rPr>
          <w:rFonts w:hint="eastAsia" w:ascii="仿宋_GB2312" w:eastAsia="仿宋_GB2312"/>
          <w:color w:val="auto"/>
          <w:spacing w:val="0"/>
          <w:sz w:val="32"/>
          <w:szCs w:val="32"/>
          <w:highlight w:val="none"/>
          <w:lang w:eastAsia="zh-CN"/>
        </w:rPr>
        <w:t>主要原因是：2023年接收军休干部18名，财政拨款增加。与年初预算相比，年初预算数</w:t>
      </w:r>
      <w:r>
        <w:rPr>
          <w:rFonts w:hint="eastAsia" w:ascii="仿宋_GB2312" w:eastAsia="仿宋_GB2312"/>
          <w:color w:val="auto"/>
          <w:spacing w:val="0"/>
          <w:sz w:val="32"/>
          <w:szCs w:val="32"/>
          <w:highlight w:val="none"/>
          <w:lang w:val="zh-CN" w:eastAsia="zh-CN"/>
        </w:rPr>
        <w:t>2,937.10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3,087.10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5.11%</w:t>
      </w:r>
      <w:r>
        <w:rPr>
          <w:rFonts w:hint="eastAsia" w:ascii="仿宋_GB2312" w:eastAsia="仿宋_GB2312"/>
          <w:color w:val="auto"/>
          <w:spacing w:val="0"/>
          <w:sz w:val="32"/>
          <w:szCs w:val="32"/>
          <w:highlight w:val="none"/>
          <w:lang w:eastAsia="zh-CN"/>
        </w:rPr>
        <w:t>，主要原因是：本年新接收军休干部18人，去世3人，在职人员增加2人，</w:t>
      </w:r>
      <w:r>
        <w:rPr>
          <w:rFonts w:hint="eastAsia" w:ascii="仿宋_GB2312" w:eastAsia="仿宋_GB2312"/>
          <w:color w:val="auto"/>
          <w:spacing w:val="0"/>
          <w:sz w:val="32"/>
          <w:szCs w:val="32"/>
          <w:highlight w:val="none"/>
          <w:lang w:val="en-US" w:eastAsia="zh-CN"/>
        </w:rPr>
        <w:t>导致预决算出现差异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3,087.10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1.社会保障和就业支出（类）抚恤（款）死亡抚恤（项）:支出决算数为196.38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196.38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本年度新增去世人员，导致该项支出增加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2.社会保障和就业支出（类）退役安置（款）军队移交政府的离退休人员安置（项）:支出决算数为2.82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412.26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99.32%，主要原因是：该科目中退休费调整到其他退役安置支出科目中反映，导致该支出比上年决算减少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3.社会保障和就业支出（类）退役安置（款）军队移交政府离退休干部管理机构（项）:支出决算数为78.99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6.20%，主要原因是：机构基本建设资金在本年度</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，导致该支出比上年决算</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4.社会保障和就业支出（类）退役安置（款）其他退役安置支出（项）:支出决算数为2,808.92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918.09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48.55%，主要原因是：决算口径调整，原军队移交政府的离退休人员安置科目中退休费调整到其他退役安置支出科目中，导致该支出比上年决算增加</w:t>
      </w:r>
      <w:r>
        <w:rPr>
          <w:rFonts w:hint="eastAsia"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en-US" w:eastAsia="zh-CN" w:bidi="ar-SA"/>
        </w:rPr>
        <w:t>该退休费支出在军队移交政府的离退休人员安置科目中反映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278.18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270.70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基本工资、津贴补贴、奖金、绩效工资、机关事业单位基本养老保险缴费、职工基本医疗保险缴费、其他社会保障缴费、住房公积金、退休费、抚恤金、奖励金。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办公费、电费、邮电费、取暖费、差旅费、培训费、工会经费、福利费、公务用车运行维护费。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主要原因是：因严格控制“三公”经费支出，厉行节约，与上年保持一致。其中：因公出国（境）费支出0.00万元，占0.00%，比上年增加0.00万元，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主要原因是：我单位无因公出国（境）费支出；公务用车购置及运行维护费支出2.40万元，占100.00%，比上年增加0.00万元，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主要原因是：因严格控制“三公”经费支出，厉行节约，与上年保持一致；公务接待费支出0.00万元，占0.00%，比上年增加0.00万元，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2.40万元，其中：公务用车购置费0.00万元，公务用车运行维护费2.40万元。公务用车运行维护费开支内容包括车辆保险、车辆维修保养、油料费。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与公务用车保有量差异原因是：国有资产占用情况中固定资产车辆与公务用车保有量一致，无差异。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预算数2.40万元，决算数2.40万元，预决算差异率0.00%，主要原因是：严格控制三公经费，预决算无差异。其中：因公出国（境）费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预算数2.40万元，决算数2.40万元，预决算差异率0.00%，主要原因是：严格控制三公经费，预决算无差异；公务接待费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库尔勒市军队离退休干部休养所（事业单位）公用经费支出7.49万元，</w:t>
      </w:r>
      <w:r>
        <w:rPr>
          <w:rFonts w:hint="eastAsia" w:ascii="Times New Roman" w:hAnsi="Times New Roman" w:eastAsia="仿宋_GB2312" w:cs="Times New Roman"/>
          <w:color w:val="auto"/>
          <w:sz w:val="32"/>
          <w:szCs w:val="32"/>
          <w:highlight w:val="none"/>
          <w:lang w:val="zh-CN" w:eastAsia="zh-CN"/>
        </w:rPr>
        <w:t>比上年减少64.60万元，下降89.61%，主要原因是：决算口径调整，军休干部公用经费以前年度在基本支出填列，本年调整到项目支出填列</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60.05万元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其中：政府采购货物支出41.08万元、政府采购工程支出0.00万元、政府采购服务支出18.97万元。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授予中小企业合同金额60.05万元，占政府采购支出总额的100.00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，其中：授予小微企业合同金额60.05万元，占政府采购支出总额的100.00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80.83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屋0.0平方米，价值0.00万元。车辆1辆，价值2.00万元，其中：副部（省）级及以上领导用车0辆、主要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用车0辆、其他用车1辆，其他用车主要是：我单位日常业务用车；单价100万元（含）以上设备（不含车辆）0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 w:hAnsi="仿宋" w:eastAsia="仿宋" w:cs="仿宋"/>
          <w:b w:val="0"/>
          <w:bCs/>
          <w:color w:val="auto"/>
          <w:sz w:val="32"/>
          <w:szCs w:val="32"/>
          <w:highlight w:val="none"/>
          <w:lang w:val="en-US" w:eastAsia="zh-CN"/>
        </w:rPr>
        <w:t>3761.30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 w:hAnsi="仿宋" w:eastAsia="仿宋" w:cs="仿宋"/>
          <w:color w:val="auto"/>
          <w:kern w:val="2"/>
          <w:sz w:val="32"/>
          <w:szCs w:val="32"/>
          <w:highlight w:val="none"/>
          <w:lang w:val="en-US" w:eastAsia="zh-CN" w:bidi="ar-SA"/>
        </w:rPr>
        <w:t>3550.43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w:t>
      </w:r>
      <w:r>
        <w:rPr>
          <w:rFonts w:hint="eastAsia" w:ascii="仿宋_GB2312" w:eastAsia="仿宋_GB2312"/>
          <w:color w:val="auto"/>
          <w:sz w:val="32"/>
          <w:szCs w:val="32"/>
          <w:highlight w:val="none"/>
          <w:lang w:val="en-US" w:eastAsia="zh-CN"/>
        </w:rPr>
        <w:t>涉密</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涉密金额2884.38万元。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仿宋_GB2312" w:eastAsia="仿宋_GB2312"/>
          <w:color w:val="auto"/>
          <w:sz w:val="32"/>
          <w:szCs w:val="32"/>
          <w:highlight w:val="none"/>
          <w:lang w:val="en-US" w:eastAsia="zh-CN"/>
        </w:rPr>
      </w:pPr>
      <w:bookmarkStart w:id="30" w:name="_Toc24143"/>
      <w:bookmarkStart w:id="31" w:name="_Toc3250"/>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w:t>
      </w:r>
      <w:r>
        <w:rPr>
          <w:rFonts w:hint="eastAsia" w:ascii="仿宋_GB2312" w:hAnsi="仿宋_GB2312" w:eastAsia="仿宋_GB2312" w:cs="仿宋_GB2312"/>
          <w:color w:val="auto"/>
          <w:kern w:val="0"/>
          <w:sz w:val="32"/>
          <w:szCs w:val="32"/>
          <w:highlight w:val="none"/>
          <w:lang w:val="en-US" w:eastAsia="zh-CN"/>
        </w:rPr>
        <w:t>评价涉密项目3个，</w:t>
      </w:r>
      <w:r>
        <w:rPr>
          <w:rFonts w:hint="eastAsia" w:ascii="仿宋_GB2312" w:eastAsia="仿宋_GB2312"/>
          <w:color w:val="auto"/>
          <w:sz w:val="32"/>
          <w:szCs w:val="32"/>
          <w:highlight w:val="none"/>
          <w:lang w:val="en-US" w:eastAsia="zh-CN"/>
        </w:rPr>
        <w:t>涉密金额2884.38万元。其中包括巴财社（2023）52号、新财社（2023）142号关于提前下达2023年中央财政退役安置补助经费预算（第二批）的通知，涉密金额413.21万元，巴财社【2021】100号关于提前下达2022年中央财政退役安置补助经费预算的通知，涉密金额29.17万元，巴财社【2022】133号关于提前下达2023年中央财政退役安置补助经费预算的通知（军干所经费），涉密金额2442万元。</w:t>
      </w:r>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bookmarkStart w:id="46" w:name="_Toc7643"/>
      <w:bookmarkStart w:id="47" w:name="_Toc545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default" w:ascii="黑体" w:hAnsi="黑体" w:eastAsia="仿宋_GB2312" w:cs="宋体"/>
          <w:bCs/>
          <w:color w:val="auto"/>
          <w:w w:val="90"/>
          <w:kern w:val="0"/>
          <w:sz w:val="32"/>
          <w:szCs w:val="32"/>
          <w:highlight w:val="none"/>
          <w:lang w:val="en-US"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59264" behindDoc="0" locked="0" layoutInCell="1" allowOverlap="1">
            <wp:simplePos x="0" y="0"/>
            <wp:positionH relativeFrom="column">
              <wp:posOffset>-744855</wp:posOffset>
            </wp:positionH>
            <wp:positionV relativeFrom="paragraph">
              <wp:posOffset>274320</wp:posOffset>
            </wp:positionV>
            <wp:extent cx="6883400" cy="6776085"/>
            <wp:effectExtent l="0" t="0" r="12700" b="571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883400" cy="67760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0288" behindDoc="0" locked="0" layoutInCell="1" allowOverlap="1">
            <wp:simplePos x="0" y="0"/>
            <wp:positionH relativeFrom="column">
              <wp:posOffset>-887095</wp:posOffset>
            </wp:positionH>
            <wp:positionV relativeFrom="paragraph">
              <wp:posOffset>539115</wp:posOffset>
            </wp:positionV>
            <wp:extent cx="7092315" cy="4351655"/>
            <wp:effectExtent l="0" t="0" r="13335" b="1079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7092315" cy="435165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1312" behindDoc="0" locked="0" layoutInCell="1" allowOverlap="1">
            <wp:simplePos x="0" y="0"/>
            <wp:positionH relativeFrom="column">
              <wp:posOffset>-899160</wp:posOffset>
            </wp:positionH>
            <wp:positionV relativeFrom="paragraph">
              <wp:posOffset>466725</wp:posOffset>
            </wp:positionV>
            <wp:extent cx="7120255" cy="4187825"/>
            <wp:effectExtent l="0" t="0" r="4445" b="317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7120255" cy="418782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2336" behindDoc="0" locked="0" layoutInCell="1" allowOverlap="1">
            <wp:simplePos x="0" y="0"/>
            <wp:positionH relativeFrom="column">
              <wp:posOffset>-916940</wp:posOffset>
            </wp:positionH>
            <wp:positionV relativeFrom="paragraph">
              <wp:posOffset>342900</wp:posOffset>
            </wp:positionV>
            <wp:extent cx="7138670" cy="6551295"/>
            <wp:effectExtent l="0" t="0" r="5080" b="190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7138670" cy="65512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3360" behindDoc="0" locked="0" layoutInCell="1" allowOverlap="1">
            <wp:simplePos x="0" y="0"/>
            <wp:positionH relativeFrom="column">
              <wp:posOffset>-926465</wp:posOffset>
            </wp:positionH>
            <wp:positionV relativeFrom="paragraph">
              <wp:posOffset>348615</wp:posOffset>
            </wp:positionV>
            <wp:extent cx="7192010" cy="4276725"/>
            <wp:effectExtent l="0" t="0" r="8890" b="952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7192010" cy="427672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7456" behindDoc="0" locked="0" layoutInCell="1" allowOverlap="1">
            <wp:simplePos x="0" y="0"/>
            <wp:positionH relativeFrom="column">
              <wp:posOffset>-441960</wp:posOffset>
            </wp:positionH>
            <wp:positionV relativeFrom="paragraph">
              <wp:posOffset>421640</wp:posOffset>
            </wp:positionV>
            <wp:extent cx="6289040" cy="7916545"/>
            <wp:effectExtent l="0" t="0" r="16510" b="8255"/>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6289040" cy="79165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4384" behindDoc="0" locked="0" layoutInCell="1" allowOverlap="1">
            <wp:simplePos x="0" y="0"/>
            <wp:positionH relativeFrom="column">
              <wp:posOffset>-1029970</wp:posOffset>
            </wp:positionH>
            <wp:positionV relativeFrom="paragraph">
              <wp:posOffset>628650</wp:posOffset>
            </wp:positionV>
            <wp:extent cx="7287260" cy="3846195"/>
            <wp:effectExtent l="0" t="0" r="8890" b="1905"/>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7287260" cy="38461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5408" behindDoc="0" locked="0" layoutInCell="1" allowOverlap="1">
            <wp:simplePos x="0" y="0"/>
            <wp:positionH relativeFrom="column">
              <wp:posOffset>-912495</wp:posOffset>
            </wp:positionH>
            <wp:positionV relativeFrom="paragraph">
              <wp:posOffset>478155</wp:posOffset>
            </wp:positionV>
            <wp:extent cx="7277100" cy="2992120"/>
            <wp:effectExtent l="0" t="0" r="0" b="1778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7277100" cy="29921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-854710</wp:posOffset>
            </wp:positionH>
            <wp:positionV relativeFrom="paragraph">
              <wp:posOffset>401955</wp:posOffset>
            </wp:positionV>
            <wp:extent cx="7169785" cy="2995930"/>
            <wp:effectExtent l="0" t="0" r="12065" b="1397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7169785" cy="2995930"/>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CC2C6E"/>
    <w:rsid w:val="2A053397"/>
    <w:rsid w:val="2A145E96"/>
    <w:rsid w:val="2A2131BB"/>
    <w:rsid w:val="2AF5378F"/>
    <w:rsid w:val="2B392D70"/>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04B07"/>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1C3290"/>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8B68A3"/>
    <w:rsid w:val="5CAA4395"/>
    <w:rsid w:val="5CBB0CE2"/>
    <w:rsid w:val="5CC17177"/>
    <w:rsid w:val="5CF306BC"/>
    <w:rsid w:val="5D3F3D64"/>
    <w:rsid w:val="5D833043"/>
    <w:rsid w:val="5D9F6247"/>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515EBB"/>
    <w:rsid w:val="70AA6621"/>
    <w:rsid w:val="70C46CDF"/>
    <w:rsid w:val="7111480F"/>
    <w:rsid w:val="71261F49"/>
    <w:rsid w:val="712E6956"/>
    <w:rsid w:val="71473612"/>
    <w:rsid w:val="71504F32"/>
    <w:rsid w:val="7152309F"/>
    <w:rsid w:val="71682D4E"/>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AF854A7"/>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pPr>
      <w:spacing w:before="61"/>
      <w:ind w:left="117"/>
    </w:pPr>
    <w:rPr>
      <w:szCs w:val="30"/>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17</TotalTime>
  <ScaleCrop>false</ScaleCrop>
  <LinksUpToDate>false</LinksUpToDate>
  <CharactersWithSpaces>20937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2024-10-31T11:20:51Z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