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库尔勒市迎宾街道办事处</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ind w:firstLine="640" w:firstLineChars="200"/>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bookmarkStart w:id="4" w:name="_Toc31238"/>
      <w:bookmarkStart w:id="5" w:name="_Toc2151"/>
      <w:r>
        <w:rPr>
          <w:rFonts w:hint="eastAsia" w:ascii="仿宋_GB2312" w:eastAsia="仿宋_GB2312"/>
          <w:color w:val="auto"/>
          <w:spacing w:val="0"/>
          <w:sz w:val="32"/>
          <w:szCs w:val="32"/>
          <w:highlight w:val="none"/>
          <w:lang w:val="en-US" w:eastAsia="zh-CN"/>
        </w:rPr>
        <w:t xml:space="preserve">1、贯彻执行党和国家的各项方针、政策、法规和上级人民政府关于街道工作方面的决定，制定具体的管理办法并组织实施。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2、负责辖区内的社会管理综合治理，人民调解、法律服务工作，依照有关规定管理外来流动人员。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3、开展社区服务、拥军优属工作，负责社区优抚、社会救济、社会福利工作，做好社区文化、科普、体育、教育工作。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4、按照职责范围做好计划生育、爱国卫生、绿化、环境保护、劳动就业、安全生产等管理工作。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5、配合有关部门做好防汛、防风、防火、防震、抢险和防灾救灾工作。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6、会同有关部门做好本辖区综合治理等工作；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7、负责辖区内市容市貌和环境卫生的日常管理工作，发动辖区单位和群众保护环境，开展爱国卫生运动；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8、指导和帮助居民委员会的工作，调解解决行政事务、社会管理和公共服务方面的问题，促进居民委员会的依法建设。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9、协助武装部门做好国防动员、民兵训练和公民服兵役工作；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10、维护老年人、妇女、青少年、儿童和残疾人的合法权益。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 xml:space="preserve">11、动员和领导居民及各单位、各部门开展社区建设工作；制定并实施社区建设规划和年度计划；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12、承办市党委、市政府交办的其他事项。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库尔勒市迎宾街道办事处2023年度，实有人数</w:t>
      </w:r>
      <w:r>
        <w:rPr>
          <w:rFonts w:hint="eastAsia" w:ascii="仿宋_GB2312" w:eastAsia="仿宋_GB2312"/>
          <w:color w:val="auto"/>
          <w:spacing w:val="0"/>
          <w:sz w:val="32"/>
          <w:szCs w:val="32"/>
          <w:highlight w:val="none"/>
          <w:lang w:val="zh-CN" w:eastAsia="zh-CN"/>
        </w:rPr>
        <w:t>38</w:t>
      </w:r>
      <w:r>
        <w:rPr>
          <w:rFonts w:hint="eastAsia" w:ascii="仿宋_GB2312" w:eastAsia="仿宋_GB2312"/>
          <w:color w:val="auto"/>
          <w:spacing w:val="0"/>
          <w:sz w:val="32"/>
          <w:szCs w:val="32"/>
          <w:highlight w:val="none"/>
          <w:lang w:val="en-US" w:eastAsia="zh-CN"/>
        </w:rPr>
        <w:t>人，其中：在职人员</w:t>
      </w:r>
      <w:r>
        <w:rPr>
          <w:rFonts w:hint="eastAsia" w:ascii="仿宋_GB2312" w:eastAsia="仿宋_GB2312"/>
          <w:color w:val="auto"/>
          <w:spacing w:val="0"/>
          <w:sz w:val="32"/>
          <w:szCs w:val="32"/>
          <w:highlight w:val="none"/>
          <w:lang w:val="zh-CN" w:eastAsia="zh-CN"/>
        </w:rPr>
        <w:t>37</w:t>
      </w:r>
      <w:r>
        <w:rPr>
          <w:rFonts w:hint="eastAsia" w:ascii="仿宋_GB2312" w:eastAsia="仿宋_GB2312"/>
          <w:color w:val="auto"/>
          <w:spacing w:val="0"/>
          <w:sz w:val="32"/>
          <w:szCs w:val="32"/>
          <w:highlight w:val="none"/>
          <w:lang w:val="en-US" w:eastAsia="zh-CN"/>
        </w:rPr>
        <w:t>人，离休人员</w:t>
      </w:r>
      <w:r>
        <w:rPr>
          <w:rFonts w:hint="eastAsia" w:ascii="仿宋_GB2312" w:eastAsia="仿宋_GB2312"/>
          <w:color w:val="auto"/>
          <w:spacing w:val="0"/>
          <w:sz w:val="32"/>
          <w:szCs w:val="32"/>
          <w:highlight w:val="none"/>
          <w:lang w:val="zh-CN" w:eastAsia="zh-CN"/>
        </w:rPr>
        <w:t>0</w:t>
      </w:r>
      <w:r>
        <w:rPr>
          <w:rFonts w:hint="eastAsia" w:ascii="仿宋_GB2312" w:eastAsia="仿宋_GB2312"/>
          <w:color w:val="auto"/>
          <w:spacing w:val="0"/>
          <w:sz w:val="32"/>
          <w:szCs w:val="32"/>
          <w:highlight w:val="none"/>
          <w:lang w:val="en-US" w:eastAsia="zh-CN"/>
        </w:rPr>
        <w:t>人，退休人员</w:t>
      </w:r>
      <w:r>
        <w:rPr>
          <w:rFonts w:hint="eastAsia" w:ascii="仿宋_GB2312" w:eastAsia="仿宋_GB2312"/>
          <w:color w:val="auto"/>
          <w:spacing w:val="0"/>
          <w:sz w:val="32"/>
          <w:szCs w:val="32"/>
          <w:highlight w:val="none"/>
          <w:lang w:val="zh-CN" w:eastAsia="zh-CN"/>
        </w:rPr>
        <w:t>1</w:t>
      </w:r>
      <w:r>
        <w:rPr>
          <w:rFonts w:hint="eastAsia" w:ascii="仿宋_GB2312" w:eastAsia="仿宋_GB2312"/>
          <w:color w:val="auto"/>
          <w:spacing w:val="0"/>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hAnsi="黑体" w:eastAsia="仿宋_GB2312" w:cs="宋体"/>
          <w:bCs/>
          <w:kern w:val="0"/>
          <w:sz w:val="32"/>
          <w:szCs w:val="32"/>
          <w:lang w:val="en-US" w:eastAsia="zh-CN"/>
        </w:rPr>
      </w:pPr>
      <w:bookmarkStart w:id="6" w:name="_Toc3092"/>
      <w:bookmarkStart w:id="7" w:name="_Toc29374"/>
      <w:r>
        <w:rPr>
          <w:rFonts w:hint="eastAsia" w:ascii="仿宋_GB2312" w:eastAsia="仿宋_GB2312"/>
          <w:color w:val="auto"/>
          <w:spacing w:val="0"/>
          <w:sz w:val="32"/>
          <w:szCs w:val="32"/>
          <w:highlight w:val="none"/>
          <w:lang w:eastAsia="zh-CN"/>
        </w:rPr>
        <w:t>库尔勒市迎宾街道办事处无下属预算单位，下设6个处室，分别是：党建办、综合协调办、行政执法办、综治中心、社会事务服务中心、统战民宗中心。</w:t>
      </w:r>
      <w:r>
        <w:rPr>
          <w:rFonts w:hint="eastAsia" w:ascii="仿宋_GB2312" w:hAnsi="黑体" w:eastAsia="仿宋_GB2312" w:cs="宋体"/>
          <w:bCs/>
          <w:kern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1,135.51万元，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1,135.51万元，使用非财政拨款结余0.00万元，年初结转和结余0.00万元。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1,135.51万元，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1,135.51万元，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减少151.61万元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下降11.78%</w:t>
      </w:r>
      <w:r>
        <w:rPr>
          <w:rFonts w:hint="eastAsia" w:ascii="仿宋_GB2312" w:eastAsia="仿宋_GB2312"/>
          <w:color w:val="auto"/>
          <w:spacing w:val="0"/>
          <w:sz w:val="32"/>
          <w:szCs w:val="32"/>
          <w:highlight w:val="none"/>
          <w:lang w:eastAsia="zh-CN"/>
        </w:rPr>
        <w:t>，主要原因是：严格执行中央八项规定，厉行节约，压缩各项经费支出。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1,135.51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1,135.51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本年支出1,135.51万元，其中：基本支出1,117.24万元，占98.39%；项目支出18.27万元，占1.61%；上缴上级支出0.00万元，占0.00%；经营支出0.00万元，占0.00%；对附属单位补助支出0.00万元，占0.00%。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1,135.51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1,135.51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1,135.51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1,135.51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减少151.61万元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下降11.78%，</w:t>
      </w:r>
      <w:r>
        <w:rPr>
          <w:rFonts w:hint="eastAsia" w:ascii="仿宋_GB2312" w:eastAsia="仿宋_GB2312"/>
          <w:color w:val="auto"/>
          <w:spacing w:val="0"/>
          <w:sz w:val="32"/>
          <w:szCs w:val="32"/>
          <w:highlight w:val="none"/>
          <w:lang w:eastAsia="zh-CN"/>
        </w:rPr>
        <w:t>主要原因是：严格执行中央八项规定，厉行节约，压缩各项经费支出。各项收入相对体现出预算编制的科学合理性，有效的节约了不必需的开支。与年初预算相比，年初预算数</w:t>
      </w:r>
      <w:r>
        <w:rPr>
          <w:rFonts w:hint="eastAsia" w:ascii="仿宋_GB2312" w:eastAsia="仿宋_GB2312"/>
          <w:color w:val="auto"/>
          <w:spacing w:val="0"/>
          <w:sz w:val="32"/>
          <w:szCs w:val="32"/>
          <w:highlight w:val="none"/>
          <w:lang w:val="zh-CN" w:eastAsia="zh-CN"/>
        </w:rPr>
        <w:t>1,028.30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1,135.51</w:t>
      </w:r>
      <w:r>
        <w:rPr>
          <w:rFonts w:hint="eastAsia" w:ascii="仿宋_GB2312" w:eastAsia="仿宋_GB2312"/>
          <w:color w:val="auto"/>
          <w:spacing w:val="0"/>
          <w:sz w:val="32"/>
          <w:szCs w:val="32"/>
          <w:highlight w:val="none"/>
          <w:lang w:eastAsia="zh-CN"/>
        </w:rPr>
        <w:t>万元，预决算差异率10.43%，主要原因是：</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eastAsia="zh-CN"/>
        </w:rPr>
        <w:t>.发放2021年及2022年优秀考核奖；</w:t>
      </w:r>
      <w:r>
        <w:rPr>
          <w:rFonts w:hint="eastAsia" w:ascii="仿宋_GB2312" w:eastAsia="仿宋_GB2312"/>
          <w:color w:val="auto"/>
          <w:spacing w:val="0"/>
          <w:sz w:val="32"/>
          <w:szCs w:val="32"/>
          <w:highlight w:val="none"/>
          <w:lang w:val="en-US" w:eastAsia="zh-CN"/>
        </w:rPr>
        <w:t>2</w:t>
      </w:r>
      <w:r>
        <w:rPr>
          <w:rFonts w:hint="eastAsia" w:ascii="仿宋_GB2312" w:eastAsia="仿宋_GB2312"/>
          <w:color w:val="auto"/>
          <w:spacing w:val="0"/>
          <w:sz w:val="32"/>
          <w:szCs w:val="32"/>
          <w:highlight w:val="none"/>
          <w:lang w:eastAsia="zh-CN"/>
        </w:rPr>
        <w:t>.社区三岗十八级实行，工资调整，在职人员调资及社保基数上调。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2023年度一般公共预算财政拨款支出1,111.26万元，占本年支出合计的</w:t>
      </w:r>
      <w:r>
        <w:rPr>
          <w:rFonts w:hint="eastAsia" w:ascii="仿宋_GB2312" w:eastAsia="仿宋_GB2312"/>
          <w:color w:val="auto"/>
          <w:spacing w:val="0"/>
          <w:sz w:val="32"/>
          <w:szCs w:val="32"/>
          <w:highlight w:val="none"/>
          <w:lang w:val="zh-CN" w:eastAsia="zh-CN"/>
        </w:rPr>
        <w:t>97.86%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减少175.86万元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下降13.66%，</w:t>
      </w:r>
      <w:r>
        <w:rPr>
          <w:rFonts w:hint="eastAsia" w:ascii="仿宋_GB2312" w:eastAsia="仿宋_GB2312"/>
          <w:color w:val="auto"/>
          <w:spacing w:val="0"/>
          <w:sz w:val="32"/>
          <w:szCs w:val="32"/>
          <w:highlight w:val="none"/>
          <w:lang w:eastAsia="zh-CN"/>
        </w:rPr>
        <w:t>主要原因是：严格执行中央八项规定，厉行节约，压缩各项经费支出。与年初预算相比，年初预算数</w:t>
      </w:r>
      <w:r>
        <w:rPr>
          <w:rFonts w:hint="eastAsia" w:ascii="仿宋_GB2312" w:eastAsia="仿宋_GB2312"/>
          <w:color w:val="auto"/>
          <w:spacing w:val="0"/>
          <w:sz w:val="32"/>
          <w:szCs w:val="32"/>
          <w:highlight w:val="none"/>
          <w:lang w:val="zh-CN" w:eastAsia="zh-CN"/>
        </w:rPr>
        <w:t>1,019.05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1,111.26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9.05%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w:t>
      </w:r>
      <w:r>
        <w:rPr>
          <w:rFonts w:hint="eastAsia" w:ascii="仿宋_GB2312" w:eastAsia="仿宋_GB2312"/>
          <w:color w:val="auto"/>
          <w:spacing w:val="0"/>
          <w:sz w:val="32"/>
          <w:szCs w:val="32"/>
          <w:highlight w:val="none"/>
          <w:lang w:eastAsia="zh-CN"/>
        </w:rPr>
        <w:t>.发放2021年及2022年优秀考核奖；</w:t>
      </w:r>
      <w:r>
        <w:rPr>
          <w:rFonts w:hint="eastAsia" w:ascii="仿宋_GB2312" w:eastAsia="仿宋_GB2312"/>
          <w:color w:val="auto"/>
          <w:spacing w:val="0"/>
          <w:sz w:val="32"/>
          <w:szCs w:val="32"/>
          <w:highlight w:val="none"/>
          <w:lang w:val="en-US" w:eastAsia="zh-CN"/>
        </w:rPr>
        <w:t>2</w:t>
      </w:r>
      <w:r>
        <w:rPr>
          <w:rFonts w:hint="eastAsia" w:ascii="仿宋_GB2312" w:eastAsia="仿宋_GB2312"/>
          <w:color w:val="auto"/>
          <w:spacing w:val="0"/>
          <w:sz w:val="32"/>
          <w:szCs w:val="32"/>
          <w:highlight w:val="none"/>
          <w:lang w:eastAsia="zh-CN"/>
        </w:rPr>
        <w:t>.社区三岗十八级实行，工资调整，在职人员调资及社保基数上调。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848.43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76.35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176.45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15.88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31.07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2.80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53.21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1.卫生健康支出（类）行政事业单位医疗（款）行政单位医疗（项）:支出决算数为28.64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46.2</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w:t>
      </w:r>
      <w:r>
        <w:rPr>
          <w:rFonts w:hint="eastAsia" w:eastAsia="仿宋_GB2312" w:cs="Times New Roman"/>
          <w:color w:val="auto"/>
          <w:kern w:val="2"/>
          <w:sz w:val="32"/>
          <w:szCs w:val="32"/>
          <w:highlight w:val="none"/>
          <w:lang w:val="zh-CN" w:eastAsia="zh-CN" w:bidi="ar-SA"/>
        </w:rPr>
        <w:t>单位职工医疗基数有所提高。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2.教育支出（类）进修及培训（款）培训支出（项）:支出决算数为2.11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17.</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5%，主要原因是：</w:t>
      </w:r>
      <w:r>
        <w:rPr>
          <w:rFonts w:hint="eastAsia" w:eastAsia="仿宋_GB2312" w:cs="Times New Roman"/>
          <w:color w:val="auto"/>
          <w:kern w:val="2"/>
          <w:sz w:val="32"/>
          <w:szCs w:val="32"/>
          <w:highlight w:val="none"/>
          <w:lang w:val="zh-CN" w:eastAsia="zh-CN" w:bidi="ar-SA"/>
        </w:rPr>
        <w:t>本年度</w:t>
      </w:r>
      <w:r>
        <w:rPr>
          <w:rFonts w:hint="eastAsia" w:ascii="Times New Roman" w:hAnsi="Times New Roman" w:eastAsia="仿宋_GB2312" w:cs="Times New Roman"/>
          <w:color w:val="auto"/>
          <w:kern w:val="2"/>
          <w:sz w:val="32"/>
          <w:szCs w:val="32"/>
          <w:highlight w:val="none"/>
          <w:lang w:val="en-US" w:eastAsia="zh-CN" w:bidi="ar-SA"/>
        </w:rPr>
        <w:t>教育支出（类）进修及培训（款）培训</w:t>
      </w:r>
      <w:r>
        <w:rPr>
          <w:rFonts w:hint="eastAsia" w:eastAsia="仿宋_GB2312" w:cs="Times New Roman"/>
          <w:color w:val="auto"/>
          <w:kern w:val="2"/>
          <w:sz w:val="32"/>
          <w:szCs w:val="32"/>
          <w:highlight w:val="none"/>
          <w:lang w:val="en-US" w:eastAsia="zh-CN" w:bidi="ar-SA"/>
        </w:rPr>
        <w:t>次数有所减少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3.卫生健康支出（类）行政事业单位医疗（款）公务员医疗补助（项）:支出决算数为2.44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w:t>
      </w:r>
      <w:r>
        <w:rPr>
          <w:rFonts w:hint="eastAsia" w:eastAsia="仿宋_GB2312" w:cs="Times New Roman"/>
          <w:color w:val="auto"/>
          <w:kern w:val="2"/>
          <w:sz w:val="32"/>
          <w:szCs w:val="32"/>
          <w:highlight w:val="none"/>
          <w:lang w:val="en-US" w:eastAsia="zh-CN" w:bidi="ar-SA"/>
        </w:rPr>
        <w:t>79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本年度</w:t>
      </w:r>
      <w:r>
        <w:rPr>
          <w:rFonts w:hint="eastAsia" w:ascii="Times New Roman" w:hAnsi="Times New Roman" w:eastAsia="仿宋_GB2312" w:cs="Times New Roman"/>
          <w:color w:val="auto"/>
          <w:kern w:val="2"/>
          <w:sz w:val="32"/>
          <w:szCs w:val="32"/>
          <w:highlight w:val="none"/>
          <w:lang w:val="en-US" w:eastAsia="zh-CN" w:bidi="ar-SA"/>
        </w:rPr>
        <w:t>行政事业单位医疗（款）公务员医疗补助（项）</w:t>
      </w:r>
      <w:r>
        <w:rPr>
          <w:rFonts w:hint="eastAsia" w:eastAsia="仿宋_GB2312" w:cs="Times New Roman"/>
          <w:color w:val="auto"/>
          <w:kern w:val="2"/>
          <w:sz w:val="32"/>
          <w:szCs w:val="32"/>
          <w:highlight w:val="none"/>
          <w:lang w:val="en-US" w:eastAsia="zh-CN" w:bidi="ar-SA"/>
        </w:rPr>
        <w:t>缴费基数有所增加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4.住房保障支出（类）住房改革支出（款）住房公积金（项）:支出决算数为53.21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4.53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7.84%，主要原因是：</w:t>
      </w:r>
      <w:r>
        <w:rPr>
          <w:rFonts w:hint="eastAsia" w:eastAsia="仿宋_GB2312" w:cs="Times New Roman"/>
          <w:color w:val="auto"/>
          <w:kern w:val="2"/>
          <w:sz w:val="32"/>
          <w:szCs w:val="32"/>
          <w:highlight w:val="none"/>
          <w:lang w:val="zh-CN" w:eastAsia="zh-CN" w:bidi="ar-SA"/>
        </w:rPr>
        <w:t>本年度</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w:t>
      </w:r>
      <w:r>
        <w:rPr>
          <w:rFonts w:hint="eastAsia" w:eastAsia="仿宋_GB2312" w:cs="Times New Roman"/>
          <w:color w:val="auto"/>
          <w:kern w:val="2"/>
          <w:sz w:val="32"/>
          <w:szCs w:val="32"/>
          <w:highlight w:val="none"/>
          <w:lang w:val="en-US" w:eastAsia="zh-CN" w:bidi="ar-SA"/>
        </w:rPr>
        <w:t>缴费基数有所增加</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5.社会保障和就业支出（类）行政事业单位养老支出（款）机关事业单位基本养老保险缴费支出（项）:支出决算数为60.07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60.07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sz w:val="32"/>
          <w:szCs w:val="32"/>
        </w:rPr>
        <w:t>功能科目调整，上年度在其他人力资源和社会保障管理事务科目中列支，本年主科目列支。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6.社会保障和就业支出（类）行政事业单位养老支出（款）行政单位离退休（项）:支出决算数为0.58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sz w:val="32"/>
          <w:szCs w:val="32"/>
        </w:rPr>
        <w:t>本年度退休人员增加基础绩效，退休费增加。</w:t>
      </w:r>
      <w:r>
        <w:rPr>
          <w:rFonts w:hint="eastAsia" w:ascii="仿宋_GB2312"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7.社会保障和就业支出（类）就业补助（款）公益性岗位补贴（项）:支出决算数为114.96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114.96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仿宋" w:eastAsia="仿宋_GB2312"/>
          <w:sz w:val="32"/>
          <w:szCs w:val="32"/>
          <w:lang w:eastAsia="zh-CN"/>
        </w:rPr>
        <w:t>在预算</w:t>
      </w:r>
      <w:r>
        <w:rPr>
          <w:rFonts w:hint="eastAsia" w:ascii="Times New Roman" w:hAnsi="Times New Roman" w:eastAsia="仿宋_GB2312" w:cs="Times New Roman"/>
          <w:color w:val="auto"/>
          <w:kern w:val="2"/>
          <w:sz w:val="32"/>
          <w:szCs w:val="32"/>
          <w:highlight w:val="none"/>
          <w:lang w:val="en-US" w:eastAsia="zh-CN" w:bidi="ar-SA"/>
        </w:rPr>
        <w:t>公益性岗位</w:t>
      </w:r>
      <w:r>
        <w:rPr>
          <w:rFonts w:hint="eastAsia" w:ascii="仿宋_GB2312" w:hAnsi="仿宋" w:eastAsia="仿宋_GB2312"/>
          <w:sz w:val="32"/>
          <w:szCs w:val="32"/>
          <w:lang w:eastAsia="zh-CN"/>
        </w:rPr>
        <w:t>人员社保列支此项预算，上年做决算时调至</w:t>
      </w:r>
      <w:r>
        <w:rPr>
          <w:rFonts w:hint="eastAsia" w:ascii="Times New Roman" w:hAnsi="Times New Roman" w:eastAsia="仿宋_GB2312" w:cs="Times New Roman"/>
          <w:color w:val="auto"/>
          <w:kern w:val="2"/>
          <w:sz w:val="32"/>
          <w:szCs w:val="32"/>
          <w:highlight w:val="none"/>
          <w:lang w:val="en-US" w:eastAsia="zh-CN" w:bidi="ar-SA"/>
        </w:rPr>
        <w:t>社会保障和就业</w:t>
      </w:r>
      <w:r>
        <w:rPr>
          <w:rFonts w:hint="eastAsia" w:ascii="仿宋_GB2312" w:hAnsi="仿宋" w:eastAsia="仿宋_GB2312"/>
          <w:sz w:val="32"/>
          <w:szCs w:val="32"/>
          <w:lang w:eastAsia="zh-CN"/>
        </w:rPr>
        <w:t>支出</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8.一般公共服务支出（类）政府办公厅（室）及相关机构事务（款）行政运行（项）:支出决算数为846.93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192.84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18.55%，主要原因是：</w:t>
      </w:r>
      <w:r>
        <w:rPr>
          <w:rFonts w:hint="eastAsia" w:ascii="仿宋_GB2312" w:eastAsia="仿宋_GB2312"/>
          <w:sz w:val="32"/>
          <w:szCs w:val="32"/>
        </w:rPr>
        <w:t>本年人员调入调出，因调出人员工资基数高，调入人员工资基数低，导致经费减少。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9.社会保障和就业支出（类）行政事业单位养老支出（款）机关事业单位职业年金缴费支出（项）:支出决算数为0.84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本年度有退休人员</w:t>
      </w:r>
      <w:r>
        <w:rPr>
          <w:rFonts w:hint="eastAsia" w:eastAsia="仿宋_GB2312" w:cs="Times New Roman"/>
          <w:color w:val="auto"/>
          <w:kern w:val="2"/>
          <w:sz w:val="32"/>
          <w:szCs w:val="32"/>
          <w:highlight w:val="none"/>
          <w:lang w:val="en-US" w:eastAsia="zh-CN" w:bidi="ar-SA"/>
        </w:rPr>
        <w:t>1名</w:t>
      </w:r>
      <w:r>
        <w:rPr>
          <w:rFonts w:hint="eastAsia" w:eastAsia="仿宋_GB2312" w:cs="Times New Roman"/>
          <w:color w:val="auto"/>
          <w:kern w:val="2"/>
          <w:sz w:val="32"/>
          <w:szCs w:val="32"/>
          <w:highlight w:val="none"/>
          <w:lang w:val="zh-CN" w:eastAsia="zh-CN" w:bidi="ar-SA"/>
        </w:rPr>
        <w:t>增加职业年金。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10.一般公共服务支出（类）纪检监察事务（款）其他纪检监察事务支出（项）:支出决算数为1.50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6%，主要原因是：</w:t>
      </w:r>
      <w:r>
        <w:rPr>
          <w:rFonts w:hint="eastAsia" w:eastAsia="仿宋_GB2312" w:cs="Times New Roman"/>
          <w:color w:val="auto"/>
          <w:kern w:val="2"/>
          <w:sz w:val="32"/>
          <w:szCs w:val="32"/>
          <w:highlight w:val="none"/>
          <w:lang w:val="zh-CN" w:eastAsia="zh-CN" w:bidi="ar-SA"/>
        </w:rPr>
        <w:t>本年度预算增加了</w:t>
      </w:r>
      <w:r>
        <w:rPr>
          <w:rFonts w:hint="eastAsia" w:ascii="Times New Roman" w:hAnsi="Times New Roman" w:eastAsia="仿宋_GB2312" w:cs="Times New Roman"/>
          <w:color w:val="auto"/>
          <w:kern w:val="2"/>
          <w:sz w:val="32"/>
          <w:szCs w:val="32"/>
          <w:highlight w:val="none"/>
          <w:lang w:val="en-US" w:eastAsia="zh-CN" w:bidi="ar-SA"/>
        </w:rPr>
        <w:t>纪检监察事务</w:t>
      </w:r>
      <w:r>
        <w:rPr>
          <w:rFonts w:hint="eastAsia" w:eastAsia="仿宋_GB2312" w:cs="Times New Roman"/>
          <w:color w:val="auto"/>
          <w:kern w:val="2"/>
          <w:sz w:val="32"/>
          <w:szCs w:val="32"/>
          <w:highlight w:val="none"/>
          <w:lang w:val="en-US" w:eastAsia="zh-CN" w:bidi="ar-SA"/>
        </w:rPr>
        <w:t>经费支出</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仿宋_GB2312" w:eastAsia="仿宋_GB2312"/>
          <w:sz w:val="32"/>
          <w:szCs w:val="32"/>
        </w:rPr>
      </w:pPr>
      <w:r>
        <w:rPr>
          <w:rFonts w:hint="eastAsia" w:ascii="Times New Roman" w:hAnsi="Times New Roman" w:eastAsia="仿宋_GB2312" w:cs="Times New Roman"/>
          <w:color w:val="auto"/>
          <w:kern w:val="2"/>
          <w:sz w:val="32"/>
          <w:szCs w:val="32"/>
          <w:highlight w:val="none"/>
          <w:lang w:val="en-US" w:eastAsia="zh-CN" w:bidi="ar-SA"/>
        </w:rPr>
        <w:t>11.一般公共服务支出（类）政府办公厅（室）及相关机构事务（款）其他政府办公厅（室）及相关机构事务支出（项）:支出决算数为0.00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47.36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sz w:val="32"/>
          <w:szCs w:val="32"/>
          <w:lang w:eastAsia="zh-CN"/>
        </w:rPr>
        <w:t>上年度支付伙食经费，本年度无此项支出</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12.一般公共服务支出（类）组织事务（款）其他组织事务支出（项）:支出决算数为0.00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61.63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本年度无此项支出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13.卫生健康支出（类）公共卫生（款）突发公共卫生事件应急处理（项）:支出决算数为0.00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本年度无此项支出安排。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14.国防支出（类）国防动员（款）民兵（项）:支出决算数为0.00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52.29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本年度无此项安排</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1,111.26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1,075.93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基本工资、津贴补贴、奖金、机关事业单位基本养老保险缴费、职业年金缴费、职工基本医疗保险缴费、公务员医疗补助缴费、其他社会保障缴费、住房公积金、医疗费、其他工资福利支出、退休费、生活补助。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35.33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办公费、邮电费、取暖费、培训费、工会经费、公务用车运行维护费、办公设备购置。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“三公”经费支出6.82万元，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增加6.82万元，增长</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lang w:val="zh-CN" w:eastAsia="zh-CN"/>
        </w:rPr>
        <w:t>%，主要原因是：</w:t>
      </w:r>
      <w:bookmarkStart w:id="18" w:name="OLE_LINK1"/>
      <w:r>
        <w:rPr>
          <w:rFonts w:hint="eastAsia" w:ascii="仿宋_GB2312" w:eastAsia="仿宋_GB2312"/>
          <w:color w:val="auto"/>
          <w:sz w:val="32"/>
          <w:szCs w:val="32"/>
          <w:highlight w:val="none"/>
          <w:lang w:val="zh-CN" w:eastAsia="zh-CN"/>
        </w:rPr>
        <w:t>上年度支出科目为其他车辆经费，本年度调整为此科目。</w:t>
      </w:r>
      <w:bookmarkEnd w:id="18"/>
      <w:r>
        <w:rPr>
          <w:rFonts w:hint="eastAsia" w:ascii="仿宋_GB2312" w:eastAsia="仿宋_GB2312"/>
          <w:color w:val="auto"/>
          <w:sz w:val="32"/>
          <w:szCs w:val="32"/>
          <w:highlight w:val="none"/>
          <w:lang w:val="zh-CN" w:eastAsia="zh-CN"/>
        </w:rPr>
        <w:t>其中：因公出国（境）费支出0.00万元，占0.00%，比上年增加0.00万元，增长0.00%，主要原因是：我单位无因公出国（境）费支出；公务用车购置及运行维护费支出6.82万元，占100.00%，比上年增加6.82万元，增长0.00%，主要原因是：上年度支出科目为其他车辆经费，本年度调整为此科目；公务接待费支出0.00万元，占0.00%，比上年增加0.00万元，增长0.00%，主要原因是：本年未安排公务接待费支出，无开支内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6.82万元，其中：公务用车购置费0.00万元，公务用车运行维护费6.82万元。公务用车运行维护费开支内容包括街道公务用车维护加油等费用。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原因是：剩余</w:t>
      </w:r>
      <w:r>
        <w:rPr>
          <w:rFonts w:hint="eastAsia" w:ascii="仿宋_GB2312" w:eastAsia="仿宋_GB2312"/>
          <w:color w:val="auto"/>
          <w:sz w:val="32"/>
          <w:szCs w:val="32"/>
          <w:highlight w:val="none"/>
          <w:lang w:val="en-US" w:eastAsia="zh-CN"/>
        </w:rPr>
        <w:t>2辆</w:t>
      </w:r>
      <w:r>
        <w:rPr>
          <w:rFonts w:hint="eastAsia" w:ascii="仿宋_GB2312" w:eastAsia="仿宋_GB2312"/>
          <w:color w:val="auto"/>
          <w:sz w:val="32"/>
          <w:szCs w:val="32"/>
          <w:highlight w:val="none"/>
          <w:lang w:val="zh-CN" w:eastAsia="zh-CN"/>
        </w:rPr>
        <w:t>公务用车铁克其乡人民政府没有调拨到我单位固定资产中。</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公务接待费0.00万元，开支内容包括本年未安排公务接待费。单位全年安排的国内公务接待0批次，0人次。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预算数6.82万元，决算数6.82万元，预决算差异率0.00%，主要原因是：预决算无差异。其中：因公出国（境）费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0.00万元，决算数0.00万元，预决算差异率0.00%，主要原因是：本年度无因公出国（境）费用，预决算无差异；公务用车购置费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预算数0.00万元，决算数0.00万元，预决算差异率0.00%，主要原因是：本年度无公务用车购置费用，预决算无差异；公务用车运行费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预算数6.82万元，决算数6.82万元，预决算差异率0.00%，主要原因是：</w:t>
      </w:r>
      <w:bookmarkStart w:id="19" w:name="OLE_LINK2"/>
      <w:r>
        <w:rPr>
          <w:rFonts w:hint="eastAsia" w:ascii="仿宋_GB2312" w:eastAsia="仿宋_GB2312"/>
          <w:color w:val="auto"/>
          <w:sz w:val="32"/>
          <w:szCs w:val="32"/>
          <w:highlight w:val="none"/>
          <w:lang w:val="zh-CN" w:eastAsia="zh-CN"/>
        </w:rPr>
        <w:t>严格控制预算支出，预决算无差异</w:t>
      </w:r>
      <w:bookmarkEnd w:id="19"/>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预算数0.00万元，决算数0.00万元，预决算差异率0.00%，主要原因是：本年度无公务接待费用，预决算无差异。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b/>
          <w:bCs/>
          <w:color w:val="auto"/>
          <w:sz w:val="32"/>
          <w:szCs w:val="32"/>
          <w:highlight w:val="none"/>
          <w:lang w:eastAsia="zh-CN"/>
        </w:rPr>
      </w:pPr>
      <w:bookmarkStart w:id="20" w:name="_Toc7927"/>
      <w:bookmarkStart w:id="21"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总计5.98</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本年收入5.98</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总计5.98</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本年支出5.98</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kinsoku/>
        <w:wordWrap/>
        <w:overflowPunct/>
        <w:topLinePunct w:val="0"/>
        <w:bidi w:val="0"/>
        <w:adjustRightInd/>
        <w:snapToGrid/>
        <w:ind w:firstLine="640" w:firstLineChars="200"/>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与上年相比，增加5.98万元，增长</w:t>
      </w:r>
      <w:r>
        <w:rPr>
          <w:rFonts w:hint="eastAsia" w:ascii="Times New Roman" w:hAnsi="Times New Roman"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zh-CN"/>
        </w:rPr>
        <w:t>本年度新增春节前农民工项目</w:t>
      </w:r>
      <w:r>
        <w:rPr>
          <w:rFonts w:hint="eastAsia" w:ascii="Times New Roman" w:hAnsi="Times New Roman" w:eastAsia="仿宋_GB2312" w:cs="Times New Roman"/>
          <w:color w:val="auto"/>
          <w:sz w:val="32"/>
          <w:szCs w:val="32"/>
          <w:highlight w:val="none"/>
          <w:lang w:val="zh-CN"/>
        </w:rPr>
        <w:t>。与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5.98</w:t>
      </w:r>
      <w:r>
        <w:rPr>
          <w:rFonts w:hint="eastAsia" w:ascii="Times New Roman" w:hAnsi="Times New Roman" w:eastAsia="仿宋_GB2312" w:cs="Times New Roman"/>
          <w:color w:val="auto"/>
          <w:sz w:val="32"/>
          <w:szCs w:val="32"/>
          <w:highlight w:val="none"/>
          <w:lang w:val="zh-CN"/>
        </w:rPr>
        <w:t>万元，预决算差异率</w:t>
      </w:r>
      <w:r>
        <w:rPr>
          <w:rFonts w:hint="eastAsia"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lang w:val="zh-CN" w:eastAsia="zh-CN"/>
        </w:rPr>
        <w:t>.00%，主要原因是：</w:t>
      </w:r>
      <w:r>
        <w:rPr>
          <w:rFonts w:hint="eastAsia" w:eastAsia="仿宋_GB2312" w:cs="Times New Roman"/>
          <w:color w:val="auto"/>
          <w:sz w:val="32"/>
          <w:szCs w:val="32"/>
          <w:highlight w:val="none"/>
          <w:lang w:val="zh-CN"/>
        </w:rPr>
        <w:t>年初预算未安排此项支出</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5.98</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1.城乡社区支出（类）国有土地使用权出让收入安排的支出（款）其他国有土地使用权出让收入安排的支出（项）:支出决算数为5.98</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5.98</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en-US" w:eastAsia="zh-CN"/>
        </w:rPr>
        <w:t>上年度无此项支出，本年新增支出国企退休人员举办活动、阵地运转等费用。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b/>
          <w:bCs/>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2023年度国有资本经营预算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总计18.27</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本年收入</w:t>
      </w:r>
      <w:r>
        <w:rPr>
          <w:rFonts w:hint="eastAsia" w:ascii="Times New Roman" w:hAnsi="Times New Roman" w:eastAsia="仿宋_GB2312" w:cs="Times New Roman"/>
          <w:color w:val="auto"/>
          <w:sz w:val="32"/>
          <w:szCs w:val="32"/>
          <w:highlight w:val="none"/>
          <w:lang w:val="zh-CN" w:eastAsia="zh-CN"/>
        </w:rPr>
        <w:t>18.27万元。国有资本经营预算财政拨款支出</w:t>
      </w:r>
      <w:r>
        <w:rPr>
          <w:rFonts w:hint="eastAsia" w:ascii="Times New Roman" w:hAnsi="Times New Roman" w:eastAsia="仿宋_GB2312" w:cs="Times New Roman"/>
          <w:color w:val="auto"/>
          <w:sz w:val="32"/>
          <w:szCs w:val="32"/>
          <w:highlight w:val="none"/>
          <w:lang w:val="en-US" w:eastAsia="zh-CN"/>
        </w:rPr>
        <w:t>总计18.27</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本年支出</w:t>
      </w:r>
      <w:r>
        <w:rPr>
          <w:rFonts w:hint="eastAsia" w:ascii="Times New Roman" w:hAnsi="Times New Roman" w:eastAsia="仿宋_GB2312" w:cs="Times New Roman"/>
          <w:color w:val="auto"/>
          <w:sz w:val="32"/>
          <w:szCs w:val="32"/>
          <w:highlight w:val="none"/>
          <w:lang w:val="zh-CN" w:eastAsia="zh-CN"/>
        </w:rPr>
        <w:t>18.27万元。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国有资本经营预算财政拨款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与上年相比，增加18.27万元，增长100.00%，主要原因是：</w:t>
      </w:r>
      <w:bookmarkStart w:id="22" w:name="OLE_LINK3"/>
      <w:r>
        <w:rPr>
          <w:rFonts w:hint="eastAsia" w:eastAsia="仿宋_GB2312" w:cs="Times New Roman"/>
          <w:color w:val="auto"/>
          <w:sz w:val="32"/>
          <w:szCs w:val="32"/>
          <w:highlight w:val="none"/>
          <w:lang w:val="zh-CN" w:eastAsia="zh-CN"/>
        </w:rPr>
        <w:t>本年度增加了国有企业退休化资金项目</w:t>
      </w:r>
      <w:bookmarkEnd w:id="22"/>
      <w:r>
        <w:rPr>
          <w:rFonts w:hint="eastAsia" w:ascii="Times New Roman" w:hAnsi="Times New Roman" w:eastAsia="仿宋_GB2312" w:cs="Times New Roman"/>
          <w:color w:val="auto"/>
          <w:sz w:val="32"/>
          <w:szCs w:val="32"/>
          <w:highlight w:val="none"/>
          <w:lang w:val="zh-CN" w:eastAsia="zh-CN"/>
        </w:rPr>
        <w:t>。与年初预算相比，年初预算数</w:t>
      </w:r>
      <w:r>
        <w:rPr>
          <w:rFonts w:hint="eastAsia" w:ascii="Times New Roman" w:hAnsi="Times New Roman" w:eastAsia="仿宋_GB2312" w:cs="Times New Roman"/>
          <w:color w:val="auto"/>
          <w:sz w:val="32"/>
          <w:szCs w:val="32"/>
          <w:highlight w:val="none"/>
          <w:lang w:val="en-US" w:eastAsia="zh-CN"/>
        </w:rPr>
        <w:t>9.26</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18.27</w:t>
      </w:r>
      <w:r>
        <w:rPr>
          <w:rFonts w:hint="eastAsia" w:ascii="Times New Roman" w:hAnsi="Times New Roman" w:eastAsia="仿宋_GB2312" w:cs="Times New Roman"/>
          <w:color w:val="auto"/>
          <w:sz w:val="32"/>
          <w:szCs w:val="32"/>
          <w:highlight w:val="none"/>
          <w:lang w:val="zh-CN" w:eastAsia="zh-CN"/>
        </w:rPr>
        <w:t>万元，预决算差异率97.3</w:t>
      </w:r>
      <w:r>
        <w:rPr>
          <w:rFonts w:hint="eastAsia"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此项支出含年中追加预算数</w:t>
      </w:r>
      <w:r>
        <w:rPr>
          <w:rFonts w:hint="eastAsia" w:ascii="Times New Roman" w:hAnsi="Times New Roman" w:eastAsia="仿宋_GB2312" w:cs="Times New Roman"/>
          <w:color w:val="auto"/>
          <w:sz w:val="32"/>
          <w:szCs w:val="32"/>
          <w:highlight w:val="none"/>
          <w:lang w:val="zh-CN" w:eastAsia="zh-CN"/>
        </w:rPr>
        <w:t>；国有资本经营预算财政拨款支出</w:t>
      </w:r>
      <w:r>
        <w:rPr>
          <w:rFonts w:hint="eastAsia" w:ascii="Times New Roman" w:hAnsi="Times New Roman" w:eastAsia="仿宋_GB2312" w:cs="Times New Roman"/>
          <w:color w:val="auto"/>
          <w:sz w:val="32"/>
          <w:szCs w:val="32"/>
          <w:highlight w:val="none"/>
          <w:lang w:val="en-US" w:eastAsia="zh-CN"/>
        </w:rPr>
        <w:t>18.27</w:t>
      </w:r>
      <w:r>
        <w:rPr>
          <w:rFonts w:hint="eastAsia" w:ascii="Times New Roman" w:hAnsi="Times New Roman" w:eastAsia="仿宋_GB2312" w:cs="Times New Roman"/>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1.国有资本经营预算支出（类）解决历史遗留问题及改革成本支出（款）国有企业退休人员社会化管理补助支出（项）:支出决算数为18.27</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增加</w:t>
      </w:r>
      <w:r>
        <w:rPr>
          <w:rFonts w:hint="eastAsia" w:ascii="仿宋_GB2312" w:hAnsi="仿宋_GB2312" w:eastAsia="仿宋_GB2312" w:cs="仿宋_GB2312"/>
          <w:color w:val="auto"/>
          <w:kern w:val="0"/>
          <w:sz w:val="32"/>
          <w:szCs w:val="32"/>
          <w:highlight w:val="none"/>
        </w:rPr>
        <w:t>18.27</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eastAsia="仿宋_GB2312" w:cs="Times New Roman"/>
          <w:color w:val="auto"/>
          <w:sz w:val="32"/>
          <w:szCs w:val="32"/>
          <w:highlight w:val="none"/>
          <w:lang w:val="zh-CN"/>
        </w:rPr>
        <w:t>上一年度无此项支出，本年度增加</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3" w:name="_Toc1235"/>
      <w:bookmarkStart w:id="24"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3"/>
      <w:bookmarkEnd w:id="2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5" w:name="_Toc14519"/>
      <w:bookmarkStart w:id="26"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5"/>
      <w:bookmarkEnd w:id="26"/>
    </w:p>
    <w:p>
      <w:pPr>
        <w:keepNext w:val="0"/>
        <w:keepLines w:val="0"/>
        <w:pageBreakBefore w:val="0"/>
        <w:kinsoku/>
        <w:wordWrap/>
        <w:overflowPunct/>
        <w:topLinePunct w:val="0"/>
        <w:bidi w:val="0"/>
        <w:adjustRightInd/>
        <w:snapToGrid/>
        <w:ind w:firstLine="640" w:firstLineChars="200"/>
        <w:textAlignment w:val="auto"/>
        <w:rPr>
          <w:rFonts w:hint="eastAsia" w:ascii="Times New Roman" w:hAnsi="Times New Roman" w:eastAsia="仿宋_GB2312" w:cs="Times New Roman"/>
          <w:color w:val="auto"/>
          <w:sz w:val="32"/>
          <w:szCs w:val="32"/>
          <w:highlight w:val="none"/>
          <w:lang w:val="zh-CN" w:eastAsia="zh-CN"/>
        </w:rPr>
      </w:pPr>
      <w:bookmarkStart w:id="27" w:name="_Toc26704"/>
      <w:bookmarkStart w:id="28"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库尔勒市迎宾街道办事处（行政单位和参照公务员法管理事业单位）机关运行经费支出41.31万元，比上年减少113.10万元，下降73.25%，主要原因是：</w:t>
      </w:r>
      <w:r>
        <w:rPr>
          <w:rFonts w:hint="eastAsia" w:eastAsia="仿宋_GB2312" w:cs="Times New Roman"/>
          <w:color w:val="auto"/>
          <w:sz w:val="32"/>
          <w:szCs w:val="32"/>
          <w:highlight w:val="none"/>
          <w:lang w:val="en-US" w:eastAsia="zh-CN"/>
        </w:rPr>
        <w:t>2022年因下半年疫情原因，支付疫情物资费用及疫情期间食堂费用，保障运转支出增加，本年无疫情物资费用及疫情期间食堂费，经费减少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7"/>
      <w:bookmarkEnd w:id="2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16.49万元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其中：政府采购货物支出0.40万元、政府采购工程支出8.44万元、政府采购服务支出7.65万元。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授予中小企业合同金额16.49万元，占政府采购支出总额的100.00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，其中：授予小微企业合同金额12.29万元，占政府采购支出总额的74.5</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9" w:name="_Toc4591"/>
      <w:bookmarkStart w:id="30" w:name="_Toc8391"/>
      <w:r>
        <w:rPr>
          <w:rFonts w:hint="eastAsia" w:ascii="Times New Roman" w:hAnsi="Times New Roman" w:eastAsia="黑体" w:cs="Times New Roman"/>
          <w:color w:val="auto"/>
          <w:sz w:val="32"/>
          <w:szCs w:val="30"/>
          <w:highlight w:val="none"/>
          <w:lang w:val="zh-CN" w:eastAsia="zh-CN"/>
        </w:rPr>
        <w:t>（三）国有资产占用情况说明</w:t>
      </w:r>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49.43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屋0.0平方米，价值0.00万元。车辆1辆，价值23.98万元，其中：副部（省）级及以上领导用车0辆、主要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w:t>
      </w:r>
      <w:r>
        <w:rPr>
          <w:rFonts w:hint="eastAsia" w:eastAsia="仿宋_GB2312" w:cs="Times New Roman"/>
          <w:color w:val="auto"/>
          <w:sz w:val="32"/>
          <w:szCs w:val="32"/>
          <w:highlight w:val="none"/>
          <w:lang w:val="zh-CN" w:eastAsia="zh-CN"/>
        </w:rPr>
        <w:t>其他</w:t>
      </w:r>
      <w:bookmarkStart w:id="51" w:name="_GoBack"/>
      <w:bookmarkEnd w:id="51"/>
      <w:r>
        <w:rPr>
          <w:rFonts w:hint="eastAsia" w:eastAsia="仿宋_GB2312" w:cs="Times New Roman"/>
          <w:color w:val="auto"/>
          <w:sz w:val="32"/>
          <w:szCs w:val="32"/>
          <w:highlight w:val="none"/>
          <w:lang w:val="zh-CN" w:eastAsia="zh-CN"/>
        </w:rPr>
        <w:t>用</w:t>
      </w:r>
      <w:r>
        <w:rPr>
          <w:rFonts w:hint="eastAsia" w:ascii="Times New Roman" w:hAnsi="Times New Roman" w:eastAsia="仿宋_GB2312" w:cs="Times New Roman"/>
          <w:color w:val="auto"/>
          <w:sz w:val="32"/>
          <w:szCs w:val="32"/>
          <w:highlight w:val="none"/>
          <w:lang w:val="zh-CN" w:eastAsia="zh-CN"/>
        </w:rPr>
        <w:t>车1辆，</w:t>
      </w:r>
      <w:r>
        <w:rPr>
          <w:rFonts w:hint="eastAsia" w:eastAsia="仿宋_GB2312" w:cs="Times New Roman"/>
          <w:color w:val="auto"/>
          <w:sz w:val="32"/>
          <w:szCs w:val="32"/>
          <w:highlight w:val="none"/>
          <w:lang w:val="zh-CN" w:eastAsia="zh-CN"/>
        </w:rPr>
        <w:t>其他</w:t>
      </w:r>
      <w:r>
        <w:rPr>
          <w:rFonts w:hint="eastAsia" w:ascii="Times New Roman" w:hAnsi="Times New Roman" w:eastAsia="仿宋_GB2312" w:cs="Times New Roman"/>
          <w:color w:val="auto"/>
          <w:sz w:val="32"/>
          <w:szCs w:val="32"/>
          <w:highlight w:val="none"/>
          <w:lang w:val="zh-CN" w:eastAsia="zh-CN"/>
        </w:rPr>
        <w:t>车主要是：</w:t>
      </w:r>
      <w:r>
        <w:rPr>
          <w:rFonts w:hint="eastAsia" w:eastAsia="仿宋_GB2312" w:cs="Times New Roman"/>
          <w:color w:val="auto"/>
          <w:sz w:val="32"/>
          <w:szCs w:val="32"/>
          <w:highlight w:val="none"/>
          <w:lang w:val="zh-CN" w:eastAsia="zh-CN"/>
        </w:rPr>
        <w:t>发改委调拨业务用车</w:t>
      </w:r>
      <w:r>
        <w:rPr>
          <w:rFonts w:hint="eastAsia" w:eastAsia="仿宋_GB2312" w:cs="Times New Roman"/>
          <w:color w:val="auto"/>
          <w:sz w:val="32"/>
          <w:szCs w:val="32"/>
          <w:highlight w:val="none"/>
          <w:lang w:val="en-US" w:eastAsia="zh-CN"/>
        </w:rPr>
        <w:t>1辆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1" w:name="_Toc11283"/>
      <w:bookmarkStart w:id="32"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1"/>
      <w:bookmarkEnd w:id="3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根据预算绩效管理要求，我</w:t>
      </w:r>
      <w:r>
        <w:rPr>
          <w:rFonts w:hint="eastAsia" w:eastAsia="仿宋_GB2312" w:cs="Times New Roman"/>
          <w:color w:val="auto"/>
          <w:sz w:val="32"/>
          <w:szCs w:val="32"/>
          <w:highlight w:val="none"/>
          <w:lang w:val="en-US" w:eastAsia="zh-CN"/>
        </w:rPr>
        <w:t>部门</w:t>
      </w:r>
      <w:r>
        <w:rPr>
          <w:rFonts w:hint="eastAsia" w:ascii="Times New Roman" w:hAnsi="Times New Roman" w:eastAsia="仿宋_GB2312" w:cs="Times New Roman"/>
          <w:color w:val="auto"/>
          <w:sz w:val="32"/>
          <w:szCs w:val="32"/>
          <w:highlight w:val="none"/>
          <w:lang w:val="zh-CN" w:eastAsia="zh-CN"/>
        </w:rPr>
        <w:t>2023年度预算绩效管理整体</w:t>
      </w:r>
      <w:r>
        <w:rPr>
          <w:rFonts w:hint="eastAsia" w:ascii="Times New Roman" w:hAnsi="Times New Roman" w:eastAsia="仿宋_GB2312" w:cs="Times New Roman"/>
          <w:color w:val="auto"/>
          <w:sz w:val="32"/>
          <w:szCs w:val="32"/>
          <w:highlight w:val="none"/>
          <w:lang w:val="en-US" w:eastAsia="zh-CN"/>
        </w:rPr>
        <w:t>支出</w:t>
      </w:r>
      <w:r>
        <w:rPr>
          <w:rFonts w:hint="eastAsia" w:ascii="Times New Roman" w:hAnsi="Times New Roman" w:eastAsia="仿宋_GB2312" w:cs="Times New Roman"/>
          <w:color w:val="auto"/>
          <w:sz w:val="32"/>
          <w:szCs w:val="32"/>
          <w:highlight w:val="none"/>
          <w:lang w:val="zh-CN" w:eastAsia="zh-CN"/>
        </w:rPr>
        <w:t>绩效自评表</w:t>
      </w:r>
      <w:r>
        <w:rPr>
          <w:rFonts w:hint="eastAsia" w:ascii="Times New Roman" w:hAnsi="Times New Roman" w:eastAsia="仿宋_GB2312" w:cs="Times New Roman"/>
          <w:color w:val="auto"/>
          <w:sz w:val="32"/>
          <w:szCs w:val="32"/>
          <w:highlight w:val="none"/>
          <w:lang w:val="en-US" w:eastAsia="zh-CN"/>
        </w:rPr>
        <w:t>1个，全年预算总额1135.51</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实际执行总额1135.51</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预算绩效评价项目</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zh-CN" w:eastAsia="zh-CN"/>
        </w:rPr>
        <w:t>个，</w:t>
      </w:r>
      <w:r>
        <w:rPr>
          <w:rFonts w:hint="eastAsia" w:ascii="Times New Roman" w:hAnsi="Times New Roman" w:eastAsia="仿宋_GB2312" w:cs="Times New Roman"/>
          <w:color w:val="auto"/>
          <w:sz w:val="32"/>
          <w:szCs w:val="32"/>
          <w:highlight w:val="none"/>
          <w:lang w:val="en-US" w:eastAsia="zh-CN"/>
        </w:rPr>
        <w:t>全年预算数18.2</w:t>
      </w:r>
      <w:r>
        <w:rPr>
          <w:rFonts w:hint="eastAsia"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全年执行数18.2</w:t>
      </w:r>
      <w:r>
        <w:rPr>
          <w:rFonts w:hint="eastAsia"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zh-CN" w:eastAsia="zh-CN"/>
        </w:rPr>
        <w:t>万元。预算绩效管理取得的成效：</w:t>
      </w:r>
      <w:r>
        <w:rPr>
          <w:rFonts w:hint="eastAsia" w:ascii="Times New Roman" w:hAnsi="Times New Roman" w:eastAsia="仿宋_GB2312" w:cs="Times New Roman"/>
          <w:color w:val="auto"/>
          <w:sz w:val="32"/>
          <w:szCs w:val="32"/>
          <w:highlight w:val="none"/>
          <w:lang w:val="en-US" w:eastAsia="zh-CN"/>
        </w:rPr>
        <w:t>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w:t>
      </w:r>
      <w:r>
        <w:rPr>
          <w:rFonts w:hint="eastAsia" w:ascii="Times New Roman" w:hAnsi="Times New Roman" w:eastAsia="仿宋_GB2312" w:cs="Times New Roman"/>
          <w:color w:val="auto"/>
          <w:sz w:val="32"/>
          <w:szCs w:val="32"/>
          <w:highlight w:val="none"/>
          <w:lang w:val="zh-CN" w:eastAsia="zh-CN"/>
        </w:rPr>
        <w:t>。下一步改进措施：</w:t>
      </w:r>
      <w:r>
        <w:rPr>
          <w:rFonts w:hint="eastAsia" w:ascii="Times New Roman" w:hAnsi="Times New Roman" w:eastAsia="仿宋_GB2312" w:cs="Times New Roman"/>
          <w:color w:val="auto"/>
          <w:sz w:val="32"/>
          <w:szCs w:val="32"/>
          <w:highlight w:val="none"/>
          <w:lang w:val="en-US" w:eastAsia="zh-CN"/>
        </w:rPr>
        <w:t>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Hans"/>
        </w:rPr>
      </w:pPr>
      <w:r>
        <w:rPr>
          <w:rFonts w:hint="eastAsia" w:ascii="Times New Roman" w:hAnsi="Times New Roman" w:eastAsia="仿宋_GB2312" w:cs="Times New Roman"/>
          <w:color w:val="auto"/>
          <w:sz w:val="32"/>
          <w:szCs w:val="32"/>
          <w:highlight w:val="none"/>
          <w:lang w:val="en-US" w:eastAsia="zh-CN"/>
        </w:rPr>
        <w:t>具体项目自评情况附绩效自评表及自评报告。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十</w:t>
      </w:r>
      <w:r>
        <w:rPr>
          <w:rFonts w:hint="eastAsia" w:ascii="Times New Roman" w:hAnsi="Times New Roman" w:eastAsia="仿宋_GB2312" w:cs="Times New Roman"/>
          <w:color w:val="auto"/>
          <w:sz w:val="32"/>
          <w:szCs w:val="32"/>
          <w:highlight w:val="none"/>
          <w:lang w:val="en-US" w:eastAsia="zh-CN"/>
        </w:rPr>
        <w:t>二</w:t>
      </w:r>
      <w:r>
        <w:rPr>
          <w:rFonts w:hint="eastAsia" w:ascii="Times New Roman" w:hAnsi="Times New Roman" w:eastAsia="仿宋_GB2312" w:cs="Times New Roman"/>
          <w:color w:val="auto"/>
          <w:sz w:val="32"/>
          <w:szCs w:val="32"/>
          <w:highlight w:val="none"/>
          <w:lang w:val="zh-CN"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本</w:t>
      </w:r>
      <w:r>
        <w:rPr>
          <w:rFonts w:hint="eastAsia" w:eastAsia="仿宋_GB2312" w:cs="Times New Roman"/>
          <w:color w:val="auto"/>
          <w:sz w:val="32"/>
          <w:szCs w:val="32"/>
          <w:highlight w:val="none"/>
          <w:lang w:val="en-US" w:eastAsia="zh-CN"/>
        </w:rPr>
        <w:t>部门</w:t>
      </w:r>
      <w:r>
        <w:rPr>
          <w:rFonts w:hint="eastAsia" w:ascii="Times New Roman" w:hAnsi="Times New Roman" w:eastAsia="仿宋_GB2312" w:cs="Times New Roman"/>
          <w:color w:val="auto"/>
          <w:sz w:val="32"/>
          <w:szCs w:val="32"/>
          <w:highlight w:val="none"/>
          <w:lang w:val="en-US" w:eastAsia="zh-CN"/>
        </w:rPr>
        <w:t>无其他需说明事项。</w:t>
      </w:r>
      <w:bookmarkStart w:id="33" w:name="_Toc3250"/>
      <w:bookmarkStart w:id="34" w:name="_Toc24143"/>
      <w:r>
        <w:rPr>
          <w:rFonts w:hint="eastAsia" w:ascii="Times New Roman" w:hAnsi="Times New Roman" w:eastAsia="仿宋_GB2312" w:cs="Times New Roman"/>
          <w:color w:val="auto"/>
          <w:sz w:val="32"/>
          <w:szCs w:val="32"/>
          <w:highlight w:val="none"/>
          <w:lang w:val="zh-CN" w:eastAsia="zh-CN"/>
        </w:rPr>
        <w:br w:type="page"/>
      </w:r>
      <w:r>
        <w:rPr>
          <w:rFonts w:hint="eastAsia" w:ascii="Times New Roman" w:hAnsi="Times New Roman" w:eastAsia="仿宋_GB2312" w:cs="Times New Roman"/>
          <w:color w:val="auto"/>
          <w:sz w:val="32"/>
          <w:szCs w:val="32"/>
          <w:highlight w:val="none"/>
          <w:lang w:val="zh-CN" w:eastAsia="zh-CN"/>
        </w:rPr>
        <w:t>第</w:t>
      </w:r>
      <w:r>
        <w:rPr>
          <w:rFonts w:hint="eastAsia" w:ascii="Times New Roman" w:hAnsi="Times New Roman" w:eastAsia="仿宋_GB2312" w:cs="Times New Roman"/>
          <w:color w:val="auto"/>
          <w:sz w:val="32"/>
          <w:szCs w:val="32"/>
          <w:highlight w:val="none"/>
          <w:lang w:val="en-US" w:eastAsia="zh-CN"/>
        </w:rPr>
        <w:t>三</w:t>
      </w:r>
      <w:r>
        <w:rPr>
          <w:rFonts w:hint="eastAsia" w:ascii="Times New Roman" w:hAnsi="Times New Roman" w:eastAsia="仿宋_GB2312" w:cs="Times New Roman"/>
          <w:color w:val="auto"/>
          <w:sz w:val="32"/>
          <w:szCs w:val="32"/>
          <w:highlight w:val="none"/>
          <w:lang w:val="zh-CN" w:eastAsia="zh-CN"/>
        </w:rPr>
        <w:t>部分 专业名词解释</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一、</w:t>
      </w:r>
      <w:r>
        <w:rPr>
          <w:rFonts w:hint="eastAsia" w:ascii="Times New Roman" w:hAnsi="Times New Roman" w:eastAsia="仿宋_GB2312" w:cs="Times New Roman"/>
          <w:color w:val="auto"/>
          <w:sz w:val="32"/>
          <w:szCs w:val="32"/>
          <w:highlight w:val="none"/>
          <w:lang w:val="zh-CN" w:eastAsia="zh-CN"/>
        </w:rPr>
        <w:t>财政拨款收入：指同</w:t>
      </w:r>
      <w:r>
        <w:rPr>
          <w:rFonts w:hint="eastAsia" w:ascii="仿宋_GB2312" w:eastAsia="仿宋_GB2312"/>
          <w:color w:val="auto"/>
          <w:sz w:val="32"/>
          <w:szCs w:val="32"/>
          <w:highlight w:val="none"/>
        </w:rPr>
        <w:t>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5" w:name="_Toc2183"/>
      <w:bookmarkStart w:id="36" w:name="_Toc6062"/>
      <w:r>
        <w:rPr>
          <w:rFonts w:hint="eastAsia" w:ascii="黑体" w:hAnsi="黑体" w:eastAsia="仿宋_GB2312" w:cs="宋体"/>
          <w:bCs/>
          <w:color w:val="auto"/>
          <w:kern w:val="0"/>
          <w:sz w:val="32"/>
          <w:szCs w:val="32"/>
          <w:highlight w:val="none"/>
        </w:rPr>
        <w:t>一、《收入支出决算总表》</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7" w:name="_Toc24532"/>
      <w:bookmarkStart w:id="38" w:name="_Toc30364"/>
      <w:r>
        <w:rPr>
          <w:rFonts w:hint="eastAsia" w:ascii="黑体" w:hAnsi="黑体" w:eastAsia="仿宋_GB2312" w:cs="宋体"/>
          <w:bCs/>
          <w:color w:val="auto"/>
          <w:kern w:val="0"/>
          <w:sz w:val="32"/>
          <w:szCs w:val="32"/>
          <w:highlight w:val="none"/>
        </w:rPr>
        <w:t>二、《收入决算表》</w:t>
      </w:r>
      <w:bookmarkEnd w:id="37"/>
      <w:bookmarkEnd w:id="3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9" w:name="_Toc21304"/>
      <w:bookmarkStart w:id="40" w:name="_Toc32434"/>
      <w:r>
        <w:rPr>
          <w:rFonts w:hint="eastAsia" w:ascii="黑体" w:hAnsi="黑体" w:eastAsia="仿宋_GB2312" w:cs="宋体"/>
          <w:bCs/>
          <w:color w:val="auto"/>
          <w:kern w:val="0"/>
          <w:sz w:val="32"/>
          <w:szCs w:val="32"/>
          <w:highlight w:val="none"/>
        </w:rPr>
        <w:t>三、《支出决算表》</w:t>
      </w:r>
      <w:bookmarkEnd w:id="39"/>
      <w:bookmarkEnd w:id="4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28786"/>
      <w:bookmarkStart w:id="42" w:name="_Toc14238"/>
      <w:r>
        <w:rPr>
          <w:rFonts w:hint="eastAsia" w:ascii="黑体" w:hAnsi="黑体" w:eastAsia="仿宋_GB2312" w:cs="宋体"/>
          <w:bCs/>
          <w:color w:val="auto"/>
          <w:kern w:val="0"/>
          <w:sz w:val="32"/>
          <w:szCs w:val="32"/>
          <w:highlight w:val="none"/>
        </w:rPr>
        <w:t>四、《财政拨款收入支出决算总表》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10347"/>
      <w:bookmarkStart w:id="44" w:name="_Toc14869"/>
      <w:r>
        <w:rPr>
          <w:rFonts w:hint="eastAsia" w:ascii="黑体" w:hAnsi="黑体" w:eastAsia="仿宋_GB2312" w:cs="宋体"/>
          <w:bCs/>
          <w:color w:val="auto"/>
          <w:kern w:val="0"/>
          <w:sz w:val="32"/>
          <w:szCs w:val="32"/>
          <w:highlight w:val="none"/>
        </w:rPr>
        <w:t>五、《一般公共预算财政拨款支出决算表》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5" w:name="_Toc8884"/>
      <w:bookmarkStart w:id="46" w:name="_Toc5626"/>
      <w:r>
        <w:rPr>
          <w:rFonts w:hint="eastAsia" w:ascii="黑体" w:hAnsi="黑体" w:eastAsia="仿宋_GB2312" w:cs="宋体"/>
          <w:bCs/>
          <w:color w:val="auto"/>
          <w:kern w:val="0"/>
          <w:sz w:val="32"/>
          <w:szCs w:val="32"/>
          <w:highlight w:val="none"/>
        </w:rPr>
        <w:t>六、《一般公共预算财政拨款基本支出决算表》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7" w:name="_Toc32663"/>
      <w:bookmarkStart w:id="48" w:name="_Toc29106"/>
      <w:r>
        <w:rPr>
          <w:rFonts w:hint="eastAsia" w:ascii="黑体" w:hAnsi="黑体" w:eastAsia="仿宋_GB2312" w:cs="宋体"/>
          <w:bCs/>
          <w:color w:val="auto"/>
          <w:kern w:val="0"/>
          <w:sz w:val="32"/>
          <w:szCs w:val="32"/>
          <w:highlight w:val="none"/>
        </w:rPr>
        <w:t>《财政拨款“三公”经费支出决算表》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9" w:name="_Toc7643"/>
      <w:bookmarkStart w:id="50" w:name="_Toc5453"/>
      <w:r>
        <w:rPr>
          <w:rFonts w:hint="eastAsia" w:ascii="黑体" w:hAnsi="黑体" w:eastAsia="仿宋_GB2312" w:cs="宋体"/>
          <w:bCs/>
          <w:color w:val="auto"/>
          <w:kern w:val="0"/>
          <w:sz w:val="32"/>
          <w:szCs w:val="32"/>
          <w:highlight w:val="none"/>
        </w:rPr>
        <w:t>八、《政府性基金预算财政拨款收入支出决算表》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rPr>
          <w:rFonts w:hint="eastAsia"/>
          <w:lang w:val="en-US" w:eastAsia="zh-CN"/>
        </w:rPr>
      </w:pPr>
      <w:r>
        <w:rPr>
          <w:rFonts w:hint="eastAsia" w:ascii="黑体" w:hAnsi="黑体" w:eastAsia="仿宋_GB2312" w:cs="宋体"/>
          <w:bCs/>
          <w:color w:val="auto"/>
          <w:kern w:val="0"/>
          <w:sz w:val="32"/>
          <w:szCs w:val="32"/>
          <w:highlight w:val="none"/>
        </w:rPr>
        <w:br w:type="page"/>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drawing>
          <wp:anchor distT="0" distB="0" distL="114300" distR="114300" simplePos="0" relativeHeight="251659264" behindDoc="0" locked="0" layoutInCell="1" allowOverlap="1">
            <wp:simplePos x="0" y="0"/>
            <wp:positionH relativeFrom="column">
              <wp:posOffset>-266065</wp:posOffset>
            </wp:positionH>
            <wp:positionV relativeFrom="page">
              <wp:posOffset>1337310</wp:posOffset>
            </wp:positionV>
            <wp:extent cx="5909310" cy="7265035"/>
            <wp:effectExtent l="0" t="0" r="15240" b="12065"/>
            <wp:wrapSquare wrapText="bothSides"/>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5"/>
                    <a:stretch>
                      <a:fillRect/>
                    </a:stretch>
                  </pic:blipFill>
                  <pic:spPr>
                    <a:xfrm>
                      <a:off x="0" y="0"/>
                      <a:ext cx="5909310" cy="7265035"/>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drawing>
          <wp:anchor distT="0" distB="0" distL="114300" distR="114300" simplePos="0" relativeHeight="251660288" behindDoc="0" locked="0" layoutInCell="1" allowOverlap="1">
            <wp:simplePos x="0" y="0"/>
            <wp:positionH relativeFrom="column">
              <wp:posOffset>-551815</wp:posOffset>
            </wp:positionH>
            <wp:positionV relativeFrom="page">
              <wp:posOffset>944880</wp:posOffset>
            </wp:positionV>
            <wp:extent cx="6404610" cy="8849360"/>
            <wp:effectExtent l="0" t="0" r="15240" b="8890"/>
            <wp:wrapSquare wrapText="bothSides"/>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6"/>
                    <a:stretch>
                      <a:fillRect/>
                    </a:stretch>
                  </pic:blipFill>
                  <pic:spPr>
                    <a:xfrm>
                      <a:off x="0" y="0"/>
                      <a:ext cx="6404610" cy="8849360"/>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drawing>
          <wp:anchor distT="0" distB="0" distL="114300" distR="114300" simplePos="0" relativeHeight="251661312" behindDoc="0" locked="0" layoutInCell="1" allowOverlap="1">
            <wp:simplePos x="0" y="0"/>
            <wp:positionH relativeFrom="column">
              <wp:posOffset>-514350</wp:posOffset>
            </wp:positionH>
            <wp:positionV relativeFrom="page">
              <wp:posOffset>1162050</wp:posOffset>
            </wp:positionV>
            <wp:extent cx="6340475" cy="7054215"/>
            <wp:effectExtent l="0" t="0" r="3175" b="13335"/>
            <wp:wrapSquare wrapText="bothSides"/>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pic:cNvPicPr>
                      <a:picLocks noChangeAspect="1"/>
                    </pic:cNvPicPr>
                  </pic:nvPicPr>
                  <pic:blipFill>
                    <a:blip r:embed="rId7"/>
                    <a:stretch>
                      <a:fillRect/>
                    </a:stretch>
                  </pic:blipFill>
                  <pic:spPr>
                    <a:xfrm>
                      <a:off x="0" y="0"/>
                      <a:ext cx="6340475" cy="7054215"/>
                    </a:xfrm>
                    <a:prstGeom prst="rect">
                      <a:avLst/>
                    </a:prstGeom>
                    <a:noFill/>
                    <a:ln>
                      <a:noFill/>
                    </a:ln>
                  </pic:spPr>
                </pic:pic>
              </a:graphicData>
            </a:graphic>
          </wp:anchor>
        </w:drawing>
      </w: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drawing>
          <wp:anchor distT="0" distB="0" distL="114300" distR="114300" simplePos="0" relativeHeight="251662336" behindDoc="0" locked="0" layoutInCell="1" allowOverlap="1">
            <wp:simplePos x="0" y="0"/>
            <wp:positionH relativeFrom="column">
              <wp:posOffset>-532765</wp:posOffset>
            </wp:positionH>
            <wp:positionV relativeFrom="page">
              <wp:posOffset>1007745</wp:posOffset>
            </wp:positionV>
            <wp:extent cx="6263640" cy="7722870"/>
            <wp:effectExtent l="0" t="0" r="3810" b="11430"/>
            <wp:wrapSquare wrapText="bothSides"/>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8"/>
                    <a:stretch>
                      <a:fillRect/>
                    </a:stretch>
                  </pic:blipFill>
                  <pic:spPr>
                    <a:xfrm>
                      <a:off x="0" y="0"/>
                      <a:ext cx="6263640" cy="7722870"/>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drawing>
          <wp:anchor distT="0" distB="0" distL="114300" distR="114300" simplePos="0" relativeHeight="251663360" behindDoc="0" locked="0" layoutInCell="1" allowOverlap="1">
            <wp:simplePos x="0" y="0"/>
            <wp:positionH relativeFrom="column">
              <wp:posOffset>-523875</wp:posOffset>
            </wp:positionH>
            <wp:positionV relativeFrom="page">
              <wp:posOffset>1150620</wp:posOffset>
            </wp:positionV>
            <wp:extent cx="6497320" cy="7389495"/>
            <wp:effectExtent l="0" t="0" r="17780" b="1905"/>
            <wp:wrapSquare wrapText="bothSides"/>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9"/>
                    <a:stretch>
                      <a:fillRect/>
                    </a:stretch>
                  </pic:blipFill>
                  <pic:spPr>
                    <a:xfrm>
                      <a:off x="0" y="0"/>
                      <a:ext cx="6497320" cy="7389495"/>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drawing>
          <wp:anchor distT="0" distB="0" distL="114300" distR="114300" simplePos="0" relativeHeight="251664384" behindDoc="0" locked="0" layoutInCell="1" allowOverlap="1">
            <wp:simplePos x="0" y="0"/>
            <wp:positionH relativeFrom="column">
              <wp:posOffset>-371475</wp:posOffset>
            </wp:positionH>
            <wp:positionV relativeFrom="page">
              <wp:posOffset>996315</wp:posOffset>
            </wp:positionV>
            <wp:extent cx="5847080" cy="7666355"/>
            <wp:effectExtent l="0" t="0" r="1270" b="10795"/>
            <wp:wrapSquare wrapText="bothSides"/>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0"/>
                    <a:stretch>
                      <a:fillRect/>
                    </a:stretch>
                  </pic:blipFill>
                  <pic:spPr>
                    <a:xfrm>
                      <a:off x="0" y="0"/>
                      <a:ext cx="5847080" cy="7666355"/>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drawing>
          <wp:anchor distT="0" distB="0" distL="114300" distR="114300" simplePos="0" relativeHeight="251665408" behindDoc="0" locked="0" layoutInCell="1" allowOverlap="1">
            <wp:simplePos x="0" y="0"/>
            <wp:positionH relativeFrom="column">
              <wp:posOffset>-342900</wp:posOffset>
            </wp:positionH>
            <wp:positionV relativeFrom="page">
              <wp:posOffset>1007745</wp:posOffset>
            </wp:positionV>
            <wp:extent cx="5837555" cy="2179320"/>
            <wp:effectExtent l="0" t="0" r="10795" b="11430"/>
            <wp:wrapSquare wrapText="bothSides"/>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11"/>
                    <a:stretch>
                      <a:fillRect/>
                    </a:stretch>
                  </pic:blipFill>
                  <pic:spPr>
                    <a:xfrm>
                      <a:off x="0" y="0"/>
                      <a:ext cx="5837555" cy="2179320"/>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drawing>
          <wp:anchor distT="0" distB="0" distL="114300" distR="114300" simplePos="0" relativeHeight="251666432" behindDoc="0" locked="0" layoutInCell="1" allowOverlap="1">
            <wp:simplePos x="0" y="0"/>
            <wp:positionH relativeFrom="column">
              <wp:posOffset>-275590</wp:posOffset>
            </wp:positionH>
            <wp:positionV relativeFrom="page">
              <wp:posOffset>1003935</wp:posOffset>
            </wp:positionV>
            <wp:extent cx="5890895" cy="2663190"/>
            <wp:effectExtent l="0" t="0" r="14605" b="3810"/>
            <wp:wrapSquare wrapText="bothSides"/>
            <wp:docPr id="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pic:cNvPicPr>
                      <a:picLocks noChangeAspect="1"/>
                    </pic:cNvPicPr>
                  </pic:nvPicPr>
                  <pic:blipFill>
                    <a:blip r:embed="rId12"/>
                    <a:stretch>
                      <a:fillRect/>
                    </a:stretch>
                  </pic:blipFill>
                  <pic:spPr>
                    <a:xfrm>
                      <a:off x="0" y="0"/>
                      <a:ext cx="5890895" cy="2663190"/>
                    </a:xfrm>
                    <a:prstGeom prst="rect">
                      <a:avLst/>
                    </a:prstGeom>
                    <a:noFill/>
                    <a:ln>
                      <a:noFill/>
                    </a:ln>
                  </pic:spPr>
                </pic:pic>
              </a:graphicData>
            </a:graphic>
          </wp:anchor>
        </w:drawing>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p>
    <w:p>
      <w:pPr>
        <w:keepNext w:val="0"/>
        <w:keepLines w:val="0"/>
        <w:pageBreakBefore w:val="0"/>
        <w:widowControl w:val="0"/>
        <w:kinsoku/>
        <w:wordWrap/>
        <w:overflowPunct/>
        <w:topLinePunct w:val="0"/>
        <w:bidi w:val="0"/>
        <w:adjustRightInd/>
        <w:snapToGrid/>
        <w:spacing w:line="240" w:lineRule="auto"/>
        <w:textAlignment w:val="auto"/>
        <w:rPr>
          <w:rFonts w:hint="eastAsia"/>
          <w:lang w:val="en-US" w:eastAsia="zh-CN"/>
        </w:rPr>
      </w:pPr>
      <w:r>
        <w:rPr>
          <w:rFonts w:hint="eastAsia"/>
          <w:lang w:val="en-US" w:eastAsia="zh-CN"/>
        </w:rPr>
        <w:t xml:space="preserve">  </w:t>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7456" behindDoc="0" locked="0" layoutInCell="1" allowOverlap="1">
            <wp:simplePos x="0" y="0"/>
            <wp:positionH relativeFrom="column">
              <wp:posOffset>-361950</wp:posOffset>
            </wp:positionH>
            <wp:positionV relativeFrom="page">
              <wp:posOffset>979170</wp:posOffset>
            </wp:positionV>
            <wp:extent cx="5891530" cy="2680970"/>
            <wp:effectExtent l="0" t="0" r="13970" b="5080"/>
            <wp:wrapSquare wrapText="bothSides"/>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13"/>
                    <a:stretch>
                      <a:fillRect/>
                    </a:stretch>
                  </pic:blipFill>
                  <pic:spPr>
                    <a:xfrm>
                      <a:off x="0" y="0"/>
                      <a:ext cx="5891530" cy="26809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605E2"/>
    <w:rsid w:val="02103DD0"/>
    <w:rsid w:val="023937A6"/>
    <w:rsid w:val="02BD3108"/>
    <w:rsid w:val="02F73D26"/>
    <w:rsid w:val="034D4FEF"/>
    <w:rsid w:val="035D1785"/>
    <w:rsid w:val="039F47CE"/>
    <w:rsid w:val="03E05CE8"/>
    <w:rsid w:val="03F973EE"/>
    <w:rsid w:val="043E5B56"/>
    <w:rsid w:val="04447169"/>
    <w:rsid w:val="04C04386"/>
    <w:rsid w:val="04E161CE"/>
    <w:rsid w:val="04FA68C4"/>
    <w:rsid w:val="050C7914"/>
    <w:rsid w:val="053F5AE6"/>
    <w:rsid w:val="057C0B0F"/>
    <w:rsid w:val="05885899"/>
    <w:rsid w:val="05EF4B48"/>
    <w:rsid w:val="05F76ECA"/>
    <w:rsid w:val="06792773"/>
    <w:rsid w:val="07093795"/>
    <w:rsid w:val="07804730"/>
    <w:rsid w:val="079052BE"/>
    <w:rsid w:val="08145C21"/>
    <w:rsid w:val="08422688"/>
    <w:rsid w:val="085854ED"/>
    <w:rsid w:val="08701762"/>
    <w:rsid w:val="0879188F"/>
    <w:rsid w:val="08A0354D"/>
    <w:rsid w:val="08CD4C49"/>
    <w:rsid w:val="09114954"/>
    <w:rsid w:val="095A5B83"/>
    <w:rsid w:val="096466E3"/>
    <w:rsid w:val="0968304D"/>
    <w:rsid w:val="09AF3D17"/>
    <w:rsid w:val="0A7809B7"/>
    <w:rsid w:val="0A7B4867"/>
    <w:rsid w:val="0A840954"/>
    <w:rsid w:val="0A9928ED"/>
    <w:rsid w:val="0ACF30CE"/>
    <w:rsid w:val="0AE17526"/>
    <w:rsid w:val="0B231C0A"/>
    <w:rsid w:val="0B3A0AF3"/>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BC78D8"/>
    <w:rsid w:val="0E640559"/>
    <w:rsid w:val="0F1113DA"/>
    <w:rsid w:val="0F78534A"/>
    <w:rsid w:val="0F89358A"/>
    <w:rsid w:val="0F8C6D51"/>
    <w:rsid w:val="105B0B5E"/>
    <w:rsid w:val="10840683"/>
    <w:rsid w:val="10C20D53"/>
    <w:rsid w:val="112E58D0"/>
    <w:rsid w:val="11731CAC"/>
    <w:rsid w:val="119500A0"/>
    <w:rsid w:val="11C0733B"/>
    <w:rsid w:val="11D50D17"/>
    <w:rsid w:val="120E0809"/>
    <w:rsid w:val="127F665A"/>
    <w:rsid w:val="12F7068C"/>
    <w:rsid w:val="14207DC0"/>
    <w:rsid w:val="14B932DA"/>
    <w:rsid w:val="150A66AF"/>
    <w:rsid w:val="154C1139"/>
    <w:rsid w:val="156773C5"/>
    <w:rsid w:val="158C5B77"/>
    <w:rsid w:val="160D1149"/>
    <w:rsid w:val="163563C0"/>
    <w:rsid w:val="164315EF"/>
    <w:rsid w:val="16557DFE"/>
    <w:rsid w:val="167268FB"/>
    <w:rsid w:val="16D50C50"/>
    <w:rsid w:val="16E120E1"/>
    <w:rsid w:val="1735011A"/>
    <w:rsid w:val="17385A05"/>
    <w:rsid w:val="173B3901"/>
    <w:rsid w:val="176747F9"/>
    <w:rsid w:val="17954A6E"/>
    <w:rsid w:val="180059E9"/>
    <w:rsid w:val="184510FD"/>
    <w:rsid w:val="190648B0"/>
    <w:rsid w:val="19071D6C"/>
    <w:rsid w:val="19D26CD4"/>
    <w:rsid w:val="19E60D19"/>
    <w:rsid w:val="1A3E3450"/>
    <w:rsid w:val="1A5E1459"/>
    <w:rsid w:val="1AD807E5"/>
    <w:rsid w:val="1B2D38ED"/>
    <w:rsid w:val="1B39345B"/>
    <w:rsid w:val="1B5405ED"/>
    <w:rsid w:val="1BEE7E74"/>
    <w:rsid w:val="1BFB2A1F"/>
    <w:rsid w:val="1C015D4A"/>
    <w:rsid w:val="1C234EB7"/>
    <w:rsid w:val="1C290ED5"/>
    <w:rsid w:val="1C317E4F"/>
    <w:rsid w:val="1C472464"/>
    <w:rsid w:val="1D22799A"/>
    <w:rsid w:val="1D5C1A72"/>
    <w:rsid w:val="1D6108FA"/>
    <w:rsid w:val="1D667A4B"/>
    <w:rsid w:val="1DAF458D"/>
    <w:rsid w:val="1E086ACE"/>
    <w:rsid w:val="1E62130A"/>
    <w:rsid w:val="1E642AD6"/>
    <w:rsid w:val="1E97358B"/>
    <w:rsid w:val="1EAA4A5F"/>
    <w:rsid w:val="1EE869A7"/>
    <w:rsid w:val="1FA15E62"/>
    <w:rsid w:val="1FED69B6"/>
    <w:rsid w:val="2064678E"/>
    <w:rsid w:val="20DC1AB9"/>
    <w:rsid w:val="20DD6197"/>
    <w:rsid w:val="212631E0"/>
    <w:rsid w:val="21A53757"/>
    <w:rsid w:val="21C0078C"/>
    <w:rsid w:val="221236C6"/>
    <w:rsid w:val="2282227F"/>
    <w:rsid w:val="22D7662C"/>
    <w:rsid w:val="23326B7F"/>
    <w:rsid w:val="235053B1"/>
    <w:rsid w:val="2380045B"/>
    <w:rsid w:val="23BC04D2"/>
    <w:rsid w:val="23EF1892"/>
    <w:rsid w:val="2483647E"/>
    <w:rsid w:val="24A32D55"/>
    <w:rsid w:val="24C57BB1"/>
    <w:rsid w:val="24CD1BC1"/>
    <w:rsid w:val="24DF5BEA"/>
    <w:rsid w:val="25292727"/>
    <w:rsid w:val="252E5CA9"/>
    <w:rsid w:val="256F7692"/>
    <w:rsid w:val="25BA2154"/>
    <w:rsid w:val="25C8773F"/>
    <w:rsid w:val="264A7253"/>
    <w:rsid w:val="26F0170C"/>
    <w:rsid w:val="27153268"/>
    <w:rsid w:val="27201D62"/>
    <w:rsid w:val="27286E73"/>
    <w:rsid w:val="27357B4B"/>
    <w:rsid w:val="27CF2642"/>
    <w:rsid w:val="27E777F5"/>
    <w:rsid w:val="27EA1D4C"/>
    <w:rsid w:val="27EA2E41"/>
    <w:rsid w:val="282459E2"/>
    <w:rsid w:val="283A7FE5"/>
    <w:rsid w:val="28557018"/>
    <w:rsid w:val="285F51FF"/>
    <w:rsid w:val="28DF2665"/>
    <w:rsid w:val="29072599"/>
    <w:rsid w:val="291029F3"/>
    <w:rsid w:val="29CB58F0"/>
    <w:rsid w:val="2A053397"/>
    <w:rsid w:val="2A145E96"/>
    <w:rsid w:val="2AF5378F"/>
    <w:rsid w:val="2B912C51"/>
    <w:rsid w:val="2BB94DBF"/>
    <w:rsid w:val="2BF41547"/>
    <w:rsid w:val="2C6F314E"/>
    <w:rsid w:val="2C8349D2"/>
    <w:rsid w:val="2CC206BE"/>
    <w:rsid w:val="2D1136DF"/>
    <w:rsid w:val="2D20606D"/>
    <w:rsid w:val="2DB87198"/>
    <w:rsid w:val="2DB93C54"/>
    <w:rsid w:val="2E3D144C"/>
    <w:rsid w:val="2E891204"/>
    <w:rsid w:val="2F3F0A28"/>
    <w:rsid w:val="2F443490"/>
    <w:rsid w:val="2FBF7029"/>
    <w:rsid w:val="2FD0187F"/>
    <w:rsid w:val="2FD27414"/>
    <w:rsid w:val="2FFE4BB0"/>
    <w:rsid w:val="300E7B60"/>
    <w:rsid w:val="300F6E18"/>
    <w:rsid w:val="304613FD"/>
    <w:rsid w:val="307722EC"/>
    <w:rsid w:val="30862F5F"/>
    <w:rsid w:val="30F8302C"/>
    <w:rsid w:val="314029C9"/>
    <w:rsid w:val="31C63837"/>
    <w:rsid w:val="31C82E39"/>
    <w:rsid w:val="32601BAD"/>
    <w:rsid w:val="329620C9"/>
    <w:rsid w:val="329F6389"/>
    <w:rsid w:val="3389023A"/>
    <w:rsid w:val="339C1F4A"/>
    <w:rsid w:val="33CB74FA"/>
    <w:rsid w:val="33D309A5"/>
    <w:rsid w:val="343642F2"/>
    <w:rsid w:val="343F3010"/>
    <w:rsid w:val="345D0A00"/>
    <w:rsid w:val="34713BFD"/>
    <w:rsid w:val="34B362B3"/>
    <w:rsid w:val="34C13589"/>
    <w:rsid w:val="351F08E9"/>
    <w:rsid w:val="353369E3"/>
    <w:rsid w:val="35E00D72"/>
    <w:rsid w:val="36754783"/>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0D428A"/>
    <w:rsid w:val="3C242659"/>
    <w:rsid w:val="3C4A721E"/>
    <w:rsid w:val="3C96719C"/>
    <w:rsid w:val="3CA72BE8"/>
    <w:rsid w:val="3CF37F8C"/>
    <w:rsid w:val="3D137554"/>
    <w:rsid w:val="3D5275AC"/>
    <w:rsid w:val="3DCC2473"/>
    <w:rsid w:val="3DEB0883"/>
    <w:rsid w:val="3E2527BF"/>
    <w:rsid w:val="3E277CDC"/>
    <w:rsid w:val="3E380DD6"/>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A61BC1"/>
    <w:rsid w:val="41431AD5"/>
    <w:rsid w:val="414A29C7"/>
    <w:rsid w:val="414B3C0F"/>
    <w:rsid w:val="417C1CE7"/>
    <w:rsid w:val="41900018"/>
    <w:rsid w:val="41944406"/>
    <w:rsid w:val="41946B6D"/>
    <w:rsid w:val="41CE128F"/>
    <w:rsid w:val="41DA6F12"/>
    <w:rsid w:val="42171FB1"/>
    <w:rsid w:val="434E6957"/>
    <w:rsid w:val="43BA0E31"/>
    <w:rsid w:val="43C15147"/>
    <w:rsid w:val="43E14DD2"/>
    <w:rsid w:val="43F800E9"/>
    <w:rsid w:val="443A7E4B"/>
    <w:rsid w:val="447436DB"/>
    <w:rsid w:val="44BB5C07"/>
    <w:rsid w:val="452F5B3A"/>
    <w:rsid w:val="454E7FD2"/>
    <w:rsid w:val="46061BDC"/>
    <w:rsid w:val="461404F8"/>
    <w:rsid w:val="46413018"/>
    <w:rsid w:val="464B7E04"/>
    <w:rsid w:val="468041AA"/>
    <w:rsid w:val="468123C6"/>
    <w:rsid w:val="46901EEE"/>
    <w:rsid w:val="469C74D2"/>
    <w:rsid w:val="47445515"/>
    <w:rsid w:val="474B4782"/>
    <w:rsid w:val="47A07B5F"/>
    <w:rsid w:val="47D90D14"/>
    <w:rsid w:val="48387FB0"/>
    <w:rsid w:val="483A6114"/>
    <w:rsid w:val="488727DB"/>
    <w:rsid w:val="48B82268"/>
    <w:rsid w:val="48C354B3"/>
    <w:rsid w:val="493D58B5"/>
    <w:rsid w:val="494A7A04"/>
    <w:rsid w:val="49C87A1C"/>
    <w:rsid w:val="49EA0CB1"/>
    <w:rsid w:val="4A0A26D2"/>
    <w:rsid w:val="4A2019A5"/>
    <w:rsid w:val="4A241A0B"/>
    <w:rsid w:val="4A7B2875"/>
    <w:rsid w:val="4A8C4DE4"/>
    <w:rsid w:val="4A934476"/>
    <w:rsid w:val="4AAA220A"/>
    <w:rsid w:val="4AE12E67"/>
    <w:rsid w:val="4AF7729E"/>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C46C58"/>
    <w:rsid w:val="525C687F"/>
    <w:rsid w:val="52F647F7"/>
    <w:rsid w:val="52F92565"/>
    <w:rsid w:val="53D03877"/>
    <w:rsid w:val="541364D6"/>
    <w:rsid w:val="542F73CA"/>
    <w:rsid w:val="5430786D"/>
    <w:rsid w:val="54C811C0"/>
    <w:rsid w:val="552F6B7D"/>
    <w:rsid w:val="556A442D"/>
    <w:rsid w:val="55DA564E"/>
    <w:rsid w:val="55F17D9B"/>
    <w:rsid w:val="55F3102E"/>
    <w:rsid w:val="5604127D"/>
    <w:rsid w:val="56166703"/>
    <w:rsid w:val="56510474"/>
    <w:rsid w:val="566636AA"/>
    <w:rsid w:val="56666B03"/>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0A4473"/>
    <w:rsid w:val="5A60780B"/>
    <w:rsid w:val="5AB34579"/>
    <w:rsid w:val="5AC46FB6"/>
    <w:rsid w:val="5AFC6609"/>
    <w:rsid w:val="5B113480"/>
    <w:rsid w:val="5BB602DA"/>
    <w:rsid w:val="5BD456CE"/>
    <w:rsid w:val="5C0D1F49"/>
    <w:rsid w:val="5CBB0CE2"/>
    <w:rsid w:val="5CC17177"/>
    <w:rsid w:val="5CF306BC"/>
    <w:rsid w:val="5D3F3D64"/>
    <w:rsid w:val="5D833043"/>
    <w:rsid w:val="5DD92690"/>
    <w:rsid w:val="5DDB1CFD"/>
    <w:rsid w:val="5E056CA7"/>
    <w:rsid w:val="5E1516BA"/>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2E32A9"/>
    <w:rsid w:val="658A4877"/>
    <w:rsid w:val="65A00902"/>
    <w:rsid w:val="65AC6EDD"/>
    <w:rsid w:val="65D97752"/>
    <w:rsid w:val="66085536"/>
    <w:rsid w:val="66105BF7"/>
    <w:rsid w:val="66150023"/>
    <w:rsid w:val="6628010D"/>
    <w:rsid w:val="669B4528"/>
    <w:rsid w:val="66CC12D7"/>
    <w:rsid w:val="67134CEF"/>
    <w:rsid w:val="671F1ABD"/>
    <w:rsid w:val="67257EC3"/>
    <w:rsid w:val="67521A59"/>
    <w:rsid w:val="67C304AB"/>
    <w:rsid w:val="683F0658"/>
    <w:rsid w:val="689C6793"/>
    <w:rsid w:val="68DB0208"/>
    <w:rsid w:val="68FB170C"/>
    <w:rsid w:val="691B3D98"/>
    <w:rsid w:val="693748F0"/>
    <w:rsid w:val="69681DC0"/>
    <w:rsid w:val="69846A0E"/>
    <w:rsid w:val="69AD798C"/>
    <w:rsid w:val="69D005C0"/>
    <w:rsid w:val="69D80B96"/>
    <w:rsid w:val="6B4F3E28"/>
    <w:rsid w:val="6B68175F"/>
    <w:rsid w:val="6BFD799F"/>
    <w:rsid w:val="6C4A2E5A"/>
    <w:rsid w:val="6C8138D0"/>
    <w:rsid w:val="6CEF0725"/>
    <w:rsid w:val="6D4B2604"/>
    <w:rsid w:val="6D8030E4"/>
    <w:rsid w:val="6E0E35C4"/>
    <w:rsid w:val="6E0F7A08"/>
    <w:rsid w:val="6E3947F5"/>
    <w:rsid w:val="6E9C74ED"/>
    <w:rsid w:val="6EF72976"/>
    <w:rsid w:val="6F2E6C8E"/>
    <w:rsid w:val="6F795A80"/>
    <w:rsid w:val="6F7C1D2E"/>
    <w:rsid w:val="6F8E0407"/>
    <w:rsid w:val="6FDD069F"/>
    <w:rsid w:val="702B4D16"/>
    <w:rsid w:val="70AA6621"/>
    <w:rsid w:val="70C669A0"/>
    <w:rsid w:val="7111480F"/>
    <w:rsid w:val="71261F49"/>
    <w:rsid w:val="712E6956"/>
    <w:rsid w:val="71473612"/>
    <w:rsid w:val="71504F32"/>
    <w:rsid w:val="7152309F"/>
    <w:rsid w:val="718F7F65"/>
    <w:rsid w:val="720E2AA3"/>
    <w:rsid w:val="727B234E"/>
    <w:rsid w:val="72D068C7"/>
    <w:rsid w:val="72E42ED8"/>
    <w:rsid w:val="735F4CB9"/>
    <w:rsid w:val="73674C62"/>
    <w:rsid w:val="73845865"/>
    <w:rsid w:val="739B6D9E"/>
    <w:rsid w:val="73BC1D76"/>
    <w:rsid w:val="73FB6630"/>
    <w:rsid w:val="740160EC"/>
    <w:rsid w:val="74051221"/>
    <w:rsid w:val="748D790E"/>
    <w:rsid w:val="749820CC"/>
    <w:rsid w:val="74CE04EC"/>
    <w:rsid w:val="74E76DCD"/>
    <w:rsid w:val="751D7C0A"/>
    <w:rsid w:val="75303EB9"/>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0F24D3"/>
    <w:rsid w:val="791B54B2"/>
    <w:rsid w:val="79487ADC"/>
    <w:rsid w:val="795A0A34"/>
    <w:rsid w:val="797339C3"/>
    <w:rsid w:val="799F63E6"/>
    <w:rsid w:val="79D57D57"/>
    <w:rsid w:val="79F00650"/>
    <w:rsid w:val="7A6242BF"/>
    <w:rsid w:val="7A794513"/>
    <w:rsid w:val="7AE952D2"/>
    <w:rsid w:val="7B6A31CA"/>
    <w:rsid w:val="7C976D69"/>
    <w:rsid w:val="7CD752DA"/>
    <w:rsid w:val="7CDE40AB"/>
    <w:rsid w:val="7CE426F4"/>
    <w:rsid w:val="7CF057E2"/>
    <w:rsid w:val="7D1548B5"/>
    <w:rsid w:val="7DF84014"/>
    <w:rsid w:val="7E207949"/>
    <w:rsid w:val="7E3A03D8"/>
    <w:rsid w:val="7E5C0A47"/>
    <w:rsid w:val="7E670C75"/>
    <w:rsid w:val="7EE24272"/>
    <w:rsid w:val="7EEA6053"/>
    <w:rsid w:val="7F487C04"/>
    <w:rsid w:val="7FAA31D6"/>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26</TotalTime>
  <ScaleCrop>false</ScaleCrop>
  <LinksUpToDate>false</LinksUpToDate>
  <CharactersWithSpaces>20940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2024-12-28T04:26:40Z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