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库尔勒市财政局</w:t>
      </w:r>
      <w:r>
        <w:rPr>
          <w:rFonts w:hint="eastAsia" w:ascii="方正小标宋_GBK" w:hAnsi="宋体" w:eastAsia="方正小标宋_GBK"/>
          <w:sz w:val="44"/>
          <w:szCs w:val="44"/>
          <w:highlight w:val="none"/>
          <w:lang w:eastAsia="zh-CN"/>
        </w:rPr>
        <w:t>2023年度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 xml:space="preserve">第一部分 </w:t>
      </w:r>
      <w:r>
        <w:rPr>
          <w:rFonts w:hint="eastAsia" w:ascii="仿宋_GB2312" w:hAnsi="仿宋_GB2312" w:eastAsia="仿宋_GB2312" w:cs="仿宋_GB2312"/>
          <w:b/>
          <w:bCs/>
          <w:sz w:val="32"/>
          <w:szCs w:val="32"/>
          <w:highlight w:val="none"/>
          <w:lang w:eastAsia="zh-CN"/>
        </w:rPr>
        <w:t>部门</w:t>
      </w:r>
      <w:r>
        <w:rPr>
          <w:rFonts w:hint="eastAsia" w:ascii="仿宋_GB2312" w:hAnsi="仿宋_GB2312" w:eastAsia="仿宋_GB2312" w:cs="仿宋_GB2312"/>
          <w:b/>
          <w:bCs/>
          <w:sz w:val="32"/>
          <w:szCs w:val="32"/>
          <w:highlight w:val="none"/>
        </w:rPr>
        <w:t>概况</w:t>
      </w:r>
      <w:r>
        <w:rPr>
          <w:rFonts w:hint="eastAsia" w:ascii="仿宋_GB2312" w:hAnsi="仿宋_GB2312" w:eastAsia="仿宋_GB2312" w:cs="仿宋_GB2312"/>
          <w:b/>
          <w:bCs/>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highlight w:val="none"/>
        </w:rPr>
      </w:pPr>
      <w:r>
        <w:rPr>
          <w:rFonts w:hint="eastAsia" w:ascii="仿宋_GB2312" w:hAnsi="仿宋_GB2312" w:eastAsia="仿宋_GB2312" w:cs="仿宋_GB2312"/>
          <w:sz w:val="32"/>
          <w:szCs w:val="32"/>
          <w:highlight w:val="none"/>
        </w:rPr>
        <w:fldChar w:fldCharType="end"/>
      </w:r>
    </w:p>
    <w:p>
      <w:pPr>
        <w:rPr>
          <w:rFonts w:hint="eastAsia" w:ascii="仿宋_GB2312" w:eastAsia="仿宋_GB2312"/>
          <w:sz w:val="32"/>
          <w:szCs w:val="32"/>
          <w:highlight w:val="none"/>
        </w:rPr>
      </w:pPr>
      <w:r>
        <w:rPr>
          <w:rFonts w:hint="eastAsia" w:ascii="仿宋_GB2312" w:eastAsia="仿宋_GB2312"/>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0" w:name="_Toc24028"/>
      <w:bookmarkStart w:id="1" w:name="_Toc32314"/>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部门</w:t>
      </w:r>
      <w:r>
        <w:rPr>
          <w:rFonts w:hint="eastAsia" w:ascii="黑体" w:hAnsi="黑体" w:eastAsia="黑体"/>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kern w:val="0"/>
          <w:sz w:val="32"/>
          <w:szCs w:val="32"/>
          <w:highlight w:val="none"/>
        </w:rPr>
      </w:pPr>
      <w:bookmarkStart w:id="2" w:name="_Toc30738"/>
      <w:bookmarkStart w:id="3" w:name="_Toc30567"/>
      <w:r>
        <w:rPr>
          <w:rFonts w:hint="eastAsia" w:ascii="黑体" w:hAnsi="黑体" w:eastAsia="黑体" w:cs="宋体"/>
          <w:bCs/>
          <w:kern w:val="0"/>
          <w:sz w:val="32"/>
          <w:szCs w:val="32"/>
          <w:highlight w:val="none"/>
        </w:rPr>
        <w:t>一、主要职能</w:t>
      </w:r>
      <w:bookmarkEnd w:id="2"/>
      <w:bookmarkEnd w:id="3"/>
    </w:p>
    <w:p>
      <w:pPr>
        <w:snapToGrid w:val="0"/>
        <w:spacing w:line="560" w:lineRule="exact"/>
        <w:ind w:firstLine="640" w:firstLineChars="200"/>
        <w:rPr>
          <w:rFonts w:hint="eastAsia" w:ascii="仿宋_GB2312" w:hAnsi="仿宋_GB2312" w:eastAsia="仿宋_GB2312" w:cs="仿宋_GB2312"/>
          <w:sz w:val="32"/>
          <w:szCs w:val="32"/>
        </w:rPr>
      </w:pPr>
      <w:bookmarkStart w:id="4" w:name="_Toc31238"/>
      <w:bookmarkStart w:id="5" w:name="_Toc2151"/>
      <w:r>
        <w:rPr>
          <w:rFonts w:hint="eastAsia" w:ascii="仿宋_GB2312" w:eastAsia="仿宋_GB2312"/>
          <w:color w:val="auto"/>
          <w:sz w:val="32"/>
          <w:szCs w:val="32"/>
          <w:lang w:val="en-US" w:eastAsia="zh-CN"/>
        </w:rPr>
        <w:t>库尔勒市财政局</w:t>
      </w:r>
      <w:r>
        <w:rPr>
          <w:rFonts w:hint="eastAsia" w:ascii="仿宋_GB2312" w:hAnsi="仿宋_GB2312" w:eastAsia="仿宋_GB2312" w:cs="仿宋_GB2312"/>
          <w:sz w:val="32"/>
          <w:szCs w:val="32"/>
        </w:rPr>
        <w:t>是市人民政府工作部门，为正科级，加挂国有资产监督管理委员会牌子。</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市财政局贯彻落实党中央关于财经工作的方针政策和决策部署，以及自治区、自治州、市党委的工作要求，在履行职责过程中坚持和加强党对财政工作的集中统一领导。主要职责是：</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（1）拟订库尔勒市财政发展战略、中长期财政规划和改革方案并组织实施；负责分析预测宏观经济形势，参与制订宏观经济政策，提出运用财税政策实施宏观经济调控和综合平衡社会财力的建议。</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承担库尔勒市各项财政收支管理责任；负责编制库尔勒市本级预决算草案并组织执行；受市人民政府委托向市人民代表大会报告预算及执行情况，向市人大常委会报告决算；组织制定经费开支标准、定额，负责财政预决算工作。</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（3）组织制订地方收入计划，负责协调、组织税收和非税收入的征收管理工作。负责政府性基金管理；负责行政事业性收费立项和标准管理；管理彩票资金。</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组织制订库尔勒市国库管理制度、国库集中收付制度，管理库尔勒市国库现金，监督管理地方国库资金缴拨使用；负责制定库尔勒市政府采购制度并监督管理；研究拟订政府购买服务制度和政策并组织实施；管理库尔勒市财政统一发放工资工作。</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（5）拟订和执行地方政府性债务管理制度和办法，负责组织申报自治区地方政府债券代理发行工作；管理地方政府债券，防范财政风险；负责管理政府外债。</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参与拟订库尔勒市建设投资政策，制定库尔勒市基本建设财务管理制度，负责中央和自治区、自治州、库尔勒市政府性投资项目财政资金管理工作；拟订库尔勒市政府和社会资本合作（PPP）政策制度，承担规范管理工作；承担政策性补贴和专项储备资金财政管理工作；管理扶贫资金。</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贯彻执行国家行政事业单位国有资产管理法规、制度和方针政策，制定库尔勒市行政事业单位国有资产管理政策制度并组织实施，管理行政事业单位国有资产，履行行政事业单位国有资产购置、使用、处置监督审核职责；牵头编制库尔勒市国有资产管理情况报告；负责库尔勒市国有资产监管工作。</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（8）会同有关部门管理社会保障和就业及医疗卫生资金，会同库尔勒市有关部门共同监督执行社会保障资金（基金）政策和有关的财务管理制度，参与编制库尔勒市社会保险基金预决算工作。</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（9）负责审核和汇总编制国有资本经营预决算草案，制定国有资本经营预算的制度和办法，收取库尔勒市本级企业国有资本收益；组织实施企业财务制度，参与制定企业国有资产管理相关制度。</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（10）管理和指导全市会计工作，规范会计行为；组织执行国家统一的会计制度，制定补充规定并贯彻执行；组织管理会计人员的业务培训。</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监督检查财税法规、政策执行情况，反映财政收支管理中的重大问题，提出加强财政管理的政策建议；贯彻落实财政绩效管理政策制度，组织库尔勒市本级预算绩效管理工作；组织实施专项资金绩效考核工作；研究建立财政支出绩效评价制度和评价体系并组织实施；负责库尔勒市财政系统信息化建设规划并组织实施。</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履行库尔勒市国有金融资本出资人职责，负责国有金融资本集中统一管理，对相关金融机构，依法依规享有参与重大决策、选择管理者、享有收益等出资人权利；负责制定库尔勒市统一的国有金融资本管理规章制度；承担地方金融企业的国有资产和财务的监管工作；依法依规履行国有金融资本管理职责，负责组织实施基础管理、经营预算、绩效考核、负责人薪酬管理等工作。</w:t>
      </w:r>
    </w:p>
    <w:p>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（13）完成市党委、市人民政府交办的其他任务。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sz w:val="32"/>
          <w:szCs w:val="32"/>
          <w:highlight w:val="none"/>
        </w:rPr>
      </w:pPr>
      <w:r>
        <w:rPr>
          <w:rFonts w:hint="eastAsia" w:ascii="仿宋_GB2312" w:eastAsia="仿宋_GB2312"/>
          <w:sz w:val="32"/>
          <w:szCs w:val="32"/>
          <w:highlight w:val="none"/>
          <w:lang w:val="en-US" w:eastAsia="zh-CN"/>
        </w:rPr>
        <w:t>库尔勒市财政局</w:t>
      </w:r>
      <w:r>
        <w:rPr>
          <w:rFonts w:hint="eastAsia" w:ascii="仿宋_GB2312" w:eastAsia="仿宋_GB2312"/>
          <w:sz w:val="32"/>
          <w:szCs w:val="32"/>
          <w:highlight w:val="none"/>
          <w:lang w:eastAsia="zh-CN"/>
        </w:rPr>
        <w:t>2023年度，</w:t>
      </w:r>
      <w:r>
        <w:rPr>
          <w:rFonts w:hint="eastAsia" w:ascii="仿宋_GB2312" w:eastAsia="仿宋_GB2312"/>
          <w:sz w:val="32"/>
          <w:szCs w:val="32"/>
          <w:highlight w:val="none"/>
        </w:rPr>
        <w:t>实有人数</w:t>
      </w:r>
      <w:r>
        <w:rPr>
          <w:rFonts w:hint="eastAsia" w:ascii="仿宋_GB2312" w:eastAsia="仿宋_GB2312"/>
          <w:sz w:val="32"/>
          <w:szCs w:val="32"/>
          <w:highlight w:val="none"/>
          <w:lang w:val="zh-CN" w:eastAsia="zh-CN"/>
        </w:rPr>
        <w:t>162</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zh-CN" w:eastAsia="zh-CN"/>
        </w:rPr>
        <w:t>77</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zh-CN" w:eastAsia="zh-CN"/>
        </w:rPr>
        <w:t>0</w:t>
      </w:r>
      <w:r>
        <w:rPr>
          <w:rFonts w:hint="eastAsia" w:ascii="仿宋_GB2312" w:eastAsia="仿宋_GB2312"/>
          <w:sz w:val="32"/>
          <w:szCs w:val="32"/>
          <w:highlight w:val="none"/>
        </w:rPr>
        <w:t>人，退休人员</w:t>
      </w:r>
      <w:r>
        <w:rPr>
          <w:rFonts w:hint="eastAsia" w:ascii="仿宋_GB2312" w:eastAsia="仿宋_GB2312"/>
          <w:sz w:val="32"/>
          <w:szCs w:val="32"/>
          <w:highlight w:val="none"/>
          <w:lang w:val="zh-CN" w:eastAsia="zh-CN"/>
        </w:rPr>
        <w:t>85</w:t>
      </w:r>
      <w:r>
        <w:rPr>
          <w:rFonts w:hint="eastAsia" w:ascii="仿宋_GB2312" w:eastAsia="仿宋_GB2312"/>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color w:val="auto"/>
          <w:kern w:val="0"/>
          <w:sz w:val="32"/>
          <w:szCs w:val="32"/>
        </w:rPr>
        <w:t>下设</w:t>
      </w:r>
      <w:r>
        <w:rPr>
          <w:rFonts w:hint="eastAsia" w:ascii="仿宋_GB2312" w:eastAsia="仿宋_GB2312"/>
          <w:color w:val="auto"/>
          <w:sz w:val="32"/>
          <w:szCs w:val="32"/>
          <w:lang w:val="en-US" w:eastAsia="zh-CN"/>
        </w:rPr>
        <w:t>13</w:t>
      </w:r>
      <w:r>
        <w:rPr>
          <w:rFonts w:hint="eastAsia" w:ascii="仿宋_GB2312" w:hAnsi="黑体" w:eastAsia="仿宋_GB2312" w:cs="宋体"/>
          <w:bCs/>
          <w:color w:val="auto"/>
          <w:kern w:val="0"/>
          <w:sz w:val="32"/>
          <w:szCs w:val="32"/>
        </w:rPr>
        <w:t>个处室，分别是：</w:t>
      </w:r>
      <w:r>
        <w:rPr>
          <w:rFonts w:hint="eastAsia" w:ascii="仿宋_GB2312" w:hAnsi="仿宋_GB2312" w:eastAsia="仿宋_GB2312" w:cs="仿宋_GB2312"/>
          <w:color w:val="auto"/>
          <w:sz w:val="32"/>
          <w:szCs w:val="32"/>
        </w:rPr>
        <w:t>办公室（党建办公室）、预算股、国库股、农业农村股、行政教科文股、经济建设股、社会保障股、企业股、资产监督管理股、会计股（监督股、法制税政股）、综合股、国有资产监督管理股、金财办，2个挂靠单位（市财政保障服务中心、工资统发办公室），1个二级局（乡镇财政管理局，副科建制事业单位）。2012年9月市国资委合并到市财政局，一个机构两块牌子</w:t>
      </w:r>
      <w:r>
        <w:rPr>
          <w:rFonts w:hint="eastAsia" w:ascii="仿宋_GB2312" w:hAnsi="宋体" w:eastAsia="仿宋_GB2312" w:cs="宋体"/>
          <w:kern w:val="0"/>
          <w:sz w:val="32"/>
          <w:szCs w:val="32"/>
          <w:highlight w:val="none"/>
        </w:rPr>
        <w:t>。</w:t>
      </w:r>
      <w:bookmarkStart w:id="6" w:name="_Toc3092"/>
      <w:bookmarkStart w:id="7" w:name="_Toc29374"/>
    </w:p>
    <w:p>
      <w:pPr>
        <w:keepNext w:val="0"/>
        <w:keepLines w:val="0"/>
        <w:pageBreakBefore w:val="0"/>
        <w:widowControl w:val="0"/>
        <w:kinsoku/>
        <w:wordWrap/>
        <w:overflowPunct/>
        <w:topLinePunct w:val="0"/>
        <w:bidi w:val="0"/>
        <w:adjustRightInd/>
        <w:snapToGrid/>
        <w:spacing w:line="240" w:lineRule="auto"/>
        <w:ind w:firstLine="640" w:firstLineChars="200"/>
        <w:jc w:val="center"/>
        <w:textAlignment w:val="auto"/>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25314"/>
      <w:bookmarkStart w:id="9" w:name="_Toc12566"/>
      <w:r>
        <w:rPr>
          <w:rFonts w:hint="eastAsia" w:ascii="黑体" w:hAnsi="黑体" w:eastAsia="黑体" w:cs="宋体"/>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eastAsia="zh-CN"/>
        </w:rPr>
        <w:t>2023年度</w:t>
      </w:r>
      <w:r>
        <w:rPr>
          <w:rFonts w:hint="eastAsia" w:ascii="仿宋_GB2312" w:eastAsia="仿宋_GB2312"/>
          <w:spacing w:val="0"/>
          <w:sz w:val="32"/>
          <w:szCs w:val="32"/>
          <w:highlight w:val="none"/>
          <w:lang w:val="en-US" w:eastAsia="zh-CN"/>
        </w:rPr>
        <w:t>收入总计</w:t>
      </w:r>
      <w:r>
        <w:rPr>
          <w:rFonts w:hint="eastAsia" w:ascii="仿宋_GB2312" w:eastAsia="仿宋_GB2312"/>
          <w:spacing w:val="0"/>
          <w:sz w:val="32"/>
          <w:szCs w:val="32"/>
          <w:highlight w:val="none"/>
          <w:lang w:eastAsia="zh-CN"/>
        </w:rPr>
        <w:t>3,115.02万元，</w:t>
      </w:r>
      <w:r>
        <w:rPr>
          <w:rFonts w:hint="eastAsia" w:ascii="仿宋_GB2312" w:eastAsia="仿宋_GB2312"/>
          <w:spacing w:val="0"/>
          <w:sz w:val="32"/>
          <w:szCs w:val="32"/>
          <w:highlight w:val="none"/>
          <w:lang w:val="en-US" w:eastAsia="zh-CN"/>
        </w:rPr>
        <w:t>其中：本年收入合计</w:t>
      </w:r>
      <w:r>
        <w:rPr>
          <w:rFonts w:hint="eastAsia" w:ascii="仿宋_GB2312" w:eastAsia="仿宋_GB2312"/>
          <w:spacing w:val="0"/>
          <w:sz w:val="32"/>
          <w:szCs w:val="32"/>
          <w:highlight w:val="none"/>
          <w:lang w:eastAsia="zh-CN"/>
        </w:rPr>
        <w:t>3,115.02万元，使用非财政拨款结余0.00万元，年初结转和结余0.00万元。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val="en-US" w:eastAsia="zh-CN"/>
        </w:rPr>
        <w:t>2023</w:t>
      </w:r>
      <w:r>
        <w:rPr>
          <w:rFonts w:hint="eastAsia" w:ascii="仿宋_GB2312" w:eastAsia="仿宋_GB2312"/>
          <w:spacing w:val="0"/>
          <w:sz w:val="32"/>
          <w:szCs w:val="32"/>
          <w:highlight w:val="none"/>
          <w:lang w:eastAsia="zh-CN"/>
        </w:rPr>
        <w:t>年</w:t>
      </w:r>
      <w:r>
        <w:rPr>
          <w:rFonts w:hint="eastAsia" w:ascii="仿宋_GB2312" w:eastAsia="仿宋_GB2312"/>
          <w:spacing w:val="0"/>
          <w:sz w:val="32"/>
          <w:szCs w:val="32"/>
          <w:highlight w:val="none"/>
          <w:lang w:val="en-US" w:eastAsia="zh-CN"/>
        </w:rPr>
        <w:t>度</w:t>
      </w:r>
      <w:r>
        <w:rPr>
          <w:rFonts w:hint="eastAsia" w:ascii="仿宋_GB2312" w:eastAsia="仿宋_GB2312"/>
          <w:spacing w:val="0"/>
          <w:sz w:val="32"/>
          <w:szCs w:val="32"/>
          <w:highlight w:val="none"/>
          <w:lang w:eastAsia="zh-CN"/>
        </w:rPr>
        <w:t>支出</w:t>
      </w:r>
      <w:r>
        <w:rPr>
          <w:rFonts w:hint="eastAsia" w:ascii="仿宋_GB2312" w:eastAsia="仿宋_GB2312"/>
          <w:spacing w:val="0"/>
          <w:sz w:val="32"/>
          <w:szCs w:val="32"/>
          <w:highlight w:val="none"/>
          <w:lang w:val="en-US" w:eastAsia="zh-CN"/>
        </w:rPr>
        <w:t>总计</w:t>
      </w:r>
      <w:r>
        <w:rPr>
          <w:rFonts w:hint="eastAsia" w:ascii="仿宋_GB2312" w:eastAsia="仿宋_GB2312"/>
          <w:spacing w:val="0"/>
          <w:sz w:val="32"/>
          <w:szCs w:val="32"/>
          <w:highlight w:val="none"/>
          <w:lang w:eastAsia="zh-CN"/>
        </w:rPr>
        <w:t>3,115.02万元，</w:t>
      </w:r>
      <w:r>
        <w:rPr>
          <w:rFonts w:hint="eastAsia" w:ascii="仿宋_GB2312" w:eastAsia="仿宋_GB2312"/>
          <w:spacing w:val="0"/>
          <w:sz w:val="32"/>
          <w:szCs w:val="32"/>
          <w:highlight w:val="none"/>
          <w:lang w:val="en-US" w:eastAsia="zh-CN"/>
        </w:rPr>
        <w:t>其中：本年支出合计</w:t>
      </w:r>
      <w:r>
        <w:rPr>
          <w:rFonts w:hint="eastAsia" w:ascii="仿宋_GB2312" w:eastAsia="仿宋_GB2312"/>
          <w:spacing w:val="0"/>
          <w:sz w:val="32"/>
          <w:szCs w:val="32"/>
          <w:highlight w:val="none"/>
          <w:lang w:eastAsia="zh-CN"/>
        </w:rPr>
        <w:t>3,115.02万元，</w:t>
      </w:r>
      <w:r>
        <w:rPr>
          <w:rFonts w:hint="eastAsia" w:ascii="仿宋_GB2312" w:eastAsia="仿宋_GB2312"/>
          <w:spacing w:val="0"/>
          <w:sz w:val="32"/>
          <w:szCs w:val="32"/>
          <w:highlight w:val="none"/>
          <w:lang w:val="en-US" w:eastAsia="zh-CN"/>
        </w:rPr>
        <w:t>结余分配</w:t>
      </w:r>
      <w:r>
        <w:rPr>
          <w:rFonts w:hint="eastAsia" w:ascii="仿宋_GB2312" w:eastAsia="仿宋_GB2312"/>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val="en-US" w:eastAsia="zh-CN"/>
        </w:rPr>
        <w:t>收入支出总计</w:t>
      </w:r>
      <w:r>
        <w:rPr>
          <w:rFonts w:hint="eastAsia" w:ascii="仿宋_GB2312" w:eastAsia="仿宋_GB2312"/>
          <w:spacing w:val="0"/>
          <w:sz w:val="32"/>
          <w:szCs w:val="32"/>
          <w:highlight w:val="none"/>
          <w:lang w:eastAsia="zh-CN"/>
        </w:rPr>
        <w:t>与上年相比，</w:t>
      </w:r>
      <w:r>
        <w:rPr>
          <w:rFonts w:hint="eastAsia" w:ascii="仿宋_GB2312" w:eastAsia="仿宋_GB2312"/>
          <w:spacing w:val="0"/>
          <w:sz w:val="32"/>
          <w:szCs w:val="32"/>
          <w:highlight w:val="none"/>
          <w:lang w:val="zh-CN" w:eastAsia="zh-CN"/>
        </w:rPr>
        <w:t>减少68,422.64万元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en-US" w:eastAsia="zh-CN"/>
        </w:rPr>
        <w:t>下降95.65%</w:t>
      </w:r>
      <w:r>
        <w:rPr>
          <w:rFonts w:hint="eastAsia" w:ascii="仿宋_GB2312" w:eastAsia="仿宋_GB2312"/>
          <w:spacing w:val="0"/>
          <w:sz w:val="32"/>
          <w:szCs w:val="32"/>
          <w:highlight w:val="none"/>
          <w:lang w:eastAsia="zh-CN"/>
        </w:rPr>
        <w:t>，主要原因是：</w:t>
      </w:r>
      <w:r>
        <w:rPr>
          <w:rFonts w:hint="eastAsia" w:ascii="仿宋_GB2312" w:eastAsia="仿宋_GB2312"/>
          <w:spacing w:val="0"/>
          <w:sz w:val="32"/>
          <w:szCs w:val="32"/>
          <w:highlight w:val="none"/>
          <w:lang w:val="en-US" w:eastAsia="zh-CN"/>
        </w:rPr>
        <w:t>2022年给国资公司等国有企业注资69556万元，列入本单位收支，2023年的注资款未列入本单位收支</w:t>
      </w:r>
      <w:r>
        <w:rPr>
          <w:rFonts w:hint="eastAsia" w:ascii="仿宋_GB2312" w:eastAsia="仿宋_GB2312"/>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rPr>
      </w:pPr>
      <w:bookmarkStart w:id="10" w:name="_Toc1979"/>
      <w:bookmarkStart w:id="11" w:name="_Toc12142"/>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rPr>
      </w:pPr>
      <w:r>
        <w:rPr>
          <w:rFonts w:hint="eastAsia" w:ascii="仿宋_GB2312" w:eastAsia="仿宋_GB2312"/>
          <w:sz w:val="32"/>
          <w:szCs w:val="32"/>
          <w:highlight w:val="none"/>
        </w:rPr>
        <w:t>本年收入</w:t>
      </w:r>
      <w:r>
        <w:rPr>
          <w:rFonts w:hint="eastAsia" w:ascii="仿宋_GB2312" w:eastAsia="仿宋_GB2312"/>
          <w:sz w:val="32"/>
          <w:szCs w:val="32"/>
          <w:highlight w:val="none"/>
          <w:lang w:eastAsia="zh-CN"/>
        </w:rPr>
        <w:t>3,115.02</w:t>
      </w:r>
      <w:r>
        <w:rPr>
          <w:rFonts w:hint="eastAsia" w:ascii="仿宋_GB2312" w:eastAsia="仿宋_GB2312"/>
          <w:sz w:val="32"/>
          <w:szCs w:val="32"/>
          <w:highlight w:val="none"/>
        </w:rPr>
        <w:t>万元，其中：财政拨款收入</w:t>
      </w:r>
      <w:r>
        <w:rPr>
          <w:rFonts w:hint="eastAsia" w:ascii="仿宋_GB2312" w:eastAsia="仿宋_GB2312"/>
          <w:sz w:val="32"/>
          <w:szCs w:val="32"/>
          <w:highlight w:val="none"/>
          <w:lang w:val="zh-CN"/>
        </w:rPr>
        <w:t>3,115.02</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100.00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；事业收入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；经营收入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2" w:name="_Toc27961"/>
      <w:bookmarkStart w:id="13" w:name="_Toc13201"/>
      <w:r>
        <w:rPr>
          <w:rFonts w:hint="eastAsia" w:ascii="黑体" w:hAnsi="黑体" w:eastAsia="黑体" w:cs="宋体"/>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sz w:val="30"/>
          <w:szCs w:val="30"/>
          <w:highlight w:val="none"/>
          <w:lang w:val="zh-CN" w:eastAsia="zh-CN"/>
        </w:rPr>
      </w:pPr>
      <w:r>
        <w:rPr>
          <w:rFonts w:hint="eastAsia" w:ascii="Times New Roman" w:hAnsi="Times New Roman" w:eastAsia="仿宋_GB2312" w:cs="仿宋_GB2312"/>
          <w:sz w:val="32"/>
          <w:szCs w:val="32"/>
          <w:highlight w:val="none"/>
          <w:lang w:val="zh-CN" w:eastAsia="zh-CN"/>
        </w:rPr>
        <w:t>本年支出3,115.02万元，其中：基本支出1,509.40万元，占48.46%；项目支出1,605.62万元，占51.54%；上缴上级支出0.00万元，占0.00%；经营支出0.00万元，占0.00%；对附属单位补助支出0.00万元，占0.00%。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4" w:name="_Toc4393"/>
      <w:bookmarkStart w:id="15" w:name="_Toc26564"/>
      <w:r>
        <w:rPr>
          <w:rFonts w:hint="eastAsia" w:ascii="黑体" w:hAnsi="黑体" w:eastAsia="黑体" w:cs="宋体"/>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eastAsia="zh-CN"/>
        </w:rPr>
        <w:t>2023年度财政拨款收入</w:t>
      </w:r>
      <w:r>
        <w:rPr>
          <w:rFonts w:hint="eastAsia" w:ascii="仿宋_GB2312" w:eastAsia="仿宋_GB2312"/>
          <w:spacing w:val="0"/>
          <w:sz w:val="32"/>
          <w:szCs w:val="32"/>
          <w:highlight w:val="none"/>
          <w:lang w:val="en-US" w:eastAsia="zh-CN"/>
        </w:rPr>
        <w:t>总计</w:t>
      </w:r>
      <w:r>
        <w:rPr>
          <w:rFonts w:hint="eastAsia" w:ascii="仿宋_GB2312" w:eastAsia="仿宋_GB2312"/>
          <w:spacing w:val="0"/>
          <w:sz w:val="32"/>
          <w:szCs w:val="32"/>
          <w:highlight w:val="none"/>
          <w:lang w:val="zh-CN" w:eastAsia="zh-CN"/>
        </w:rPr>
        <w:t>3,115.02</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其中：年初财政拨款结转和结余</w:t>
      </w:r>
      <w:r>
        <w:rPr>
          <w:rFonts w:hint="eastAsia" w:ascii="仿宋_GB2312" w:eastAsia="仿宋_GB2312"/>
          <w:spacing w:val="0"/>
          <w:sz w:val="32"/>
          <w:szCs w:val="32"/>
          <w:highlight w:val="none"/>
          <w:lang w:val="zh-CN" w:eastAsia="zh-CN"/>
        </w:rPr>
        <w:t>0.00</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本年财政拨款收入</w:t>
      </w:r>
      <w:r>
        <w:rPr>
          <w:rFonts w:hint="eastAsia" w:ascii="仿宋_GB2312" w:eastAsia="仿宋_GB2312"/>
          <w:spacing w:val="0"/>
          <w:sz w:val="32"/>
          <w:szCs w:val="32"/>
          <w:highlight w:val="none"/>
          <w:lang w:val="zh-CN" w:eastAsia="zh-CN"/>
        </w:rPr>
        <w:t>3,115.02</w:t>
      </w:r>
      <w:r>
        <w:rPr>
          <w:rFonts w:hint="eastAsia" w:ascii="仿宋_GB2312" w:eastAsia="仿宋_GB2312"/>
          <w:spacing w:val="0"/>
          <w:sz w:val="32"/>
          <w:szCs w:val="32"/>
          <w:highlight w:val="none"/>
          <w:lang w:eastAsia="zh-CN"/>
        </w:rPr>
        <w:t>万元。财政拨款支出</w:t>
      </w:r>
      <w:r>
        <w:rPr>
          <w:rFonts w:hint="eastAsia" w:ascii="仿宋_GB2312" w:eastAsia="仿宋_GB2312"/>
          <w:spacing w:val="0"/>
          <w:sz w:val="32"/>
          <w:szCs w:val="32"/>
          <w:highlight w:val="none"/>
          <w:lang w:val="en-US" w:eastAsia="zh-CN"/>
        </w:rPr>
        <w:t>总计</w:t>
      </w:r>
      <w:r>
        <w:rPr>
          <w:rFonts w:hint="eastAsia" w:ascii="仿宋_GB2312" w:eastAsia="仿宋_GB2312"/>
          <w:spacing w:val="0"/>
          <w:sz w:val="32"/>
          <w:szCs w:val="32"/>
          <w:highlight w:val="none"/>
          <w:lang w:val="zh-CN" w:eastAsia="zh-CN"/>
        </w:rPr>
        <w:t>3,115.02</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其中：年末财政拨款结转和结余</w:t>
      </w:r>
      <w:r>
        <w:rPr>
          <w:rFonts w:hint="eastAsia" w:ascii="仿宋_GB2312" w:eastAsia="仿宋_GB2312"/>
          <w:spacing w:val="0"/>
          <w:sz w:val="32"/>
          <w:szCs w:val="32"/>
          <w:highlight w:val="none"/>
          <w:lang w:val="zh-CN" w:eastAsia="zh-CN"/>
        </w:rPr>
        <w:t>0.00</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本年财政拨款支出</w:t>
      </w:r>
      <w:r>
        <w:rPr>
          <w:rFonts w:hint="eastAsia" w:ascii="仿宋_GB2312" w:eastAsia="仿宋_GB2312"/>
          <w:spacing w:val="0"/>
          <w:sz w:val="32"/>
          <w:szCs w:val="32"/>
          <w:highlight w:val="none"/>
          <w:lang w:val="zh-CN" w:eastAsia="zh-CN"/>
        </w:rPr>
        <w:t>3,115.02</w:t>
      </w:r>
      <w:r>
        <w:rPr>
          <w:rFonts w:hint="eastAsia" w:ascii="仿宋_GB2312" w:eastAsia="仿宋_GB2312"/>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pacing w:val="0"/>
          <w:sz w:val="32"/>
          <w:szCs w:val="32"/>
          <w:highlight w:val="none"/>
          <w:lang w:val="en-US" w:eastAsia="zh-CN"/>
        </w:rPr>
      </w:pPr>
      <w:r>
        <w:rPr>
          <w:rFonts w:hint="eastAsia" w:ascii="仿宋_GB2312" w:eastAsia="仿宋_GB2312"/>
          <w:spacing w:val="0"/>
          <w:sz w:val="32"/>
          <w:szCs w:val="32"/>
          <w:highlight w:val="none"/>
          <w:lang w:eastAsia="zh-CN"/>
        </w:rPr>
        <w:t>财政拨款</w:t>
      </w:r>
      <w:r>
        <w:rPr>
          <w:rFonts w:hint="eastAsia" w:ascii="仿宋_GB2312" w:eastAsia="仿宋_GB2312"/>
          <w:spacing w:val="0"/>
          <w:sz w:val="32"/>
          <w:szCs w:val="32"/>
          <w:highlight w:val="none"/>
          <w:lang w:val="en-US" w:eastAsia="zh-CN"/>
        </w:rPr>
        <w:t>收入支出总计</w:t>
      </w:r>
      <w:r>
        <w:rPr>
          <w:rFonts w:hint="eastAsia" w:ascii="仿宋_GB2312" w:eastAsia="仿宋_GB2312"/>
          <w:spacing w:val="0"/>
          <w:sz w:val="32"/>
          <w:szCs w:val="32"/>
          <w:highlight w:val="none"/>
          <w:lang w:eastAsia="zh-CN"/>
        </w:rPr>
        <w:t>与上年相比</w:t>
      </w:r>
      <w:r>
        <w:rPr>
          <w:rFonts w:hint="eastAsia" w:ascii="仿宋_GB2312" w:eastAsia="仿宋_GB2312"/>
          <w:spacing w:val="0"/>
          <w:sz w:val="32"/>
          <w:szCs w:val="32"/>
          <w:highlight w:val="none"/>
          <w:lang w:val="en-US" w:eastAsia="zh-CN"/>
        </w:rPr>
        <w:t>,</w:t>
      </w:r>
      <w:r>
        <w:rPr>
          <w:rFonts w:hint="eastAsia" w:ascii="仿宋_GB2312" w:eastAsia="仿宋_GB2312"/>
          <w:spacing w:val="0"/>
          <w:sz w:val="32"/>
          <w:szCs w:val="32"/>
          <w:highlight w:val="none"/>
          <w:lang w:val="zh-CN" w:eastAsia="zh-CN"/>
        </w:rPr>
        <w:t>减少68,422.64万元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下降95.65%，</w:t>
      </w:r>
      <w:r>
        <w:rPr>
          <w:rFonts w:hint="eastAsia" w:ascii="仿宋_GB2312" w:eastAsia="仿宋_GB2312"/>
          <w:spacing w:val="0"/>
          <w:sz w:val="32"/>
          <w:szCs w:val="32"/>
          <w:highlight w:val="none"/>
          <w:lang w:eastAsia="zh-CN"/>
        </w:rPr>
        <w:t>主要原因是：</w:t>
      </w:r>
      <w:r>
        <w:rPr>
          <w:rFonts w:hint="eastAsia" w:ascii="仿宋_GB2312" w:eastAsia="仿宋_GB2312"/>
          <w:spacing w:val="0"/>
          <w:sz w:val="32"/>
          <w:szCs w:val="32"/>
          <w:highlight w:val="none"/>
          <w:lang w:val="en-US" w:eastAsia="zh-CN"/>
        </w:rPr>
        <w:t>2022年给国资公司等国有企业注资69556万元，列入本单位收支，2023年的注资款未列入本单位收支</w:t>
      </w:r>
      <w:r>
        <w:rPr>
          <w:rFonts w:hint="eastAsia" w:ascii="仿宋_GB2312" w:eastAsia="仿宋_GB2312"/>
          <w:spacing w:val="0"/>
          <w:sz w:val="32"/>
          <w:szCs w:val="32"/>
          <w:highlight w:val="none"/>
          <w:lang w:eastAsia="zh-CN"/>
        </w:rPr>
        <w:t>。与年初预算相比，年初预算数</w:t>
      </w:r>
      <w:r>
        <w:rPr>
          <w:rFonts w:hint="eastAsia" w:ascii="仿宋_GB2312" w:eastAsia="仿宋_GB2312"/>
          <w:spacing w:val="0"/>
          <w:sz w:val="32"/>
          <w:szCs w:val="32"/>
          <w:highlight w:val="none"/>
          <w:lang w:val="zh-CN" w:eastAsia="zh-CN"/>
        </w:rPr>
        <w:t>4,396.50</w:t>
      </w:r>
      <w:r>
        <w:rPr>
          <w:rFonts w:hint="eastAsia" w:ascii="仿宋_GB2312" w:eastAsia="仿宋_GB2312"/>
          <w:spacing w:val="0"/>
          <w:sz w:val="32"/>
          <w:szCs w:val="32"/>
          <w:highlight w:val="none"/>
          <w:lang w:eastAsia="zh-CN"/>
        </w:rPr>
        <w:t>万元，决算数</w:t>
      </w:r>
      <w:r>
        <w:rPr>
          <w:rFonts w:hint="eastAsia" w:ascii="仿宋_GB2312" w:eastAsia="仿宋_GB2312"/>
          <w:spacing w:val="0"/>
          <w:sz w:val="32"/>
          <w:szCs w:val="32"/>
          <w:highlight w:val="none"/>
          <w:lang w:val="zh-CN" w:eastAsia="zh-CN"/>
        </w:rPr>
        <w:t>3,115.02</w:t>
      </w:r>
      <w:r>
        <w:rPr>
          <w:rFonts w:hint="eastAsia" w:ascii="仿宋_GB2312" w:eastAsia="仿宋_GB2312"/>
          <w:spacing w:val="0"/>
          <w:sz w:val="32"/>
          <w:szCs w:val="32"/>
          <w:highlight w:val="none"/>
          <w:lang w:eastAsia="zh-CN"/>
        </w:rPr>
        <w:t>万元，预决算差异率-29.15%，主要原因是：年初预算安排的安全生产基金、国有企业退休人员社会化管理补助资金等专项资金未支付，有些专项资金未全额支付。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6" w:name="_Toc13833"/>
      <w:bookmarkStart w:id="17" w:name="_Toc20360"/>
      <w:r>
        <w:rPr>
          <w:rFonts w:hint="eastAsia" w:ascii="黑体" w:hAnsi="黑体" w:eastAsia="黑体" w:cs="宋体"/>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spacing w:val="0"/>
          <w:sz w:val="32"/>
          <w:szCs w:val="32"/>
          <w:highlight w:val="none"/>
          <w:lang w:eastAsia="zh-CN"/>
        </w:rPr>
        <w:t>2023年度一般公共预算财政拨款支出1,963.00万元，占本年支出合计的</w:t>
      </w:r>
      <w:r>
        <w:rPr>
          <w:rFonts w:hint="eastAsia" w:ascii="仿宋_GB2312" w:eastAsia="仿宋_GB2312"/>
          <w:spacing w:val="0"/>
          <w:sz w:val="32"/>
          <w:szCs w:val="32"/>
          <w:highlight w:val="none"/>
          <w:lang w:val="zh-CN" w:eastAsia="zh-CN"/>
        </w:rPr>
        <w:t>63.02%</w:t>
      </w:r>
      <w:r>
        <w:rPr>
          <w:rFonts w:hint="eastAsia" w:ascii="仿宋_GB2312" w:eastAsia="仿宋_GB2312"/>
          <w:spacing w:val="0"/>
          <w:sz w:val="32"/>
          <w:szCs w:val="32"/>
          <w:highlight w:val="none"/>
          <w:lang w:eastAsia="zh-CN"/>
        </w:rPr>
        <w:t>。与上年相比，</w:t>
      </w:r>
      <w:r>
        <w:rPr>
          <w:rFonts w:hint="eastAsia" w:ascii="仿宋_GB2312" w:eastAsia="仿宋_GB2312"/>
          <w:spacing w:val="0"/>
          <w:sz w:val="32"/>
          <w:szCs w:val="32"/>
          <w:highlight w:val="none"/>
          <w:lang w:val="zh-CN" w:eastAsia="zh-CN"/>
        </w:rPr>
        <w:t>减少69,559.66万元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下降97.26%，</w:t>
      </w:r>
      <w:r>
        <w:rPr>
          <w:rFonts w:hint="eastAsia" w:ascii="仿宋_GB2312" w:eastAsia="仿宋_GB2312"/>
          <w:spacing w:val="0"/>
          <w:sz w:val="32"/>
          <w:szCs w:val="32"/>
          <w:highlight w:val="none"/>
          <w:lang w:eastAsia="zh-CN"/>
        </w:rPr>
        <w:t>主要原因是：</w:t>
      </w:r>
      <w:r>
        <w:rPr>
          <w:rFonts w:hint="eastAsia" w:ascii="仿宋_GB2312" w:eastAsia="仿宋_GB2312"/>
          <w:spacing w:val="0"/>
          <w:sz w:val="32"/>
          <w:szCs w:val="32"/>
          <w:highlight w:val="none"/>
          <w:lang w:val="en-US" w:eastAsia="zh-CN"/>
        </w:rPr>
        <w:t>2022年给国资公司等国有企业注资69556万元，列入本单位一般公共预算收支，2023年的注资款未列入本单位一般公共预算收支</w:t>
      </w:r>
      <w:r>
        <w:rPr>
          <w:rFonts w:hint="eastAsia" w:ascii="仿宋_GB2312" w:eastAsia="仿宋_GB2312"/>
          <w:spacing w:val="0"/>
          <w:sz w:val="32"/>
          <w:szCs w:val="32"/>
          <w:highlight w:val="none"/>
          <w:lang w:eastAsia="zh-CN"/>
        </w:rPr>
        <w:t>。与年初预算相比，年初预算数</w:t>
      </w:r>
      <w:r>
        <w:rPr>
          <w:rFonts w:hint="eastAsia" w:ascii="仿宋_GB2312" w:eastAsia="仿宋_GB2312"/>
          <w:spacing w:val="0"/>
          <w:sz w:val="32"/>
          <w:szCs w:val="32"/>
          <w:highlight w:val="none"/>
          <w:lang w:val="zh-CN" w:eastAsia="zh-CN"/>
        </w:rPr>
        <w:t>1,752.02</w:t>
      </w:r>
      <w:r>
        <w:rPr>
          <w:rFonts w:hint="eastAsia" w:ascii="仿宋_GB2312" w:eastAsia="仿宋_GB2312"/>
          <w:spacing w:val="0"/>
          <w:sz w:val="32"/>
          <w:szCs w:val="32"/>
          <w:highlight w:val="none"/>
          <w:lang w:eastAsia="zh-CN"/>
        </w:rPr>
        <w:t>万元，决算数</w:t>
      </w:r>
      <w:r>
        <w:rPr>
          <w:rFonts w:hint="eastAsia" w:ascii="仿宋_GB2312" w:eastAsia="仿宋_GB2312"/>
          <w:spacing w:val="0"/>
          <w:sz w:val="32"/>
          <w:szCs w:val="32"/>
          <w:highlight w:val="none"/>
          <w:lang w:val="zh-CN" w:eastAsia="zh-CN"/>
        </w:rPr>
        <w:t>1,963.00</w:t>
      </w:r>
      <w:r>
        <w:rPr>
          <w:rFonts w:hint="eastAsia" w:ascii="仿宋_GB2312" w:eastAsia="仿宋_GB2312"/>
          <w:spacing w:val="0"/>
          <w:sz w:val="32"/>
          <w:szCs w:val="32"/>
          <w:highlight w:val="none"/>
          <w:lang w:eastAsia="zh-CN"/>
        </w:rPr>
        <w:t>万元，预决算差异率</w:t>
      </w:r>
      <w:r>
        <w:rPr>
          <w:rFonts w:hint="eastAsia" w:ascii="仿宋_GB2312" w:eastAsia="仿宋_GB2312"/>
          <w:spacing w:val="0"/>
          <w:sz w:val="32"/>
          <w:szCs w:val="32"/>
          <w:highlight w:val="none"/>
          <w:lang w:val="zh-CN" w:eastAsia="zh-CN"/>
        </w:rPr>
        <w:t>12.04%</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shd w:val="clear" w:color="auto" w:fill="auto"/>
          <w:lang w:eastAsia="zh-CN"/>
        </w:rPr>
        <w:t>主要原因是</w:t>
      </w:r>
      <w:r>
        <w:rPr>
          <w:rFonts w:hint="eastAsia" w:ascii="仿宋_GB2312" w:eastAsia="仿宋_GB2312"/>
          <w:spacing w:val="0"/>
          <w:sz w:val="32"/>
          <w:szCs w:val="32"/>
          <w:highlight w:val="none"/>
          <w:shd w:val="clear" w:color="auto" w:fill="auto"/>
          <w:lang w:val="en-US" w:eastAsia="zh-CN"/>
        </w:rPr>
        <w:t>追加园林宾馆注资款、巴州塔里木能源公司股权利润二次分配等项目，导致预决算数存在差异</w:t>
      </w:r>
      <w:r>
        <w:rPr>
          <w:rFonts w:hint="eastAsia" w:ascii="仿宋_GB2312" w:eastAsia="仿宋_GB2312"/>
          <w:spacing w:val="0"/>
          <w:sz w:val="32"/>
          <w:szCs w:val="32"/>
          <w:highlight w:val="none"/>
          <w:shd w:val="clear" w:color="auto" w:fill="auto"/>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default" w:ascii="仿宋_GB2312" w:hAnsi="Times New Roman" w:eastAsia="仿宋_GB2312" w:cs="Times New Roman"/>
          <w:spacing w:val="0"/>
          <w:kern w:val="2"/>
          <w:sz w:val="32"/>
          <w:szCs w:val="32"/>
          <w:lang w:val="zh-CN" w:eastAsia="zh-CN" w:bidi="ar-SA"/>
        </w:rPr>
        <w:t>1.</w:t>
      </w:r>
      <w:r>
        <w:rPr>
          <w:rFonts w:hint="default" w:ascii="仿宋_GB2312" w:hAnsi="Times New Roman" w:eastAsia="仿宋_GB2312" w:cs="Times New Roman"/>
          <w:spacing w:val="0"/>
          <w:kern w:val="2"/>
          <w:sz w:val="32"/>
          <w:szCs w:val="32"/>
          <w:highlight w:val="none"/>
          <w:lang w:val="zh-CN" w:eastAsia="zh-CN" w:bidi="ar-SA"/>
        </w:rPr>
        <w:t>一般公共服务支出（类）</w:t>
      </w:r>
      <w:r>
        <w:rPr>
          <w:rFonts w:hint="eastAsia" w:ascii="仿宋_GB2312" w:hAnsi="Times New Roman" w:eastAsia="仿宋_GB2312" w:cs="Times New Roman"/>
          <w:spacing w:val="0"/>
          <w:kern w:val="2"/>
          <w:sz w:val="32"/>
          <w:szCs w:val="32"/>
          <w:highlight w:val="none"/>
          <w:lang w:val="zh-CN" w:eastAsia="zh-CN" w:bidi="ar-SA"/>
        </w:rPr>
        <w:t>1,250.49</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63.70</w:t>
      </w:r>
      <w:r>
        <w:rPr>
          <w:rFonts w:hint="default" w:ascii="仿宋_GB2312" w:hAnsi="Times New Roman" w:eastAsia="仿宋_GB2312" w:cs="Times New Roman"/>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2</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教育支出（类）</w:t>
      </w:r>
      <w:r>
        <w:rPr>
          <w:rFonts w:hint="eastAsia" w:ascii="仿宋_GB2312" w:hAnsi="Times New Roman" w:eastAsia="仿宋_GB2312" w:cs="Times New Roman"/>
          <w:spacing w:val="0"/>
          <w:kern w:val="2"/>
          <w:sz w:val="32"/>
          <w:szCs w:val="32"/>
          <w:highlight w:val="none"/>
          <w:lang w:val="zh-CN" w:eastAsia="zh-CN" w:bidi="ar-SA"/>
        </w:rPr>
        <w:t>4.95</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0.25</w:t>
      </w:r>
      <w:r>
        <w:rPr>
          <w:rFonts w:hint="default" w:ascii="仿宋_GB2312" w:hAnsi="Times New Roman" w:eastAsia="仿宋_GB2312" w:cs="Times New Roman"/>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3</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社会保障和就业支出（类）</w:t>
      </w:r>
      <w:r>
        <w:rPr>
          <w:rFonts w:hint="eastAsia" w:ascii="仿宋_GB2312" w:hAnsi="Times New Roman" w:eastAsia="仿宋_GB2312" w:cs="Times New Roman"/>
          <w:spacing w:val="0"/>
          <w:kern w:val="2"/>
          <w:sz w:val="32"/>
          <w:szCs w:val="32"/>
          <w:highlight w:val="none"/>
          <w:lang w:val="zh-CN" w:eastAsia="zh-CN" w:bidi="ar-SA"/>
        </w:rPr>
        <w:t>175.71</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8.95</w:t>
      </w:r>
      <w:r>
        <w:rPr>
          <w:rFonts w:hint="default" w:ascii="仿宋_GB2312" w:hAnsi="Times New Roman" w:eastAsia="仿宋_GB2312" w:cs="Times New Roman"/>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4</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卫生健康支出（类）</w:t>
      </w:r>
      <w:r>
        <w:rPr>
          <w:rFonts w:hint="eastAsia" w:ascii="仿宋_GB2312" w:hAnsi="Times New Roman" w:eastAsia="仿宋_GB2312" w:cs="Times New Roman"/>
          <w:spacing w:val="0"/>
          <w:kern w:val="2"/>
          <w:sz w:val="32"/>
          <w:szCs w:val="32"/>
          <w:highlight w:val="none"/>
          <w:lang w:val="zh-CN" w:eastAsia="zh-CN" w:bidi="ar-SA"/>
        </w:rPr>
        <w:t>70.21</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3.58</w:t>
      </w:r>
      <w:r>
        <w:rPr>
          <w:rFonts w:hint="default" w:ascii="仿宋_GB2312" w:hAnsi="Times New Roman" w:eastAsia="仿宋_GB2312" w:cs="Times New Roman"/>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5</w:t>
      </w:r>
      <w:r>
        <w:rPr>
          <w:rFonts w:hint="default" w:ascii="仿宋_GB2312" w:hAnsi="Times New Roman" w:eastAsia="仿宋_GB2312" w:cs="Times New Roman"/>
          <w:spacing w:val="0"/>
          <w:kern w:val="2"/>
          <w:sz w:val="32"/>
          <w:szCs w:val="32"/>
          <w:lang w:val="zh-CN" w:eastAsia="zh-CN" w:bidi="ar-SA"/>
        </w:rPr>
        <w:t>.</w:t>
      </w:r>
      <w:r>
        <w:rPr>
          <w:rFonts w:hint="default" w:ascii="Times New Roman" w:hAnsi="Times New Roman" w:eastAsia="仿宋_GB2312" w:cs="Times New Roman"/>
          <w:kern w:val="2"/>
          <w:sz w:val="30"/>
          <w:szCs w:val="30"/>
          <w:highlight w:val="none"/>
          <w:lang w:val="zh-CN" w:eastAsia="zh-CN" w:bidi="ar-SA"/>
        </w:rPr>
        <w:t>城乡社区（类）支出</w:t>
      </w:r>
      <w:r>
        <w:rPr>
          <w:rFonts w:hint="eastAsia" w:ascii="Times New Roman" w:hAnsi="Times New Roman" w:eastAsia="仿宋_GB2312" w:cs="Times New Roman"/>
          <w:kern w:val="2"/>
          <w:sz w:val="30"/>
          <w:szCs w:val="30"/>
          <w:highlight w:val="none"/>
          <w:lang w:val="zh-CN" w:eastAsia="zh-CN" w:bidi="ar-SA"/>
        </w:rPr>
        <w:t>355.74</w:t>
      </w:r>
      <w:r>
        <w:rPr>
          <w:rFonts w:hint="default" w:ascii="Times New Roman" w:hAnsi="Times New Roman" w:eastAsia="仿宋_GB2312" w:cs="Times New Roman"/>
          <w:kern w:val="2"/>
          <w:sz w:val="30"/>
          <w:szCs w:val="30"/>
          <w:highlight w:val="none"/>
          <w:lang w:val="zh-CN" w:eastAsia="zh-CN" w:bidi="ar-SA"/>
        </w:rPr>
        <w:t xml:space="preserve">万元，占 </w:t>
      </w:r>
      <w:r>
        <w:rPr>
          <w:rFonts w:hint="eastAsia" w:ascii="Times New Roman" w:hAnsi="Times New Roman" w:eastAsia="仿宋_GB2312" w:cs="Times New Roman"/>
          <w:kern w:val="2"/>
          <w:sz w:val="30"/>
          <w:szCs w:val="30"/>
          <w:highlight w:val="none"/>
          <w:lang w:val="zh-CN" w:eastAsia="zh-CN" w:bidi="ar-SA"/>
        </w:rPr>
        <w:t>18.12</w:t>
      </w:r>
      <w:r>
        <w:rPr>
          <w:rFonts w:hint="default" w:ascii="Times New Roman" w:hAnsi="Times New Roman" w:eastAsia="仿宋_GB2312" w:cs="Times New Roman"/>
          <w:kern w:val="2"/>
          <w:sz w:val="30"/>
          <w:szCs w:val="30"/>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default" w:ascii="仿宋_GB2312" w:hAnsi="Times New Roman" w:eastAsia="仿宋_GB2312" w:cs="Times New Roman"/>
          <w:spacing w:val="0"/>
          <w:kern w:val="2"/>
          <w:sz w:val="32"/>
          <w:szCs w:val="32"/>
          <w:lang w:val="zh-CN" w:eastAsia="zh-CN" w:bidi="ar-SA"/>
        </w:rPr>
        <w:t>6.</w:t>
      </w:r>
      <w:r>
        <w:rPr>
          <w:rFonts w:hint="default" w:ascii="仿宋_GB2312" w:hAnsi="Times New Roman" w:eastAsia="仿宋_GB2312" w:cs="Times New Roman"/>
          <w:spacing w:val="0"/>
          <w:kern w:val="2"/>
          <w:sz w:val="32"/>
          <w:szCs w:val="32"/>
          <w:highlight w:val="none"/>
          <w:lang w:val="zh-CN" w:eastAsia="zh-CN" w:bidi="ar-SA"/>
        </w:rPr>
        <w:t>金融支出（类）</w:t>
      </w:r>
      <w:r>
        <w:rPr>
          <w:rFonts w:hint="eastAsia" w:ascii="仿宋_GB2312" w:hAnsi="Times New Roman" w:eastAsia="仿宋_GB2312" w:cs="Times New Roman"/>
          <w:spacing w:val="0"/>
          <w:kern w:val="2"/>
          <w:sz w:val="32"/>
          <w:szCs w:val="32"/>
          <w:highlight w:val="none"/>
          <w:lang w:val="zh-CN" w:eastAsia="zh-CN" w:bidi="ar-SA"/>
        </w:rPr>
        <w:t>18.20</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0.93</w:t>
      </w:r>
      <w:r>
        <w:rPr>
          <w:rFonts w:hint="default" w:ascii="仿宋_GB2312" w:hAnsi="Times New Roman" w:eastAsia="仿宋_GB2312" w:cs="Times New Roman"/>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7</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住房保障支出（类）</w:t>
      </w:r>
      <w:r>
        <w:rPr>
          <w:rFonts w:hint="eastAsia" w:ascii="仿宋_GB2312" w:hAnsi="Times New Roman" w:eastAsia="仿宋_GB2312" w:cs="Times New Roman"/>
          <w:spacing w:val="0"/>
          <w:kern w:val="2"/>
          <w:sz w:val="32"/>
          <w:szCs w:val="32"/>
          <w:highlight w:val="none"/>
          <w:lang w:val="zh-CN" w:eastAsia="zh-CN" w:bidi="ar-SA"/>
        </w:rPr>
        <w:t>87.70</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4.47</w:t>
      </w:r>
      <w:r>
        <w:rPr>
          <w:rFonts w:hint="default" w:ascii="仿宋_GB2312" w:hAnsi="Times New Roman" w:eastAsia="仿宋_GB2312" w:cs="Times New Roman"/>
          <w:spacing w:val="0"/>
          <w:kern w:val="2"/>
          <w:sz w:val="32"/>
          <w:szCs w:val="32"/>
          <w:highlight w:val="none"/>
          <w:lang w:val="zh-CN" w:eastAsia="zh-CN" w:bidi="ar-SA"/>
        </w:rPr>
        <w:t>%</w:t>
      </w:r>
      <w:r>
        <w:rPr>
          <w:rFonts w:hint="eastAsia" w:ascii="仿宋_GB2312"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highlight w:val="yellow"/>
          <w:lang w:val="zh-CN" w:eastAsia="zh-CN" w:bidi="ar-SA"/>
        </w:rPr>
      </w:pPr>
      <w:r>
        <w:rPr>
          <w:rFonts w:hint="eastAsia" w:ascii="仿宋_GB2312" w:eastAsia="仿宋_GB2312" w:cs="Times New Roman"/>
          <w:spacing w:val="0"/>
          <w:kern w:val="2"/>
          <w:sz w:val="32"/>
          <w:szCs w:val="32"/>
          <w:highlight w:val="none"/>
          <w:lang w:val="en-US" w:eastAsia="zh-CN" w:bidi="ar-SA"/>
        </w:rPr>
        <w:t>1</w:t>
      </w:r>
      <w:r>
        <w:rPr>
          <w:rFonts w:hint="eastAsia" w:ascii="仿宋_GB2312" w:hAnsi="Times New Roman" w:eastAsia="仿宋_GB2312" w:cs="Times New Roman"/>
          <w:spacing w:val="0"/>
          <w:kern w:val="2"/>
          <w:sz w:val="32"/>
          <w:szCs w:val="32"/>
          <w:highlight w:val="none"/>
          <w:lang w:val="en-US" w:eastAsia="zh-CN" w:bidi="ar-SA"/>
        </w:rPr>
        <w:t>.一般公共服务支出（类）财政事务（款）行政运行（项）:支出决算数为1,170.83万元，比上年决算增加170.82万元，增长17.08%，主要原因是：</w:t>
      </w:r>
      <w:r>
        <w:rPr>
          <w:rFonts w:hint="eastAsia" w:ascii="仿宋_GB2312" w:hAnsi="Times New Roman" w:eastAsia="仿宋_GB2312" w:cs="Times New Roman"/>
          <w:spacing w:val="0"/>
          <w:kern w:val="2"/>
          <w:sz w:val="32"/>
          <w:szCs w:val="32"/>
          <w:highlight w:val="none"/>
          <w:lang w:val="zh-CN" w:eastAsia="zh-CN" w:bidi="ar-SA"/>
        </w:rPr>
        <w:t>调整绩效工资，人员增加。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2</w:t>
      </w:r>
      <w:r>
        <w:rPr>
          <w:rFonts w:hint="eastAsia" w:ascii="仿宋_GB2312" w:hAnsi="Times New Roman" w:eastAsia="仿宋_GB2312" w:cs="Times New Roman"/>
          <w:spacing w:val="0"/>
          <w:kern w:val="2"/>
          <w:sz w:val="32"/>
          <w:szCs w:val="32"/>
          <w:highlight w:val="none"/>
          <w:lang w:val="en-US" w:eastAsia="zh-CN" w:bidi="ar-SA"/>
        </w:rPr>
        <w:t>.一般公共服务支出（类）财政事务（款）财政委托业务支出（项）:支出决算数为76.66万元，比上年决算减少242.44万元，下降75.98%，主要原因是：委托业务费按进度支付，因2023年进度达不到，未支付完</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en-US" w:eastAsia="zh-CN" w:bidi="ar-SA"/>
        </w:rPr>
      </w:pPr>
      <w:r>
        <w:rPr>
          <w:rFonts w:hint="eastAsia" w:ascii="仿宋_GB2312" w:eastAsia="仿宋_GB2312" w:cs="Times New Roman"/>
          <w:spacing w:val="0"/>
          <w:kern w:val="2"/>
          <w:sz w:val="32"/>
          <w:szCs w:val="32"/>
          <w:highlight w:val="none"/>
          <w:lang w:val="en-US" w:eastAsia="zh-CN" w:bidi="ar-SA"/>
        </w:rPr>
        <w:t>3</w:t>
      </w:r>
      <w:r>
        <w:rPr>
          <w:rFonts w:hint="eastAsia" w:ascii="仿宋_GB2312" w:hAnsi="Times New Roman" w:eastAsia="仿宋_GB2312" w:cs="Times New Roman"/>
          <w:spacing w:val="0"/>
          <w:kern w:val="2"/>
          <w:sz w:val="32"/>
          <w:szCs w:val="32"/>
          <w:highlight w:val="none"/>
          <w:lang w:val="en-US" w:eastAsia="zh-CN" w:bidi="ar-SA"/>
        </w:rPr>
        <w:t>.一般公共服务支出（类）组织事务（款）其他组织事务支出（项）:支出决算数为3.00万元，比上年决算减少3.22万元，下降51.7</w:t>
      </w:r>
      <w:r>
        <w:rPr>
          <w:rFonts w:hint="eastAsia" w:ascii="仿宋_GB2312" w:eastAsia="仿宋_GB2312" w:cs="Times New Roman"/>
          <w:spacing w:val="0"/>
          <w:kern w:val="2"/>
          <w:sz w:val="32"/>
          <w:szCs w:val="32"/>
          <w:highlight w:val="none"/>
          <w:lang w:val="en-US" w:eastAsia="zh-CN" w:bidi="ar-SA"/>
        </w:rPr>
        <w:t>7</w:t>
      </w:r>
      <w:r>
        <w:rPr>
          <w:rFonts w:hint="eastAsia" w:ascii="仿宋_GB2312" w:hAnsi="Times New Roman" w:eastAsia="仿宋_GB2312" w:cs="Times New Roman"/>
          <w:spacing w:val="0"/>
          <w:kern w:val="2"/>
          <w:sz w:val="32"/>
          <w:szCs w:val="32"/>
          <w:highlight w:val="none"/>
          <w:lang w:val="en-US" w:eastAsia="zh-CN" w:bidi="ar-SA"/>
        </w:rPr>
        <w:t>%，主要原因是：2022年工作队开展工作多，支出就多</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4</w:t>
      </w:r>
      <w:r>
        <w:rPr>
          <w:rFonts w:hint="eastAsia" w:ascii="仿宋_GB2312" w:hAnsi="Times New Roman" w:eastAsia="仿宋_GB2312" w:cs="Times New Roman"/>
          <w:spacing w:val="0"/>
          <w:kern w:val="2"/>
          <w:sz w:val="32"/>
          <w:szCs w:val="32"/>
          <w:highlight w:val="none"/>
          <w:lang w:val="en-US" w:eastAsia="zh-CN" w:bidi="ar-SA"/>
        </w:rPr>
        <w:t>.教育支出（类）进修及培训（款）培训支出（项）:支出决算数为4.95万元，比上年决算增加4.95万元，增长100%，主要原因是：2022年疫情原因未安排人员培训，2023年安排人员培训</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5</w:t>
      </w:r>
      <w:r>
        <w:rPr>
          <w:rFonts w:hint="eastAsia" w:ascii="仿宋_GB2312" w:hAnsi="Times New Roman" w:eastAsia="仿宋_GB2312" w:cs="Times New Roman"/>
          <w:spacing w:val="0"/>
          <w:kern w:val="2"/>
          <w:sz w:val="32"/>
          <w:szCs w:val="32"/>
          <w:highlight w:val="none"/>
          <w:lang w:val="en-US" w:eastAsia="zh-CN" w:bidi="ar-SA"/>
        </w:rPr>
        <w:t>.社会保障和就业支出（类）行政事业单位养老支出（款）行政单位离退休（项）:支出决算数为52.31万元，比上年决算增加19.70万元，增长60.4</w:t>
      </w:r>
      <w:r>
        <w:rPr>
          <w:rFonts w:hint="eastAsia" w:ascii="仿宋_GB2312" w:eastAsia="仿宋_GB2312" w:cs="Times New Roman"/>
          <w:spacing w:val="0"/>
          <w:kern w:val="2"/>
          <w:sz w:val="32"/>
          <w:szCs w:val="32"/>
          <w:highlight w:val="none"/>
          <w:lang w:val="en-US" w:eastAsia="zh-CN" w:bidi="ar-SA"/>
        </w:rPr>
        <w:t>1</w:t>
      </w:r>
      <w:r>
        <w:rPr>
          <w:rFonts w:hint="eastAsia" w:ascii="仿宋_GB2312" w:hAnsi="Times New Roman" w:eastAsia="仿宋_GB2312" w:cs="Times New Roman"/>
          <w:spacing w:val="0"/>
          <w:kern w:val="2"/>
          <w:sz w:val="32"/>
          <w:szCs w:val="32"/>
          <w:highlight w:val="none"/>
          <w:lang w:val="en-US" w:eastAsia="zh-CN" w:bidi="ar-SA"/>
        </w:rPr>
        <w:t>%，主要原因是：</w:t>
      </w:r>
      <w:r>
        <w:rPr>
          <w:rFonts w:hint="eastAsia" w:ascii="仿宋_GB2312" w:eastAsia="仿宋_GB2312" w:cs="Times New Roman"/>
          <w:spacing w:val="0"/>
          <w:kern w:val="2"/>
          <w:sz w:val="32"/>
          <w:szCs w:val="32"/>
          <w:highlight w:val="none"/>
          <w:lang w:val="en-US" w:eastAsia="zh-CN" w:bidi="ar-SA"/>
        </w:rPr>
        <w:t>基础绩效奖调整，此项支出增加</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en-US" w:eastAsia="zh-CN" w:bidi="ar-SA"/>
        </w:rPr>
      </w:pPr>
      <w:r>
        <w:rPr>
          <w:rFonts w:hint="eastAsia" w:ascii="仿宋_GB2312" w:eastAsia="仿宋_GB2312" w:cs="Times New Roman"/>
          <w:spacing w:val="0"/>
          <w:kern w:val="2"/>
          <w:sz w:val="32"/>
          <w:szCs w:val="32"/>
          <w:highlight w:val="none"/>
          <w:lang w:val="en-US" w:eastAsia="zh-CN" w:bidi="ar-SA"/>
        </w:rPr>
        <w:t>6</w:t>
      </w:r>
      <w:r>
        <w:rPr>
          <w:rFonts w:hint="eastAsia" w:ascii="仿宋_GB2312" w:hAnsi="Times New Roman" w:eastAsia="仿宋_GB2312" w:cs="Times New Roman"/>
          <w:spacing w:val="0"/>
          <w:kern w:val="2"/>
          <w:sz w:val="32"/>
          <w:szCs w:val="32"/>
          <w:highlight w:val="none"/>
          <w:lang w:val="en-US" w:eastAsia="zh-CN" w:bidi="ar-SA"/>
        </w:rPr>
        <w:t>.社会保障和就业支出（类）行政事业单位养老支出（款）机关事业单位基本养老保险缴费支出（项）:支出决算数为110.50万元，比上年决算增加2.57万元，增长2.38%，主要原因是：</w:t>
      </w:r>
      <w:r>
        <w:rPr>
          <w:rFonts w:hint="eastAsia" w:ascii="仿宋_GB2312" w:hAnsi="Times New Roman" w:eastAsia="仿宋_GB2312" w:cs="Times New Roman"/>
          <w:spacing w:val="0"/>
          <w:kern w:val="2"/>
          <w:sz w:val="32"/>
          <w:szCs w:val="32"/>
          <w:highlight w:val="none"/>
          <w:lang w:val="zh-CN" w:eastAsia="zh-CN" w:bidi="ar-SA"/>
        </w:rPr>
        <w:t>人员增加。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7</w:t>
      </w:r>
      <w:r>
        <w:rPr>
          <w:rFonts w:hint="eastAsia" w:ascii="仿宋_GB2312" w:hAnsi="Times New Roman" w:eastAsia="仿宋_GB2312" w:cs="Times New Roman"/>
          <w:spacing w:val="0"/>
          <w:kern w:val="2"/>
          <w:sz w:val="32"/>
          <w:szCs w:val="32"/>
          <w:highlight w:val="none"/>
          <w:lang w:val="en-US" w:eastAsia="zh-CN" w:bidi="ar-SA"/>
        </w:rPr>
        <w:t>.社会保障和就业支出（类）行政事业单位养老支出（款）机关事业单位职业年金缴费支出（项）:支出决算数为12.89万元，比上年决算减少9.42万元，下降42.23%，主要原因是：</w:t>
      </w:r>
      <w:r>
        <w:rPr>
          <w:rFonts w:hint="eastAsia" w:ascii="仿宋_GB2312" w:eastAsia="仿宋_GB2312" w:cs="Times New Roman"/>
          <w:spacing w:val="0"/>
          <w:kern w:val="2"/>
          <w:sz w:val="32"/>
          <w:szCs w:val="32"/>
          <w:highlight w:val="none"/>
          <w:lang w:val="en-US" w:eastAsia="zh-CN" w:bidi="ar-SA"/>
        </w:rPr>
        <w:t>职工退休时一次性缴纳职业年金单位部分，</w:t>
      </w:r>
      <w:r>
        <w:rPr>
          <w:rFonts w:hint="eastAsia" w:ascii="仿宋_GB2312" w:hAnsi="Times New Roman" w:eastAsia="仿宋_GB2312" w:cs="Times New Roman"/>
          <w:spacing w:val="0"/>
          <w:kern w:val="2"/>
          <w:sz w:val="32"/>
          <w:szCs w:val="32"/>
          <w:highlight w:val="none"/>
          <w:lang w:val="en-US" w:eastAsia="zh-CN" w:bidi="ar-SA"/>
        </w:rPr>
        <w:t>2022年退休人员多</w:t>
      </w:r>
      <w:r>
        <w:rPr>
          <w:rFonts w:hint="eastAsia" w:ascii="仿宋_GB2312" w:eastAsia="仿宋_GB2312" w:cs="Times New Roman"/>
          <w:spacing w:val="0"/>
          <w:kern w:val="2"/>
          <w:sz w:val="32"/>
          <w:szCs w:val="32"/>
          <w:highlight w:val="none"/>
          <w:lang w:val="en-US" w:eastAsia="zh-CN" w:bidi="ar-SA"/>
        </w:rPr>
        <w:t>，</w:t>
      </w:r>
      <w:r>
        <w:rPr>
          <w:rFonts w:hint="eastAsia" w:ascii="仿宋_GB2312" w:hAnsi="Times New Roman" w:eastAsia="仿宋_GB2312" w:cs="Times New Roman"/>
          <w:spacing w:val="0"/>
          <w:kern w:val="2"/>
          <w:sz w:val="32"/>
          <w:szCs w:val="32"/>
          <w:highlight w:val="none"/>
          <w:lang w:val="en-US" w:eastAsia="zh-CN" w:bidi="ar-SA"/>
        </w:rPr>
        <w:t>2023年退休人员少</w:t>
      </w:r>
      <w:r>
        <w:rPr>
          <w:rFonts w:hint="eastAsia" w:ascii="仿宋_GB2312" w:eastAsia="仿宋_GB2312" w:cs="Times New Roman"/>
          <w:spacing w:val="0"/>
          <w:kern w:val="2"/>
          <w:sz w:val="32"/>
          <w:szCs w:val="32"/>
          <w:highlight w:val="none"/>
          <w:lang w:val="en-US" w:eastAsia="zh-CN" w:bidi="ar-SA"/>
        </w:rPr>
        <w:t>，2023年职业年金缴费支出减少</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8.</w:t>
      </w:r>
      <w:r>
        <w:rPr>
          <w:rFonts w:hint="eastAsia" w:ascii="仿宋_GB2312" w:hAnsi="Times New Roman" w:eastAsia="仿宋_GB2312" w:cs="Times New Roman"/>
          <w:spacing w:val="0"/>
          <w:kern w:val="2"/>
          <w:sz w:val="32"/>
          <w:szCs w:val="32"/>
          <w:highlight w:val="none"/>
          <w:lang w:val="en-US" w:eastAsia="zh-CN" w:bidi="ar-SA"/>
        </w:rPr>
        <w:t>卫生健康支出（类）行政事业单位医疗（款）行政单位医疗（项）:支出决算数为53.25万元，比上年决算减少28.41万元，下降34.79%，主要原因是：2023年度退休人员医疗保险未支出</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 xml:space="preserve"> 9</w:t>
      </w:r>
      <w:r>
        <w:rPr>
          <w:rFonts w:hint="eastAsia" w:ascii="仿宋_GB2312" w:hAnsi="Times New Roman" w:eastAsia="仿宋_GB2312" w:cs="Times New Roman"/>
          <w:spacing w:val="0"/>
          <w:kern w:val="2"/>
          <w:sz w:val="32"/>
          <w:szCs w:val="32"/>
          <w:highlight w:val="none"/>
          <w:lang w:val="en-US" w:eastAsia="zh-CN" w:bidi="ar-SA"/>
        </w:rPr>
        <w:t>.卫生健康支出（类）行政事业单位医疗（款）公务员医疗补助（项）:支出决算数为16.97万元，比上年决算减少16.17万元，下降48.79%，主要原因是：</w:t>
      </w:r>
      <w:r>
        <w:rPr>
          <w:rFonts w:hint="eastAsia" w:ascii="仿宋_GB2312" w:hAnsi="Times New Roman" w:eastAsia="仿宋_GB2312" w:cs="Times New Roman"/>
          <w:spacing w:val="0"/>
          <w:kern w:val="2"/>
          <w:sz w:val="32"/>
          <w:szCs w:val="32"/>
          <w:highlight w:val="none"/>
          <w:lang w:val="zh-CN" w:eastAsia="zh-CN" w:bidi="ar-SA"/>
        </w:rPr>
        <w:t>退休人员公务员医疗未支出。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hAnsi="Times New Roman" w:eastAsia="仿宋_GB2312" w:cs="Times New Roman"/>
          <w:spacing w:val="0"/>
          <w:kern w:val="2"/>
          <w:sz w:val="32"/>
          <w:szCs w:val="32"/>
          <w:highlight w:val="none"/>
          <w:lang w:val="en-US" w:eastAsia="zh-CN" w:bidi="ar-SA"/>
        </w:rPr>
        <w:t>1</w:t>
      </w:r>
      <w:r>
        <w:rPr>
          <w:rFonts w:hint="eastAsia" w:ascii="仿宋_GB2312" w:eastAsia="仿宋_GB2312" w:cs="Times New Roman"/>
          <w:spacing w:val="0"/>
          <w:kern w:val="2"/>
          <w:sz w:val="32"/>
          <w:szCs w:val="32"/>
          <w:highlight w:val="none"/>
          <w:lang w:val="en-US" w:eastAsia="zh-CN" w:bidi="ar-SA"/>
        </w:rPr>
        <w:t>0</w:t>
      </w:r>
      <w:r>
        <w:rPr>
          <w:rFonts w:hint="eastAsia" w:ascii="仿宋_GB2312" w:hAnsi="Times New Roman" w:eastAsia="仿宋_GB2312" w:cs="Times New Roman"/>
          <w:spacing w:val="0"/>
          <w:kern w:val="2"/>
          <w:sz w:val="32"/>
          <w:szCs w:val="32"/>
          <w:highlight w:val="none"/>
          <w:lang w:val="en-US" w:eastAsia="zh-CN" w:bidi="ar-SA"/>
        </w:rPr>
        <w:t>.城乡社区支出（类）城乡社区规划与管理（款）城乡社区规划与管理（项）:支出决算数为0.00万元，比上年决算减少1,000.00万元，下降100%，主要原因是：2022年支出金仓粮油收储有限公司注资款，2023年没有</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hAnsi="Times New Roman" w:eastAsia="仿宋_GB2312" w:cs="Times New Roman"/>
          <w:spacing w:val="0"/>
          <w:kern w:val="2"/>
          <w:sz w:val="32"/>
          <w:szCs w:val="32"/>
          <w:highlight w:val="none"/>
          <w:lang w:val="en-US" w:eastAsia="zh-CN" w:bidi="ar-SA"/>
        </w:rPr>
        <w:t>1</w:t>
      </w:r>
      <w:r>
        <w:rPr>
          <w:rFonts w:hint="eastAsia" w:ascii="仿宋_GB2312" w:eastAsia="仿宋_GB2312" w:cs="Times New Roman"/>
          <w:spacing w:val="0"/>
          <w:kern w:val="2"/>
          <w:sz w:val="32"/>
          <w:szCs w:val="32"/>
          <w:highlight w:val="none"/>
          <w:lang w:val="en-US" w:eastAsia="zh-CN" w:bidi="ar-SA"/>
        </w:rPr>
        <w:t>1</w:t>
      </w:r>
      <w:r>
        <w:rPr>
          <w:rFonts w:hint="eastAsia" w:ascii="仿宋_GB2312" w:hAnsi="Times New Roman" w:eastAsia="仿宋_GB2312" w:cs="Times New Roman"/>
          <w:spacing w:val="0"/>
          <w:kern w:val="2"/>
          <w:sz w:val="32"/>
          <w:szCs w:val="32"/>
          <w:highlight w:val="none"/>
          <w:lang w:val="en-US" w:eastAsia="zh-CN" w:bidi="ar-SA"/>
        </w:rPr>
        <w:t>.城乡社区支出（类）城乡社区公共设施（款）其他城乡社区公共设施支出（项）:支出决算数为0.00万元，比上年决算减少280.00万元，下降100%，主要原因是：2022年支付环亚交投股份资本金，2023年没有</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12.</w:t>
      </w:r>
      <w:r>
        <w:rPr>
          <w:rFonts w:hint="eastAsia" w:ascii="仿宋_GB2312" w:hAnsi="Times New Roman" w:eastAsia="仿宋_GB2312" w:cs="Times New Roman"/>
          <w:spacing w:val="0"/>
          <w:kern w:val="2"/>
          <w:sz w:val="32"/>
          <w:szCs w:val="32"/>
          <w:highlight w:val="none"/>
          <w:lang w:val="en-US" w:eastAsia="zh-CN" w:bidi="ar-SA"/>
        </w:rPr>
        <w:t>城乡社区支出（类）其他城乡社区支出（款）其他城乡社区支出（项）:支出决算数为355.74万元，比上年决算减少38,951.73万元，下降99.09%，主要原因是：2022年有环亚交投等项目款，2023年只有国资公司注资款及利润分红355.74万元</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hAnsi="Times New Roman" w:eastAsia="仿宋_GB2312" w:cs="Times New Roman"/>
          <w:spacing w:val="0"/>
          <w:kern w:val="2"/>
          <w:sz w:val="32"/>
          <w:szCs w:val="32"/>
          <w:highlight w:val="none"/>
          <w:lang w:val="en-US" w:eastAsia="zh-CN" w:bidi="ar-SA"/>
        </w:rPr>
        <w:t>1</w:t>
      </w:r>
      <w:r>
        <w:rPr>
          <w:rFonts w:hint="eastAsia" w:ascii="仿宋_GB2312" w:eastAsia="仿宋_GB2312" w:cs="Times New Roman"/>
          <w:spacing w:val="0"/>
          <w:kern w:val="2"/>
          <w:sz w:val="32"/>
          <w:szCs w:val="32"/>
          <w:highlight w:val="none"/>
          <w:lang w:val="en-US" w:eastAsia="zh-CN" w:bidi="ar-SA"/>
        </w:rPr>
        <w:t>3</w:t>
      </w:r>
      <w:r>
        <w:rPr>
          <w:rFonts w:hint="eastAsia" w:ascii="仿宋_GB2312" w:hAnsi="Times New Roman" w:eastAsia="仿宋_GB2312" w:cs="Times New Roman"/>
          <w:spacing w:val="0"/>
          <w:kern w:val="2"/>
          <w:sz w:val="32"/>
          <w:szCs w:val="32"/>
          <w:highlight w:val="none"/>
          <w:lang w:val="en-US" w:eastAsia="zh-CN" w:bidi="ar-SA"/>
        </w:rPr>
        <w:t>.资源勘探工业信息等支出（类）制造业（款）纺织业（项）:支出决算数为0.00万元，比上年决算减少808.20万元，下降100%，主要原因是：2022年支付国资公司注资款，2023年没有</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14.</w:t>
      </w:r>
      <w:r>
        <w:rPr>
          <w:rFonts w:hint="eastAsia" w:ascii="仿宋_GB2312" w:hAnsi="Times New Roman" w:eastAsia="仿宋_GB2312" w:cs="Times New Roman"/>
          <w:spacing w:val="0"/>
          <w:kern w:val="2"/>
          <w:sz w:val="32"/>
          <w:szCs w:val="32"/>
          <w:highlight w:val="none"/>
          <w:lang w:val="en-US" w:eastAsia="zh-CN" w:bidi="ar-SA"/>
        </w:rPr>
        <w:t>金融支出（类）金融发展支出（款）利息费用补贴支出（项）:支出决算数为18.20万元，比上年决算增加18.20万元，增长100%，主要原因是：2022年未安排个体工商户小额贷款贴息项目</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15.</w:t>
      </w:r>
      <w:r>
        <w:rPr>
          <w:rFonts w:hint="eastAsia" w:ascii="仿宋_GB2312" w:hAnsi="Times New Roman" w:eastAsia="仿宋_GB2312" w:cs="Times New Roman"/>
          <w:spacing w:val="0"/>
          <w:kern w:val="2"/>
          <w:sz w:val="32"/>
          <w:szCs w:val="32"/>
          <w:highlight w:val="none"/>
          <w:lang w:val="en-US" w:eastAsia="zh-CN" w:bidi="ar-SA"/>
        </w:rPr>
        <w:t>住房保障支出（类）保障性安居工程支出（款）棚户区改造（项）:支出决算数为0.00万元，比上年决算减少3,351.00万元，下降100%，主要原因是：2022年支付国资公司注资款，2023年没有</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16.</w:t>
      </w:r>
      <w:r>
        <w:rPr>
          <w:rFonts w:hint="eastAsia" w:ascii="仿宋_GB2312" w:hAnsi="Times New Roman" w:eastAsia="仿宋_GB2312" w:cs="Times New Roman"/>
          <w:spacing w:val="0"/>
          <w:kern w:val="2"/>
          <w:sz w:val="32"/>
          <w:szCs w:val="32"/>
          <w:highlight w:val="none"/>
          <w:lang w:val="en-US" w:eastAsia="zh-CN" w:bidi="ar-SA"/>
        </w:rPr>
        <w:t>住房保障支出（类）保障性安居工程支出（款）公共租赁住房（项）:支出决算数为0.00万元，比上年决算减少320.00万元，下降100%，主要原因是：2022年支付国资公司注资款，2023年没有</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17.</w:t>
      </w:r>
      <w:r>
        <w:rPr>
          <w:rFonts w:hint="eastAsia" w:ascii="仿宋_GB2312" w:hAnsi="Times New Roman" w:eastAsia="仿宋_GB2312" w:cs="Times New Roman"/>
          <w:spacing w:val="0"/>
          <w:kern w:val="2"/>
          <w:sz w:val="32"/>
          <w:szCs w:val="32"/>
          <w:highlight w:val="none"/>
          <w:lang w:val="en-US" w:eastAsia="zh-CN" w:bidi="ar-SA"/>
        </w:rPr>
        <w:t>住房保障支出（类）保障性安居工程支出（款）老旧小区改造（项）:支出决算数为0.00万元，比上年决算减少8,143.00万元，下降100%，主要原因是：2022年支付国资公司注资款，2023年没有</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18</w:t>
      </w:r>
      <w:r>
        <w:rPr>
          <w:rFonts w:hint="eastAsia" w:ascii="仿宋_GB2312" w:hAnsi="Times New Roman" w:eastAsia="仿宋_GB2312" w:cs="Times New Roman"/>
          <w:spacing w:val="0"/>
          <w:kern w:val="2"/>
          <w:sz w:val="32"/>
          <w:szCs w:val="32"/>
          <w:highlight w:val="none"/>
          <w:lang w:val="en-US" w:eastAsia="zh-CN" w:bidi="ar-SA"/>
        </w:rPr>
        <w:t>.住房保障支出（类）保障性安居工程支出（款）其他保障性安居工程支出（项）:支出决算数为0.00万元，比上年决算减少6,096.00万元，下降100%，主要原因是：2022年支付国资公司注资款，2023年没有</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19</w:t>
      </w:r>
      <w:r>
        <w:rPr>
          <w:rFonts w:hint="eastAsia" w:ascii="仿宋_GB2312" w:hAnsi="Times New Roman" w:eastAsia="仿宋_GB2312" w:cs="Times New Roman"/>
          <w:spacing w:val="0"/>
          <w:kern w:val="2"/>
          <w:sz w:val="32"/>
          <w:szCs w:val="32"/>
          <w:highlight w:val="none"/>
          <w:lang w:val="en-US" w:eastAsia="zh-CN" w:bidi="ar-SA"/>
        </w:rPr>
        <w:t>.住房保障支出（类）住房改革支出（款）住房公积金（项）:支出决算数为87.70万元，比上年决算增加3.69万元，增长4.39%，主要原因是：</w:t>
      </w:r>
      <w:r>
        <w:rPr>
          <w:rFonts w:hint="eastAsia" w:ascii="仿宋_GB2312" w:hAnsi="Times New Roman" w:eastAsia="仿宋_GB2312" w:cs="Times New Roman"/>
          <w:spacing w:val="0"/>
          <w:kern w:val="2"/>
          <w:sz w:val="32"/>
          <w:szCs w:val="32"/>
          <w:highlight w:val="none"/>
          <w:lang w:val="zh-CN" w:eastAsia="zh-CN" w:bidi="ar-SA"/>
        </w:rPr>
        <w:t>人员增加，工资调整。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highlight w:val="none"/>
          <w:lang w:val="en-US" w:eastAsia="zh-CN" w:bidi="ar-SA"/>
        </w:rPr>
        <w:t>20</w:t>
      </w:r>
      <w:r>
        <w:rPr>
          <w:rFonts w:hint="eastAsia" w:ascii="仿宋_GB2312" w:hAnsi="Times New Roman" w:eastAsia="仿宋_GB2312" w:cs="Times New Roman"/>
          <w:spacing w:val="0"/>
          <w:kern w:val="2"/>
          <w:sz w:val="32"/>
          <w:szCs w:val="32"/>
          <w:highlight w:val="none"/>
          <w:lang w:val="en-US" w:eastAsia="zh-CN" w:bidi="ar-SA"/>
        </w:rPr>
        <w:t>.其他支出（类）其他支出（款）其他支出（项）:支出决算数为0.00万元，比上年决算减少10,530.00万元，下降100%，主要原因是：2022年其他支出为国资公司注资款，2023年没有</w:t>
      </w:r>
      <w:r>
        <w:rPr>
          <w:rFonts w:hint="eastAsia" w:ascii="仿宋_GB2312" w:hAnsi="Times New Roman" w:eastAsia="仿宋_GB2312" w:cs="Times New Roman"/>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pacing w:val="0"/>
          <w:sz w:val="32"/>
          <w:szCs w:val="32"/>
          <w:highlight w:val="none"/>
          <w:lang w:eastAsia="zh-CN"/>
        </w:rPr>
        <w:t>2023年度</w:t>
      </w:r>
      <w:r>
        <w:rPr>
          <w:rFonts w:hint="eastAsia" w:ascii="仿宋_GB2312" w:eastAsia="仿宋_GB2312"/>
          <w:sz w:val="32"/>
          <w:szCs w:val="32"/>
          <w:highlight w:val="none"/>
        </w:rPr>
        <w:t>一般公共预算财政拨款基本支出</w:t>
      </w:r>
      <w:r>
        <w:rPr>
          <w:rFonts w:hint="eastAsia" w:ascii="仿宋_GB2312" w:eastAsia="仿宋_GB2312"/>
          <w:sz w:val="32"/>
          <w:szCs w:val="32"/>
          <w:highlight w:val="none"/>
          <w:lang w:eastAsia="zh-CN"/>
        </w:rPr>
        <w:t>1,509.40</w:t>
      </w:r>
      <w:r>
        <w:rPr>
          <w:rFonts w:hint="eastAsia" w:ascii="仿宋_GB2312" w:eastAsia="仿宋_GB2312"/>
          <w:sz w:val="32"/>
          <w:szCs w:val="32"/>
          <w:highlight w:val="none"/>
        </w:rPr>
        <w:t>万元，其中：人员经费</w:t>
      </w:r>
      <w:r>
        <w:rPr>
          <w:rFonts w:hint="eastAsia" w:ascii="仿宋_GB2312" w:eastAsia="仿宋_GB2312"/>
          <w:sz w:val="32"/>
          <w:szCs w:val="32"/>
          <w:highlight w:val="none"/>
          <w:lang w:eastAsia="zh-CN"/>
        </w:rPr>
        <w:t>1,332.26</w:t>
      </w:r>
      <w:r>
        <w:rPr>
          <w:rFonts w:hint="eastAsia" w:ascii="仿宋_GB2312" w:eastAsia="仿宋_GB2312"/>
          <w:sz w:val="32"/>
          <w:szCs w:val="32"/>
          <w:highlight w:val="none"/>
        </w:rPr>
        <w:t>万元，包括：</w:t>
      </w:r>
      <w:r>
        <w:rPr>
          <w:rFonts w:hint="eastAsia" w:ascii="仿宋_GB2312" w:eastAsia="仿宋_GB2312"/>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医疗费、其他工资福利支出、退休费、抚恤金、生活补助、医疗费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sz w:val="32"/>
          <w:szCs w:val="32"/>
          <w:highlight w:val="red"/>
          <w:lang w:val="en-US" w:eastAsia="zh-CN"/>
        </w:rPr>
      </w:pPr>
      <w:r>
        <w:rPr>
          <w:rFonts w:hint="eastAsia" w:ascii="仿宋_GB2312" w:eastAsia="仿宋_GB2312"/>
          <w:sz w:val="32"/>
          <w:szCs w:val="32"/>
          <w:highlight w:val="none"/>
        </w:rPr>
        <w:t>公用经费</w:t>
      </w:r>
      <w:r>
        <w:rPr>
          <w:rFonts w:hint="eastAsia" w:ascii="仿宋_GB2312" w:eastAsia="仿宋_GB2312"/>
          <w:sz w:val="32"/>
          <w:szCs w:val="32"/>
          <w:highlight w:val="none"/>
          <w:lang w:eastAsia="zh-CN"/>
        </w:rPr>
        <w:t>177.13</w:t>
      </w:r>
      <w:r>
        <w:rPr>
          <w:rFonts w:hint="eastAsia" w:ascii="仿宋_GB2312" w:eastAsia="仿宋_GB2312"/>
          <w:sz w:val="32"/>
          <w:szCs w:val="32"/>
          <w:highlight w:val="none"/>
        </w:rPr>
        <w:t>万元，包括：</w:t>
      </w:r>
      <w:r>
        <w:rPr>
          <w:rFonts w:hint="eastAsia" w:ascii="仿宋_GB2312" w:eastAsia="仿宋_GB2312"/>
          <w:sz w:val="32"/>
          <w:szCs w:val="32"/>
          <w:highlight w:val="none"/>
          <w:lang w:val="en-US" w:eastAsia="zh-CN"/>
        </w:rPr>
        <w:t>办公费、水费、电费、邮电费、物业管理费、差旅费、维修（护）费、租赁费、培训费、委托业务费、工会经费、福利费、公务用车运行维护费、其他交通费用、办公设备购置。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2023年度</w:t>
      </w:r>
      <w:r>
        <w:rPr>
          <w:rFonts w:hint="eastAsia" w:ascii="仿宋_GB2312" w:eastAsia="仿宋_GB2312"/>
          <w:sz w:val="32"/>
          <w:szCs w:val="32"/>
          <w:highlight w:val="none"/>
          <w:lang w:val="en-US" w:eastAsia="zh-CN"/>
        </w:rPr>
        <w:t>财政拨款</w:t>
      </w:r>
      <w:r>
        <w:rPr>
          <w:rFonts w:hint="eastAsia" w:ascii="仿宋_GB2312" w:eastAsia="仿宋_GB2312"/>
          <w:sz w:val="32"/>
          <w:szCs w:val="32"/>
          <w:highlight w:val="none"/>
          <w:lang w:val="zh-CN" w:eastAsia="zh-CN"/>
        </w:rPr>
        <w:t>“三公”经费支出</w:t>
      </w:r>
      <w:r>
        <w:rPr>
          <w:rFonts w:hint="eastAsia" w:ascii="仿宋_GB2312" w:eastAsia="仿宋_GB2312"/>
          <w:sz w:val="32"/>
          <w:szCs w:val="32"/>
          <w:highlight w:val="none"/>
          <w:lang w:val="en-US" w:eastAsia="zh-CN"/>
        </w:rPr>
        <w:t>决算</w:t>
      </w:r>
      <w:r>
        <w:rPr>
          <w:rFonts w:hint="eastAsia" w:ascii="仿宋_GB2312" w:eastAsia="仿宋_GB2312"/>
          <w:sz w:val="32"/>
          <w:szCs w:val="32"/>
          <w:highlight w:val="none"/>
          <w:lang w:val="zh-CN" w:eastAsia="zh-CN"/>
        </w:rPr>
        <w:t>8.98万元，</w:t>
      </w:r>
      <w:r>
        <w:rPr>
          <w:rFonts w:hint="eastAsia" w:ascii="仿宋_GB2312" w:eastAsia="仿宋_GB2312"/>
          <w:sz w:val="32"/>
          <w:szCs w:val="32"/>
          <w:highlight w:val="none"/>
          <w:lang w:val="en-US" w:eastAsia="zh-CN"/>
        </w:rPr>
        <w:t>比上年</w:t>
      </w:r>
      <w:r>
        <w:rPr>
          <w:rFonts w:hint="eastAsia" w:ascii="仿宋_GB2312" w:eastAsia="仿宋_GB2312"/>
          <w:sz w:val="32"/>
          <w:szCs w:val="32"/>
          <w:highlight w:val="none"/>
          <w:lang w:val="zh-CN" w:eastAsia="zh-CN"/>
        </w:rPr>
        <w:t>减少0.01万元，下降0.</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lang w:val="zh-CN" w:eastAsia="zh-CN"/>
        </w:rPr>
        <w:t>%，主要原因是：本年压缩三公经费开支。其中：因公出国（境）费支出0.00万元，占0.00%，比上年增加0.00万元，增长0.00%，主要原因是：</w:t>
      </w:r>
      <w:r>
        <w:rPr>
          <w:rFonts w:hint="eastAsia" w:ascii="仿宋_GB2312" w:hAnsi="Times New Roman" w:eastAsia="仿宋_GB2312" w:cs="Times New Roman"/>
          <w:color w:val="auto"/>
          <w:sz w:val="31"/>
          <w:szCs w:val="31"/>
          <w:lang w:val="en-US" w:eastAsia="zh-CN"/>
        </w:rPr>
        <w:t>本年度未安排</w:t>
      </w:r>
      <w:r>
        <w:rPr>
          <w:rFonts w:hint="eastAsia" w:ascii="仿宋_GB2312" w:hAnsi="Times New Roman" w:eastAsia="仿宋_GB2312" w:cs="Times New Roman"/>
          <w:color w:val="auto"/>
          <w:sz w:val="31"/>
          <w:szCs w:val="31"/>
        </w:rPr>
        <w:t>因公出国（境）费支出</w:t>
      </w:r>
      <w:r>
        <w:rPr>
          <w:rFonts w:hint="eastAsia" w:ascii="仿宋_GB2312" w:hAnsi="Times New Roman" w:eastAsia="仿宋_GB2312" w:cs="Times New Roman"/>
          <w:color w:val="auto"/>
          <w:sz w:val="31"/>
          <w:szCs w:val="31"/>
          <w:lang w:eastAsia="zh-CN"/>
        </w:rPr>
        <w:t>，</w:t>
      </w:r>
      <w:r>
        <w:rPr>
          <w:rFonts w:hint="eastAsia" w:ascii="仿宋_GB2312" w:hAnsi="Times New Roman" w:eastAsia="仿宋_GB2312" w:cs="Times New Roman"/>
          <w:color w:val="auto"/>
          <w:sz w:val="31"/>
          <w:szCs w:val="31"/>
          <w:lang w:val="en-US" w:eastAsia="zh-CN"/>
        </w:rPr>
        <w:t>无开支内容</w:t>
      </w:r>
      <w:r>
        <w:rPr>
          <w:rFonts w:hint="eastAsia" w:ascii="仿宋_GB2312" w:eastAsia="仿宋_GB2312"/>
          <w:sz w:val="32"/>
          <w:szCs w:val="32"/>
          <w:highlight w:val="none"/>
          <w:lang w:val="zh-CN" w:eastAsia="zh-CN"/>
        </w:rPr>
        <w:t>；公务用车购置及运行维护费支出8.98万元，占100.00%，比上年减少0.01万元，下降0.</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lang w:val="zh-CN" w:eastAsia="zh-CN"/>
        </w:rPr>
        <w:t>%，主要原因是：本年压缩公务用车经费开支；公务接待费支出0.00万元，占0.00%，比上年增加0.00万元，增长0.00%，主要原因是：</w:t>
      </w:r>
      <w:r>
        <w:rPr>
          <w:rFonts w:hint="eastAsia" w:ascii="仿宋_GB2312" w:hAnsi="Times New Roman" w:eastAsia="仿宋_GB2312" w:cs="Times New Roman"/>
          <w:color w:val="auto"/>
          <w:sz w:val="31"/>
          <w:szCs w:val="31"/>
          <w:lang w:val="en-US" w:eastAsia="zh-CN"/>
        </w:rPr>
        <w:t>本年我单位无公务接待支出</w:t>
      </w:r>
      <w:r>
        <w:rPr>
          <w:rFonts w:hint="eastAsia" w:ascii="仿宋_GB2312" w:eastAsia="仿宋_GB2312"/>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因公出国（境）费支出0.00万元，</w:t>
      </w:r>
      <w:r>
        <w:rPr>
          <w:rFonts w:hint="eastAsia" w:ascii="仿宋_GB2312" w:hAnsi="Times New Roman" w:eastAsia="仿宋_GB2312" w:cs="Times New Roman"/>
          <w:color w:val="auto"/>
          <w:sz w:val="31"/>
          <w:szCs w:val="31"/>
          <w:lang w:val="en-US" w:eastAsia="zh-CN"/>
        </w:rPr>
        <w:t>开支内容</w:t>
      </w:r>
      <w:r>
        <w:rPr>
          <w:rFonts w:hint="eastAsia" w:ascii="仿宋_GB2312" w:eastAsia="仿宋_GB2312" w:cs="Times New Roman"/>
          <w:color w:val="auto"/>
          <w:sz w:val="31"/>
          <w:szCs w:val="31"/>
          <w:lang w:val="en-US" w:eastAsia="zh-CN"/>
        </w:rPr>
        <w:t>包括我单位无因公出国</w:t>
      </w:r>
      <w:r>
        <w:rPr>
          <w:rFonts w:hint="eastAsia" w:ascii="仿宋_GB2312" w:hAnsi="Times New Roman" w:eastAsia="仿宋_GB2312" w:cs="Times New Roman"/>
          <w:color w:val="auto"/>
          <w:sz w:val="31"/>
          <w:szCs w:val="31"/>
        </w:rPr>
        <w:t>（境）</w:t>
      </w:r>
      <w:r>
        <w:rPr>
          <w:rFonts w:hint="eastAsia" w:ascii="仿宋_GB2312" w:eastAsia="仿宋_GB2312" w:cs="Times New Roman"/>
          <w:color w:val="auto"/>
          <w:sz w:val="31"/>
          <w:szCs w:val="31"/>
          <w:lang w:eastAsia="zh-CN"/>
        </w:rPr>
        <w:t>费支出，无开支内容</w:t>
      </w:r>
      <w:r>
        <w:rPr>
          <w:rFonts w:hint="eastAsia" w:ascii="仿宋_GB2312" w:eastAsia="仿宋_GB2312"/>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公务用车购置及运行维护费8.98万元，其中：公务用车购置费0.00万元，公务用车运行维护费8.98万元。公务用车运行维护费开支内容包括</w:t>
      </w:r>
      <w:r>
        <w:rPr>
          <w:rFonts w:hint="eastAsia" w:ascii="仿宋_GB2312" w:hAnsi="Times New Roman" w:eastAsia="仿宋_GB2312" w:cs="Times New Roman"/>
          <w:color w:val="auto"/>
          <w:sz w:val="31"/>
          <w:szCs w:val="31"/>
          <w:lang w:val="en-US" w:eastAsia="zh-CN"/>
        </w:rPr>
        <w:t>车辆燃油维修及保险费</w:t>
      </w:r>
      <w:r>
        <w:rPr>
          <w:rFonts w:hint="eastAsia" w:ascii="仿宋_GB2312" w:eastAsia="仿宋_GB2312"/>
          <w:sz w:val="32"/>
          <w:szCs w:val="32"/>
          <w:highlight w:val="none"/>
          <w:lang w:val="zh-CN" w:eastAsia="zh-CN"/>
        </w:rPr>
        <w:t>。公务用车购置数0辆，公务用车保有量</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lang w:val="zh-CN" w:eastAsia="zh-CN"/>
        </w:rPr>
        <w:t>辆。</w:t>
      </w:r>
      <w:r>
        <w:rPr>
          <w:rFonts w:hint="eastAsia" w:ascii="仿宋_GB2312" w:hAnsi="Times New Roman" w:eastAsia="仿宋_GB2312" w:cs="Times New Roman"/>
          <w:sz w:val="32"/>
          <w:szCs w:val="32"/>
          <w:highlight w:val="none"/>
          <w:lang w:val="zh-CN" w:eastAsia="zh-CN"/>
        </w:rPr>
        <w:t>国有资产占用情况</w:t>
      </w:r>
      <w:r>
        <w:rPr>
          <w:rFonts w:hint="eastAsia" w:ascii="仿宋_GB2312" w:hAnsi="Times New Roman" w:eastAsia="仿宋_GB2312" w:cs="Times New Roman"/>
          <w:sz w:val="32"/>
          <w:szCs w:val="32"/>
          <w:highlight w:val="none"/>
          <w:lang w:val="en-US" w:eastAsia="zh-CN"/>
        </w:rPr>
        <w:t>中固定资产车辆</w:t>
      </w:r>
      <w:r>
        <w:rPr>
          <w:rFonts w:hint="eastAsia" w:ascii="仿宋_GB2312" w:eastAsia="仿宋_GB2312" w:cs="Times New Roman"/>
          <w:sz w:val="32"/>
          <w:szCs w:val="32"/>
          <w:highlight w:val="none"/>
          <w:lang w:val="en-US" w:eastAsia="zh-CN"/>
        </w:rPr>
        <w:t>9</w:t>
      </w:r>
      <w:r>
        <w:rPr>
          <w:rFonts w:hint="eastAsia" w:ascii="仿宋_GB2312" w:hAnsi="Times New Roman" w:eastAsia="仿宋_GB2312" w:cs="Times New Roman"/>
          <w:sz w:val="32"/>
          <w:szCs w:val="32"/>
          <w:highlight w:val="none"/>
          <w:lang w:val="zh-CN" w:eastAsia="zh-CN"/>
        </w:rPr>
        <w:t>辆，</w:t>
      </w:r>
      <w:r>
        <w:rPr>
          <w:rFonts w:hint="eastAsia" w:ascii="仿宋_GB2312" w:hAnsi="Times New Roman" w:eastAsia="仿宋_GB2312" w:cs="Times New Roman"/>
          <w:sz w:val="32"/>
          <w:szCs w:val="32"/>
          <w:highlight w:val="none"/>
          <w:lang w:val="en-US" w:eastAsia="zh-CN"/>
        </w:rPr>
        <w:t>与</w:t>
      </w:r>
      <w:r>
        <w:rPr>
          <w:rFonts w:hint="eastAsia" w:ascii="仿宋_GB2312" w:hAnsi="Times New Roman" w:eastAsia="仿宋_GB2312" w:cs="Times New Roman"/>
          <w:sz w:val="32"/>
          <w:szCs w:val="32"/>
          <w:highlight w:val="none"/>
          <w:lang w:val="zh-CN" w:eastAsia="zh-CN"/>
        </w:rPr>
        <w:t>公务用车</w:t>
      </w:r>
      <w:r>
        <w:rPr>
          <w:rFonts w:hint="eastAsia" w:ascii="仿宋_GB2312" w:hAnsi="Times New Roman" w:eastAsia="仿宋_GB2312" w:cs="Times New Roman"/>
          <w:sz w:val="32"/>
          <w:szCs w:val="32"/>
          <w:highlight w:val="none"/>
          <w:lang w:val="en-US" w:eastAsia="zh-CN"/>
        </w:rPr>
        <w:t>保有量差异</w:t>
      </w:r>
      <w:r>
        <w:rPr>
          <w:rFonts w:hint="eastAsia" w:ascii="仿宋_GB2312" w:hAnsi="Times New Roman" w:eastAsia="仿宋_GB2312" w:cs="Times New Roman"/>
          <w:sz w:val="32"/>
          <w:szCs w:val="32"/>
          <w:highlight w:val="none"/>
          <w:lang w:val="zh-CN" w:eastAsia="zh-CN"/>
        </w:rPr>
        <w:t>原因是：固定资产车辆与公务用车保有量无差异。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公务接待费0.00万元，</w:t>
      </w:r>
      <w:r>
        <w:rPr>
          <w:rFonts w:hint="eastAsia" w:ascii="仿宋_GB2312" w:eastAsia="仿宋_GB2312" w:cs="Times New Roman"/>
          <w:color w:val="auto"/>
          <w:sz w:val="31"/>
          <w:szCs w:val="31"/>
          <w:lang w:val="en-US" w:eastAsia="zh-CN"/>
        </w:rPr>
        <w:t>开支内容包括我单位无公务接待，</w:t>
      </w:r>
      <w:r>
        <w:rPr>
          <w:rFonts w:hint="eastAsia" w:ascii="仿宋_GB2312" w:hAnsi="Times New Roman" w:eastAsia="仿宋_GB2312" w:cs="Times New Roman"/>
          <w:color w:val="auto"/>
          <w:sz w:val="31"/>
          <w:szCs w:val="31"/>
          <w:lang w:val="en-US" w:eastAsia="zh-CN"/>
        </w:rPr>
        <w:t>无开支内容</w:t>
      </w:r>
      <w:r>
        <w:rPr>
          <w:rFonts w:hint="eastAsia" w:ascii="仿宋_GB2312" w:eastAsia="仿宋_GB2312"/>
          <w:sz w:val="32"/>
          <w:szCs w:val="32"/>
          <w:highlight w:val="none"/>
          <w:lang w:val="zh-CN" w:eastAsia="zh-CN"/>
        </w:rPr>
        <w:t>。单位全年安排的国内公务接待0批次，0人次。</w:t>
      </w:r>
    </w:p>
    <w:p>
      <w:pPr>
        <w:keepNext w:val="0"/>
        <w:keepLines w:val="0"/>
        <w:widowControl/>
        <w:suppressLineNumbers w:val="0"/>
        <w:wordWrap w:val="0"/>
        <w:spacing w:before="120" w:beforeAutospacing="0" w:line="27" w:lineRule="atLeast"/>
        <w:ind w:firstLine="640" w:firstLineChars="200"/>
        <w:jc w:val="left"/>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与</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预算相比</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val="zh-CN" w:eastAsia="zh-CN"/>
        </w:rPr>
        <w:t>财政拨款“三公”经费支出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预算数21.60万元，决算数8.98万元，预决算差异率-58.42%，主要原因是：</w:t>
      </w:r>
      <w:r>
        <w:rPr>
          <w:rFonts w:hint="eastAsia" w:ascii="仿宋_GB2312" w:hAnsi="Times New Roman" w:eastAsia="仿宋_GB2312" w:cs="Times New Roman"/>
          <w:color w:val="auto"/>
          <w:sz w:val="31"/>
          <w:szCs w:val="31"/>
        </w:rPr>
        <w:t>认真贯彻落实中央</w:t>
      </w:r>
      <w:bookmarkStart w:id="48" w:name="_GoBack"/>
      <w:bookmarkEnd w:id="48"/>
      <w:r>
        <w:rPr>
          <w:rFonts w:hint="eastAsia" w:ascii="仿宋_GB2312" w:hAnsi="Times New Roman" w:eastAsia="仿宋_GB2312" w:cs="Times New Roman"/>
          <w:color w:val="auto"/>
          <w:sz w:val="31"/>
          <w:szCs w:val="31"/>
        </w:rPr>
        <w:t>八项规定精神和厉行节约要求，从严控制“三公”经费开支，全年实际支出和预算比有所节约</w:t>
      </w:r>
      <w:r>
        <w:rPr>
          <w:rFonts w:hint="eastAsia" w:ascii="仿宋_GB2312" w:eastAsia="仿宋_GB2312"/>
          <w:sz w:val="32"/>
          <w:szCs w:val="32"/>
          <w:highlight w:val="none"/>
          <w:lang w:val="zh-CN" w:eastAsia="zh-CN"/>
        </w:rPr>
        <w:t>。其中：因公出国（境）费</w:t>
      </w:r>
      <w:r>
        <w:rPr>
          <w:rFonts w:hint="eastAsia" w:ascii="仿宋_GB2312" w:eastAsia="仿宋_GB2312"/>
          <w:sz w:val="32"/>
          <w:szCs w:val="32"/>
          <w:highlight w:val="none"/>
          <w:lang w:val="en-US" w:eastAsia="zh-CN"/>
        </w:rPr>
        <w:t>全年预算数</w:t>
      </w:r>
      <w:r>
        <w:rPr>
          <w:rFonts w:hint="eastAsia" w:ascii="仿宋_GB2312" w:eastAsia="仿宋_GB2312"/>
          <w:sz w:val="32"/>
          <w:szCs w:val="32"/>
          <w:highlight w:val="none"/>
          <w:lang w:val="zh-CN" w:eastAsia="zh-CN"/>
        </w:rPr>
        <w:t>0.00万元，决算数0.00万元，预决算差异率0.00%，主要原因</w:t>
      </w:r>
      <w:r>
        <w:rPr>
          <w:rFonts w:hint="eastAsia" w:ascii="仿宋_GB2312" w:hAnsi="Times New Roman" w:eastAsia="仿宋_GB2312" w:cs="Times New Roman"/>
          <w:color w:val="auto"/>
          <w:sz w:val="31"/>
          <w:szCs w:val="31"/>
          <w:lang w:val="zh-CN" w:eastAsia="zh-CN"/>
        </w:rPr>
        <w:t>是：</w:t>
      </w:r>
      <w:r>
        <w:rPr>
          <w:rFonts w:hint="eastAsia" w:ascii="仿宋_GB2312" w:hAnsi="Times New Roman" w:eastAsia="仿宋_GB2312" w:cs="Times New Roman"/>
          <w:color w:val="auto"/>
          <w:sz w:val="31"/>
          <w:szCs w:val="31"/>
          <w:lang w:val="en-US" w:eastAsia="zh-CN"/>
        </w:rPr>
        <w:t>我单位无</w:t>
      </w:r>
      <w:r>
        <w:rPr>
          <w:rFonts w:hint="eastAsia" w:ascii="仿宋_GB2312" w:hAnsi="Times New Roman" w:eastAsia="仿宋_GB2312" w:cs="Times New Roman"/>
          <w:color w:val="auto"/>
          <w:sz w:val="31"/>
          <w:szCs w:val="31"/>
          <w:lang w:val="zh-CN" w:eastAsia="zh-CN"/>
        </w:rPr>
        <w:t>因公出国（境）</w:t>
      </w:r>
      <w:r>
        <w:rPr>
          <w:rFonts w:hint="eastAsia" w:ascii="仿宋_GB2312" w:hAnsi="Times New Roman" w:eastAsia="仿宋_GB2312" w:cs="Times New Roman"/>
          <w:color w:val="auto"/>
          <w:sz w:val="31"/>
          <w:szCs w:val="31"/>
          <w:lang w:val="en-US" w:eastAsia="zh-CN"/>
        </w:rPr>
        <w:t>支出</w:t>
      </w:r>
      <w:r>
        <w:rPr>
          <w:rFonts w:hint="eastAsia" w:ascii="仿宋_GB2312" w:eastAsia="仿宋_GB2312"/>
          <w:sz w:val="32"/>
          <w:szCs w:val="32"/>
          <w:highlight w:val="none"/>
          <w:lang w:val="zh-CN" w:eastAsia="zh-CN"/>
        </w:rPr>
        <w:t>；公务用车购置费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w:t>
      </w:r>
      <w:r>
        <w:rPr>
          <w:rFonts w:hint="eastAsia" w:ascii="仿宋_GB2312" w:hAnsi="Times New Roman" w:eastAsia="仿宋_GB2312" w:cs="Times New Roman"/>
          <w:color w:val="auto"/>
          <w:sz w:val="31"/>
          <w:szCs w:val="31"/>
          <w:lang w:val="en-US" w:eastAsia="zh-CN"/>
        </w:rPr>
        <w:t>我单位无</w:t>
      </w:r>
      <w:r>
        <w:rPr>
          <w:rFonts w:hint="eastAsia" w:ascii="仿宋_GB2312" w:eastAsia="仿宋_GB2312"/>
          <w:sz w:val="32"/>
          <w:szCs w:val="32"/>
          <w:highlight w:val="none"/>
          <w:lang w:val="zh-CN" w:eastAsia="zh-CN"/>
        </w:rPr>
        <w:t>公务用车购置</w:t>
      </w:r>
      <w:r>
        <w:rPr>
          <w:rFonts w:hint="eastAsia" w:ascii="仿宋_GB2312" w:hAnsi="Times New Roman" w:eastAsia="仿宋_GB2312" w:cs="Times New Roman"/>
          <w:color w:val="auto"/>
          <w:sz w:val="31"/>
          <w:szCs w:val="31"/>
          <w:lang w:val="en-US" w:eastAsia="zh-CN"/>
        </w:rPr>
        <w:t>支出</w:t>
      </w:r>
      <w:r>
        <w:rPr>
          <w:rFonts w:hint="eastAsia" w:ascii="仿宋_GB2312" w:eastAsia="仿宋_GB2312"/>
          <w:sz w:val="32"/>
          <w:szCs w:val="32"/>
          <w:highlight w:val="none"/>
          <w:lang w:val="zh-CN" w:eastAsia="zh-CN"/>
        </w:rPr>
        <w:t>；公务用车运行费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预算数21.60万元，决算数8.98万元，预决算差异率-58.42%，主要原因是：</w:t>
      </w:r>
      <w:r>
        <w:rPr>
          <w:rFonts w:hint="eastAsia" w:ascii="仿宋_GB2312" w:hAnsi="Times New Roman" w:eastAsia="仿宋_GB2312" w:cs="Times New Roman"/>
          <w:color w:val="auto"/>
          <w:sz w:val="31"/>
          <w:szCs w:val="31"/>
        </w:rPr>
        <w:t>按照市委市政府有关政策，加强公务车辆出行管理，</w:t>
      </w:r>
      <w:r>
        <w:rPr>
          <w:rFonts w:hint="eastAsia" w:ascii="仿宋_GB2312" w:hAnsi="Times New Roman" w:eastAsia="仿宋_GB2312" w:cs="Times New Roman"/>
          <w:color w:val="auto"/>
          <w:sz w:val="31"/>
          <w:szCs w:val="31"/>
          <w:lang w:val="en-US" w:eastAsia="zh-CN"/>
        </w:rPr>
        <w:t>严格执行预算，</w:t>
      </w:r>
      <w:r>
        <w:rPr>
          <w:rFonts w:hint="eastAsia" w:ascii="仿宋_GB2312" w:hAnsi="Times New Roman" w:eastAsia="仿宋_GB2312" w:cs="Times New Roman"/>
          <w:color w:val="auto"/>
          <w:sz w:val="31"/>
          <w:szCs w:val="31"/>
        </w:rPr>
        <w:t>节约开支</w:t>
      </w:r>
      <w:r>
        <w:rPr>
          <w:rFonts w:hint="eastAsia" w:ascii="仿宋_GB2312" w:eastAsia="仿宋_GB2312"/>
          <w:sz w:val="32"/>
          <w:szCs w:val="32"/>
          <w:highlight w:val="none"/>
          <w:lang w:val="zh-CN" w:eastAsia="zh-CN"/>
        </w:rPr>
        <w:t>；公务接待费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w:t>
      </w:r>
      <w:r>
        <w:rPr>
          <w:rFonts w:hint="eastAsia" w:ascii="仿宋_GB2312" w:hAnsi="Times New Roman" w:eastAsia="仿宋_GB2312" w:cs="Times New Roman"/>
          <w:color w:val="auto"/>
          <w:sz w:val="31"/>
          <w:szCs w:val="31"/>
          <w:lang w:val="en-US" w:eastAsia="zh-CN"/>
        </w:rPr>
        <w:t>厉行节约，本年未安排公务接待费支出</w:t>
      </w:r>
      <w:r>
        <w:rPr>
          <w:rFonts w:hint="eastAsia" w:ascii="仿宋_GB2312" w:eastAsia="仿宋_GB2312"/>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8" w:name="_Toc5810"/>
      <w:bookmarkStart w:id="19" w:name="_Toc7927"/>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zh-CN"/>
        </w:rPr>
        <w:t>政府性基金预算</w:t>
      </w:r>
      <w:r>
        <w:rPr>
          <w:rFonts w:hint="eastAsia" w:ascii="Times New Roman" w:hAnsi="Times New Roman" w:eastAsia="仿宋_GB2312" w:cs="Times New Roman"/>
          <w:sz w:val="32"/>
          <w:szCs w:val="32"/>
          <w:highlight w:val="none"/>
          <w:lang w:val="en-US" w:eastAsia="zh-CN"/>
        </w:rPr>
        <w:t>财政拨款</w:t>
      </w:r>
      <w:r>
        <w:rPr>
          <w:rFonts w:hint="eastAsia" w:ascii="Times New Roman" w:hAnsi="Times New Roman" w:eastAsia="仿宋_GB2312" w:cs="Times New Roman"/>
          <w:sz w:val="32"/>
          <w:szCs w:val="32"/>
          <w:highlight w:val="none"/>
          <w:lang w:val="zh-CN"/>
        </w:rPr>
        <w:t>收入</w:t>
      </w:r>
      <w:r>
        <w:rPr>
          <w:rFonts w:hint="eastAsia" w:ascii="Times New Roman" w:hAnsi="Times New Roman" w:eastAsia="仿宋_GB2312" w:cs="Times New Roman"/>
          <w:sz w:val="32"/>
          <w:szCs w:val="32"/>
          <w:highlight w:val="none"/>
          <w:lang w:val="en-US" w:eastAsia="zh-CN"/>
        </w:rPr>
        <w:t>总计1,102.02</w:t>
      </w:r>
      <w:r>
        <w:rPr>
          <w:rFonts w:hint="eastAsia" w:ascii="Times New Roman" w:hAnsi="Times New Roman" w:eastAsia="仿宋_GB2312" w:cs="Times New Roman"/>
          <w:sz w:val="32"/>
          <w:szCs w:val="32"/>
          <w:highlight w:val="none"/>
          <w:lang w:val="zh-CN"/>
        </w:rPr>
        <w:t>万元，</w:t>
      </w:r>
      <w:r>
        <w:rPr>
          <w:rFonts w:hint="eastAsia" w:ascii="Times New Roman" w:hAnsi="Times New Roman" w:eastAsia="仿宋_GB2312" w:cs="Times New Roman"/>
          <w:sz w:val="32"/>
          <w:szCs w:val="32"/>
          <w:highlight w:val="none"/>
          <w:lang w:val="en-US" w:eastAsia="zh-CN"/>
        </w:rPr>
        <w:t>其中：年初结转和结余0.00</w:t>
      </w:r>
      <w:r>
        <w:rPr>
          <w:rFonts w:hint="eastAsia" w:ascii="Times New Roman" w:hAnsi="Times New Roman" w:eastAsia="仿宋_GB2312" w:cs="Times New Roman"/>
          <w:sz w:val="32"/>
          <w:szCs w:val="32"/>
          <w:highlight w:val="none"/>
          <w:lang w:val="zh-CN"/>
        </w:rPr>
        <w:t>万元</w:t>
      </w:r>
      <w:r>
        <w:rPr>
          <w:rFonts w:hint="eastAsia"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本年收入1,102.02</w:t>
      </w:r>
      <w:r>
        <w:rPr>
          <w:rFonts w:hint="eastAsia" w:ascii="Times New Roman" w:hAnsi="Times New Roman" w:eastAsia="仿宋_GB2312" w:cs="Times New Roman"/>
          <w:sz w:val="32"/>
          <w:szCs w:val="32"/>
          <w:highlight w:val="none"/>
          <w:lang w:val="zh-CN"/>
        </w:rPr>
        <w:t>万元</w:t>
      </w:r>
      <w:r>
        <w:rPr>
          <w:rFonts w:hint="eastAsia"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zh-CN"/>
        </w:rPr>
        <w:t>政府性基金预算财政拨款支出</w:t>
      </w:r>
      <w:r>
        <w:rPr>
          <w:rFonts w:hint="eastAsia" w:ascii="Times New Roman" w:hAnsi="Times New Roman" w:eastAsia="仿宋_GB2312" w:cs="Times New Roman"/>
          <w:sz w:val="32"/>
          <w:szCs w:val="32"/>
          <w:highlight w:val="none"/>
          <w:lang w:val="en-US" w:eastAsia="zh-CN"/>
        </w:rPr>
        <w:t>总计1,102.02</w:t>
      </w:r>
      <w:r>
        <w:rPr>
          <w:rFonts w:hint="eastAsia" w:ascii="Times New Roman" w:hAnsi="Times New Roman" w:eastAsia="仿宋_GB2312" w:cs="Times New Roman"/>
          <w:sz w:val="32"/>
          <w:szCs w:val="32"/>
          <w:highlight w:val="none"/>
          <w:lang w:val="zh-CN"/>
        </w:rPr>
        <w:t>万元，</w:t>
      </w:r>
      <w:r>
        <w:rPr>
          <w:rFonts w:hint="eastAsia" w:ascii="Times New Roman" w:hAnsi="Times New Roman" w:eastAsia="仿宋_GB2312" w:cs="Times New Roman"/>
          <w:sz w:val="32"/>
          <w:szCs w:val="32"/>
          <w:highlight w:val="none"/>
          <w:lang w:val="en-US" w:eastAsia="zh-CN"/>
        </w:rPr>
        <w:t>其中：年末结转和结余0.00</w:t>
      </w:r>
      <w:r>
        <w:rPr>
          <w:rFonts w:hint="eastAsia" w:ascii="Times New Roman" w:hAnsi="Times New Roman" w:eastAsia="仿宋_GB2312" w:cs="Times New Roman"/>
          <w:sz w:val="32"/>
          <w:szCs w:val="32"/>
          <w:highlight w:val="none"/>
          <w:lang w:val="zh-CN"/>
        </w:rPr>
        <w:t>万元</w:t>
      </w:r>
      <w:r>
        <w:rPr>
          <w:rFonts w:hint="eastAsia"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本年支出1,102.02</w:t>
      </w:r>
      <w:r>
        <w:rPr>
          <w:rFonts w:hint="eastAsia" w:ascii="Times New Roman" w:hAnsi="Times New Roman" w:eastAsia="仿宋_GB2312" w:cs="Times New Roman"/>
          <w:sz w:val="32"/>
          <w:szCs w:val="32"/>
          <w:highlight w:val="none"/>
          <w:lang w:val="zh-CN"/>
        </w:rPr>
        <w:t>万元</w:t>
      </w:r>
      <w:r>
        <w:rPr>
          <w:rFonts w:hint="eastAsia" w:ascii="Times New Roman"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rPr>
        <w:t>政府性基金预算财政拨款</w:t>
      </w:r>
      <w:r>
        <w:rPr>
          <w:rFonts w:hint="eastAsia" w:ascii="Times New Roman" w:hAnsi="Times New Roman" w:eastAsia="仿宋_GB2312" w:cs="Times New Roman"/>
          <w:sz w:val="32"/>
          <w:szCs w:val="32"/>
          <w:highlight w:val="none"/>
          <w:lang w:val="en-US" w:eastAsia="zh-CN"/>
        </w:rPr>
        <w:t>收入支出</w:t>
      </w:r>
      <w:r>
        <w:rPr>
          <w:rFonts w:hint="eastAsia" w:ascii="Times New Roman" w:hAnsi="Times New Roman" w:eastAsia="仿宋_GB2312" w:cs="Times New Roman"/>
          <w:sz w:val="32"/>
          <w:szCs w:val="32"/>
          <w:highlight w:val="none"/>
          <w:lang w:val="zh-CN"/>
        </w:rPr>
        <w:t>与上年相比，</w:t>
      </w:r>
      <w:r>
        <w:rPr>
          <w:rFonts w:hint="eastAsia" w:ascii="Times New Roman" w:hAnsi="Times New Roman" w:eastAsia="仿宋_GB2312" w:cs="Times New Roman"/>
          <w:sz w:val="32"/>
          <w:szCs w:val="32"/>
          <w:highlight w:val="none"/>
          <w:lang w:val="zh-CN" w:eastAsia="zh-CN"/>
        </w:rPr>
        <w:t>增加1,102.02万元</w:t>
      </w:r>
      <w:r>
        <w:rPr>
          <w:rFonts w:hint="eastAsia" w:ascii="Times New Roman" w:hAnsi="Times New Roman" w:eastAsia="仿宋_GB2312" w:cs="Times New Roman"/>
          <w:sz w:val="32"/>
          <w:szCs w:val="32"/>
          <w:highlight w:val="none"/>
          <w:lang w:val="zh-CN"/>
        </w:rPr>
        <w:t>，</w:t>
      </w:r>
      <w:r>
        <w:rPr>
          <w:rFonts w:hint="eastAsia" w:ascii="Times New Roman" w:hAnsi="Times New Roman" w:eastAsia="仿宋_GB2312" w:cs="Times New Roman"/>
          <w:sz w:val="32"/>
          <w:szCs w:val="32"/>
          <w:highlight w:val="none"/>
          <w:lang w:val="zh-CN" w:eastAsia="zh-CN"/>
        </w:rPr>
        <w:t>增长</w:t>
      </w:r>
      <w:r>
        <w:rPr>
          <w:rFonts w:hint="eastAsia" w:ascii="Times New Roman" w:hAnsi="Times New Roman"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zh-CN" w:eastAsia="zh-CN"/>
        </w:rPr>
        <w:t>0.00%，主要原因是</w:t>
      </w:r>
      <w:r>
        <w:rPr>
          <w:rFonts w:hint="eastAsia" w:ascii="Times New Roman" w:hAnsi="Times New Roman" w:eastAsia="仿宋_GB2312" w:cs="Times New Roman"/>
          <w:sz w:val="32"/>
          <w:szCs w:val="32"/>
          <w:highlight w:val="none"/>
          <w:lang w:val="zh-CN"/>
        </w:rPr>
        <w:t>：</w:t>
      </w:r>
      <w:r>
        <w:rPr>
          <w:rFonts w:hint="eastAsia" w:eastAsia="仿宋_GB2312" w:cs="Times New Roman"/>
          <w:sz w:val="32"/>
          <w:szCs w:val="32"/>
          <w:highlight w:val="none"/>
          <w:lang w:val="en-US" w:eastAsia="zh-CN"/>
        </w:rPr>
        <w:t>2023年有西部产融国有企业咨询服务费、国资公司专项建设基金还本付息两个政府性基金项目，2022年没有</w:t>
      </w:r>
      <w:r>
        <w:rPr>
          <w:rFonts w:hint="eastAsia" w:ascii="Times New Roman" w:hAnsi="Times New Roman" w:eastAsia="仿宋_GB2312" w:cs="Times New Roman"/>
          <w:sz w:val="32"/>
          <w:szCs w:val="32"/>
          <w:highlight w:val="none"/>
          <w:lang w:val="zh-CN"/>
        </w:rPr>
        <w:t>。与</w:t>
      </w:r>
      <w:r>
        <w:rPr>
          <w:rFonts w:hint="eastAsia" w:ascii="Times New Roman" w:hAnsi="Times New Roman" w:eastAsia="仿宋_GB2312" w:cs="Times New Roman"/>
          <w:sz w:val="32"/>
          <w:szCs w:val="32"/>
          <w:highlight w:val="none"/>
          <w:lang w:val="zh-CN" w:eastAsia="zh-CN"/>
        </w:rPr>
        <w:t>年初预算</w:t>
      </w:r>
      <w:r>
        <w:rPr>
          <w:rFonts w:hint="eastAsia" w:ascii="Times New Roman" w:hAnsi="Times New Roman" w:eastAsia="仿宋_GB2312" w:cs="Times New Roman"/>
          <w:sz w:val="32"/>
          <w:szCs w:val="32"/>
          <w:highlight w:val="none"/>
          <w:lang w:val="zh-CN"/>
        </w:rPr>
        <w:t>相比</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zh-CN" w:eastAsia="zh-CN"/>
        </w:rPr>
        <w:t>年初预算数</w:t>
      </w:r>
      <w:r>
        <w:rPr>
          <w:rFonts w:hint="eastAsia" w:ascii="Times New Roman" w:hAnsi="Times New Roman" w:eastAsia="仿宋_GB2312" w:cs="Times New Roman"/>
          <w:sz w:val="32"/>
          <w:szCs w:val="32"/>
          <w:highlight w:val="none"/>
          <w:lang w:val="en-US" w:eastAsia="zh-CN"/>
        </w:rPr>
        <w:t>1,200.00</w:t>
      </w:r>
      <w:r>
        <w:rPr>
          <w:rFonts w:hint="eastAsia" w:ascii="Times New Roman" w:hAnsi="Times New Roman" w:eastAsia="仿宋_GB2312" w:cs="Times New Roman"/>
          <w:sz w:val="32"/>
          <w:szCs w:val="32"/>
          <w:highlight w:val="none"/>
          <w:lang w:val="zh-CN"/>
        </w:rPr>
        <w:t>万元，决算数</w:t>
      </w:r>
      <w:r>
        <w:rPr>
          <w:rFonts w:hint="eastAsia" w:ascii="Times New Roman" w:hAnsi="Times New Roman" w:eastAsia="仿宋_GB2312" w:cs="Times New Roman"/>
          <w:sz w:val="32"/>
          <w:szCs w:val="32"/>
          <w:highlight w:val="none"/>
          <w:lang w:val="en-US" w:eastAsia="zh-CN"/>
        </w:rPr>
        <w:t>1,102.02</w:t>
      </w:r>
      <w:r>
        <w:rPr>
          <w:rFonts w:hint="eastAsia" w:ascii="Times New Roman" w:hAnsi="Times New Roman" w:eastAsia="仿宋_GB2312" w:cs="Times New Roman"/>
          <w:sz w:val="32"/>
          <w:szCs w:val="32"/>
          <w:highlight w:val="none"/>
          <w:lang w:val="zh-CN"/>
        </w:rPr>
        <w:t>万元，预决算差异率</w:t>
      </w:r>
      <w:r>
        <w:rPr>
          <w:rFonts w:hint="eastAsia" w:ascii="仿宋_GB2312" w:eastAsia="仿宋_GB2312"/>
          <w:sz w:val="32"/>
          <w:szCs w:val="32"/>
          <w:highlight w:val="none"/>
          <w:lang w:val="zh-CN" w:eastAsia="zh-CN"/>
        </w:rPr>
        <w:t>-</w:t>
      </w:r>
      <w:r>
        <w:rPr>
          <w:rFonts w:hint="eastAsia" w:ascii="Times New Roman" w:hAnsi="Times New Roman" w:eastAsia="仿宋_GB2312" w:cs="Times New Roman"/>
          <w:sz w:val="32"/>
          <w:szCs w:val="32"/>
          <w:highlight w:val="none"/>
          <w:lang w:val="zh-CN" w:eastAsia="zh-CN"/>
        </w:rPr>
        <w:t>8.17%，主要原因是：</w:t>
      </w:r>
      <w:r>
        <w:rPr>
          <w:rFonts w:hint="eastAsia" w:eastAsia="仿宋_GB2312" w:cs="Times New Roman"/>
          <w:sz w:val="32"/>
          <w:szCs w:val="32"/>
          <w:highlight w:val="none"/>
          <w:lang w:val="zh-CN"/>
        </w:rPr>
        <w:t>项目未进行完毕</w:t>
      </w:r>
      <w:r>
        <w:rPr>
          <w:rFonts w:hint="eastAsia" w:ascii="Times New Roman" w:hAnsi="Times New Roman" w:eastAsia="仿宋_GB2312" w:cs="Times New Roman"/>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zh-CN"/>
        </w:rPr>
        <w:t>政府性基金预算财政拨款支出</w:t>
      </w:r>
      <w:r>
        <w:rPr>
          <w:rFonts w:hint="eastAsia" w:ascii="Times New Roman" w:hAnsi="Times New Roman" w:eastAsia="仿宋_GB2312" w:cs="Times New Roman"/>
          <w:sz w:val="32"/>
          <w:szCs w:val="32"/>
          <w:highlight w:val="none"/>
          <w:lang w:val="zh-CN" w:eastAsia="zh-CN"/>
        </w:rPr>
        <w:t>1,102.02</w:t>
      </w:r>
      <w:r>
        <w:rPr>
          <w:rFonts w:hint="eastAsia" w:ascii="Times New Roman" w:hAnsi="Times New Roman" w:eastAsia="仿宋_GB2312" w:cs="Times New Roman"/>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rPr>
        <w:t>1.城乡社区支出（类）国有土地使用权出让收入安排的支出（款）其他国有土地使用权出让收入安排的支出（项）:支出决算数为1,102.02</w:t>
      </w:r>
      <w:r>
        <w:rPr>
          <w:rFonts w:hint="eastAsia"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zh-CN"/>
        </w:rPr>
        <w:t>，比上年决算</w:t>
      </w:r>
      <w:r>
        <w:rPr>
          <w:rFonts w:hint="eastAsia" w:ascii="Times New Roman" w:hAnsi="Times New Roman" w:eastAsia="仿宋_GB2312" w:cs="Times New Roman"/>
          <w:sz w:val="32"/>
          <w:szCs w:val="32"/>
          <w:highlight w:val="none"/>
          <w:lang w:val="en-US" w:eastAsia="zh-CN"/>
        </w:rPr>
        <w:t>增加</w:t>
      </w:r>
      <w:r>
        <w:rPr>
          <w:rFonts w:hint="eastAsia" w:ascii="Times New Roman" w:hAnsi="Times New Roman" w:eastAsia="仿宋_GB2312" w:cs="Times New Roman"/>
          <w:sz w:val="32"/>
          <w:szCs w:val="32"/>
          <w:highlight w:val="none"/>
          <w:lang w:val="zh-CN"/>
        </w:rPr>
        <w:t>1,102.02</w:t>
      </w:r>
      <w:r>
        <w:rPr>
          <w:rFonts w:hint="eastAsia"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zh-CN"/>
        </w:rPr>
        <w:t>，</w:t>
      </w:r>
      <w:r>
        <w:rPr>
          <w:rFonts w:hint="eastAsia" w:ascii="Times New Roman" w:hAnsi="Times New Roman" w:eastAsia="仿宋_GB2312" w:cs="Times New Roman"/>
          <w:sz w:val="32"/>
          <w:szCs w:val="32"/>
          <w:highlight w:val="none"/>
          <w:lang w:val="en-US" w:eastAsia="zh-CN"/>
        </w:rPr>
        <w:t>增长</w:t>
      </w:r>
      <w:r>
        <w:rPr>
          <w:rFonts w:hint="eastAsia" w:ascii="Times New Roman" w:hAnsi="Times New Roman" w:eastAsia="仿宋_GB2312" w:cs="Times New Roman"/>
          <w:sz w:val="32"/>
          <w:szCs w:val="32"/>
          <w:highlight w:val="none"/>
          <w:lang w:val="zh-CN"/>
        </w:rPr>
        <w:t>100%，主要原因是：</w:t>
      </w:r>
      <w:r>
        <w:rPr>
          <w:rFonts w:hint="eastAsia" w:ascii="Times New Roman" w:hAnsi="Times New Roman" w:eastAsia="仿宋_GB2312" w:cs="Times New Roman"/>
          <w:sz w:val="32"/>
          <w:szCs w:val="32"/>
          <w:highlight w:val="none"/>
          <w:lang w:val="en-US" w:eastAsia="zh-CN"/>
        </w:rPr>
        <w:t>2023年有西部产融国有企业咨询服务费、国资公司专项建设基金还本付息两个</w:t>
      </w:r>
      <w:r>
        <w:rPr>
          <w:rFonts w:hint="eastAsia" w:ascii="Times New Roman" w:hAnsi="Times New Roman" w:eastAsia="仿宋_GB2312" w:cs="Times New Roman"/>
          <w:sz w:val="32"/>
          <w:szCs w:val="32"/>
          <w:highlight w:val="none"/>
          <w:lang w:val="zh-CN"/>
        </w:rPr>
        <w:t>其他国有土地使用权出让收入安排的支出（项）</w:t>
      </w:r>
      <w:r>
        <w:rPr>
          <w:rFonts w:hint="eastAsia" w:ascii="Times New Roman" w:hAnsi="Times New Roman" w:eastAsia="仿宋_GB2312" w:cs="Times New Roman"/>
          <w:sz w:val="32"/>
          <w:szCs w:val="32"/>
          <w:highlight w:val="none"/>
          <w:lang w:val="en-US" w:eastAsia="zh-CN"/>
        </w:rPr>
        <w:t>，2022年没有</w:t>
      </w:r>
      <w:r>
        <w:rPr>
          <w:rFonts w:hint="eastAsia" w:ascii="Times New Roman" w:hAnsi="Times New Roman" w:eastAsia="仿宋_GB2312" w:cs="Times New Roman"/>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b/>
          <w:bCs/>
          <w:sz w:val="32"/>
          <w:szCs w:val="32"/>
          <w:highlight w:val="none"/>
          <w:lang w:eastAsia="zh-CN"/>
        </w:rPr>
      </w:pPr>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eastAsia="zh-CN"/>
        </w:rPr>
        <w:t>2023年度国有资本经营预算</w:t>
      </w:r>
      <w:r>
        <w:rPr>
          <w:rFonts w:hint="eastAsia" w:ascii="Times New Roman" w:hAnsi="Times New Roman" w:eastAsia="仿宋_GB2312" w:cs="Times New Roman"/>
          <w:sz w:val="32"/>
          <w:szCs w:val="32"/>
          <w:highlight w:val="none"/>
          <w:lang w:val="en-US" w:eastAsia="zh-CN"/>
        </w:rPr>
        <w:t>财政拨款</w:t>
      </w:r>
      <w:r>
        <w:rPr>
          <w:rFonts w:hint="eastAsia" w:ascii="Times New Roman" w:hAnsi="Times New Roman" w:eastAsia="仿宋_GB2312" w:cs="Times New Roman"/>
          <w:sz w:val="32"/>
          <w:szCs w:val="32"/>
          <w:highlight w:val="none"/>
          <w:lang w:val="zh-CN" w:eastAsia="zh-CN"/>
        </w:rPr>
        <w:t>收入</w:t>
      </w:r>
      <w:r>
        <w:rPr>
          <w:rFonts w:hint="eastAsia" w:ascii="Times New Roman" w:hAnsi="Times New Roman" w:eastAsia="仿宋_GB2312" w:cs="Times New Roman"/>
          <w:sz w:val="32"/>
          <w:szCs w:val="32"/>
          <w:highlight w:val="none"/>
          <w:lang w:val="en-US" w:eastAsia="zh-CN"/>
        </w:rPr>
        <w:t>总计50.00</w:t>
      </w:r>
      <w:r>
        <w:rPr>
          <w:rFonts w:hint="eastAsia" w:ascii="Times New Roman" w:hAnsi="Times New Roman" w:eastAsia="仿宋_GB2312" w:cs="Times New Roman"/>
          <w:sz w:val="32"/>
          <w:szCs w:val="32"/>
          <w:highlight w:val="none"/>
          <w:lang w:val="zh-CN" w:eastAsia="zh-CN"/>
        </w:rPr>
        <w:t>万元，</w:t>
      </w:r>
      <w:r>
        <w:rPr>
          <w:rFonts w:hint="eastAsia" w:ascii="Times New Roman" w:hAnsi="Times New Roman" w:eastAsia="仿宋_GB2312" w:cs="Times New Roman"/>
          <w:sz w:val="32"/>
          <w:szCs w:val="32"/>
          <w:highlight w:val="none"/>
          <w:lang w:val="en-US" w:eastAsia="zh-CN"/>
        </w:rPr>
        <w:t>其中：年初结转和结余</w:t>
      </w:r>
      <w:r>
        <w:rPr>
          <w:rFonts w:hint="eastAsia" w:ascii="Times New Roman" w:hAnsi="Times New Roman" w:eastAsia="仿宋_GB2312" w:cs="Times New Roman"/>
          <w:sz w:val="32"/>
          <w:szCs w:val="32"/>
          <w:highlight w:val="none"/>
          <w:lang w:val="zh-CN" w:eastAsia="zh-CN"/>
        </w:rPr>
        <w:t>0.00万元，</w:t>
      </w:r>
      <w:r>
        <w:rPr>
          <w:rFonts w:hint="eastAsia" w:ascii="Times New Roman" w:hAnsi="Times New Roman" w:eastAsia="仿宋_GB2312" w:cs="Times New Roman"/>
          <w:sz w:val="32"/>
          <w:szCs w:val="32"/>
          <w:highlight w:val="none"/>
          <w:lang w:val="en-US" w:eastAsia="zh-CN"/>
        </w:rPr>
        <w:t>本年收入</w:t>
      </w:r>
      <w:r>
        <w:rPr>
          <w:rFonts w:hint="eastAsia" w:ascii="Times New Roman" w:hAnsi="Times New Roman" w:eastAsia="仿宋_GB2312" w:cs="Times New Roman"/>
          <w:sz w:val="32"/>
          <w:szCs w:val="32"/>
          <w:highlight w:val="none"/>
          <w:lang w:val="zh-CN" w:eastAsia="zh-CN"/>
        </w:rPr>
        <w:t>50.00万元。国有资本经营预算财政拨款支出</w:t>
      </w:r>
      <w:r>
        <w:rPr>
          <w:rFonts w:hint="eastAsia" w:ascii="Times New Roman" w:hAnsi="Times New Roman" w:eastAsia="仿宋_GB2312" w:cs="Times New Roman"/>
          <w:sz w:val="32"/>
          <w:szCs w:val="32"/>
          <w:highlight w:val="none"/>
          <w:lang w:val="en-US" w:eastAsia="zh-CN"/>
        </w:rPr>
        <w:t>总计50.00</w:t>
      </w:r>
      <w:r>
        <w:rPr>
          <w:rFonts w:hint="eastAsia" w:ascii="Times New Roman" w:hAnsi="Times New Roman" w:eastAsia="仿宋_GB2312" w:cs="Times New Roman"/>
          <w:sz w:val="32"/>
          <w:szCs w:val="32"/>
          <w:highlight w:val="none"/>
          <w:lang w:val="zh-CN" w:eastAsia="zh-CN"/>
        </w:rPr>
        <w:t>万元，</w:t>
      </w:r>
      <w:r>
        <w:rPr>
          <w:rFonts w:hint="eastAsia" w:ascii="Times New Roman" w:hAnsi="Times New Roman" w:eastAsia="仿宋_GB2312" w:cs="Times New Roman"/>
          <w:sz w:val="32"/>
          <w:szCs w:val="32"/>
          <w:highlight w:val="none"/>
          <w:lang w:val="en-US" w:eastAsia="zh-CN"/>
        </w:rPr>
        <w:t>其中：年末结转和结余</w:t>
      </w:r>
      <w:r>
        <w:rPr>
          <w:rFonts w:hint="eastAsia" w:ascii="Times New Roman" w:hAnsi="Times New Roman" w:eastAsia="仿宋_GB2312" w:cs="Times New Roman"/>
          <w:sz w:val="32"/>
          <w:szCs w:val="32"/>
          <w:highlight w:val="none"/>
          <w:lang w:val="zh-CN" w:eastAsia="zh-CN"/>
        </w:rPr>
        <w:t>0.00万元，</w:t>
      </w:r>
      <w:r>
        <w:rPr>
          <w:rFonts w:hint="eastAsia" w:ascii="Times New Roman" w:hAnsi="Times New Roman" w:eastAsia="仿宋_GB2312" w:cs="Times New Roman"/>
          <w:sz w:val="32"/>
          <w:szCs w:val="32"/>
          <w:highlight w:val="none"/>
          <w:lang w:val="en-US" w:eastAsia="zh-CN"/>
        </w:rPr>
        <w:t>本年支出</w:t>
      </w:r>
      <w:r>
        <w:rPr>
          <w:rFonts w:hint="eastAsia" w:ascii="Times New Roman" w:hAnsi="Times New Roman" w:eastAsia="仿宋_GB2312" w:cs="Times New Roman"/>
          <w:sz w:val="32"/>
          <w:szCs w:val="32"/>
          <w:highlight w:val="none"/>
          <w:lang w:val="zh-CN" w:eastAsia="zh-CN"/>
        </w:rPr>
        <w:t>50.00万元。</w:t>
      </w:r>
    </w:p>
    <w:p>
      <w:pPr>
        <w:ind w:firstLine="640" w:firstLineChars="200"/>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zh-CN" w:eastAsia="zh-CN"/>
        </w:rPr>
        <w:t>国有资本经营预算财政拨款</w:t>
      </w:r>
      <w:r>
        <w:rPr>
          <w:rFonts w:hint="eastAsia" w:ascii="Times New Roman" w:hAnsi="Times New Roman" w:eastAsia="仿宋_GB2312" w:cs="Times New Roman"/>
          <w:sz w:val="32"/>
          <w:szCs w:val="32"/>
          <w:highlight w:val="none"/>
          <w:lang w:val="en-US" w:eastAsia="zh-CN"/>
        </w:rPr>
        <w:t>收入支出</w:t>
      </w:r>
      <w:r>
        <w:rPr>
          <w:rFonts w:hint="eastAsia" w:ascii="Times New Roman" w:hAnsi="Times New Roman" w:eastAsia="仿宋_GB2312" w:cs="Times New Roman"/>
          <w:sz w:val="32"/>
          <w:szCs w:val="32"/>
          <w:highlight w:val="none"/>
          <w:lang w:val="zh-CN" w:eastAsia="zh-CN"/>
        </w:rPr>
        <w:t>与上年相比，增加35.00万元，增长233.33%，主要原因是：</w:t>
      </w:r>
      <w:r>
        <w:rPr>
          <w:rFonts w:hint="eastAsia" w:eastAsia="仿宋_GB2312" w:cs="Times New Roman"/>
          <w:sz w:val="32"/>
          <w:szCs w:val="32"/>
          <w:highlight w:val="none"/>
          <w:lang w:val="en-US" w:eastAsia="zh-CN"/>
        </w:rPr>
        <w:t>2023年有</w:t>
      </w:r>
      <w:r>
        <w:rPr>
          <w:rFonts w:hint="eastAsia" w:ascii="Times New Roman" w:hAnsi="Times New Roman" w:eastAsia="仿宋_GB2312" w:cs="Times New Roman"/>
          <w:sz w:val="32"/>
          <w:szCs w:val="32"/>
          <w:highlight w:val="none"/>
          <w:lang w:val="zh-CN" w:eastAsia="zh-CN"/>
        </w:rPr>
        <w:t>炭黑退休人员及遗属安置费</w:t>
      </w:r>
      <w:r>
        <w:rPr>
          <w:rFonts w:hint="eastAsia" w:eastAsia="仿宋_GB2312" w:cs="Times New Roman"/>
          <w:sz w:val="32"/>
          <w:szCs w:val="32"/>
          <w:highlight w:val="none"/>
          <w:lang w:val="zh-CN" w:eastAsia="zh-CN"/>
        </w:rPr>
        <w:t>、制定国有资本授权经营体制具体实施方案子项目共两个项目，</w:t>
      </w:r>
      <w:r>
        <w:rPr>
          <w:rFonts w:hint="eastAsia" w:eastAsia="仿宋_GB2312" w:cs="Times New Roman"/>
          <w:sz w:val="32"/>
          <w:szCs w:val="32"/>
          <w:highlight w:val="none"/>
          <w:lang w:val="en-US" w:eastAsia="zh-CN"/>
        </w:rPr>
        <w:t>2022年只有</w:t>
      </w:r>
      <w:r>
        <w:rPr>
          <w:rFonts w:hint="eastAsia" w:ascii="Times New Roman" w:hAnsi="Times New Roman" w:eastAsia="仿宋_GB2312" w:cs="Times New Roman"/>
          <w:sz w:val="32"/>
          <w:szCs w:val="32"/>
          <w:highlight w:val="none"/>
          <w:lang w:val="zh-CN" w:eastAsia="zh-CN"/>
        </w:rPr>
        <w:t>炭黑退休人员及遗属安置费</w:t>
      </w:r>
      <w:r>
        <w:rPr>
          <w:rFonts w:hint="eastAsia" w:eastAsia="仿宋_GB2312" w:cs="Times New Roman"/>
          <w:sz w:val="32"/>
          <w:szCs w:val="32"/>
          <w:highlight w:val="none"/>
          <w:lang w:val="zh-CN" w:eastAsia="zh-CN"/>
        </w:rPr>
        <w:t>一个项目</w:t>
      </w:r>
      <w:r>
        <w:rPr>
          <w:rFonts w:hint="eastAsia" w:ascii="Times New Roman" w:hAnsi="Times New Roman" w:eastAsia="仿宋_GB2312" w:cs="Times New Roman"/>
          <w:sz w:val="32"/>
          <w:szCs w:val="32"/>
          <w:highlight w:val="none"/>
          <w:lang w:val="zh-CN" w:eastAsia="zh-CN"/>
        </w:rPr>
        <w:t>。与年初预算相比，年初预算数</w:t>
      </w:r>
      <w:r>
        <w:rPr>
          <w:rFonts w:hint="eastAsia" w:ascii="Times New Roman" w:hAnsi="Times New Roman" w:eastAsia="仿宋_GB2312" w:cs="Times New Roman"/>
          <w:sz w:val="32"/>
          <w:szCs w:val="32"/>
          <w:highlight w:val="none"/>
          <w:lang w:val="en-US" w:eastAsia="zh-CN"/>
        </w:rPr>
        <w:t>1,444.47</w:t>
      </w:r>
      <w:r>
        <w:rPr>
          <w:rFonts w:hint="eastAsia" w:ascii="Times New Roman" w:hAnsi="Times New Roman" w:eastAsia="仿宋_GB2312" w:cs="Times New Roman"/>
          <w:sz w:val="32"/>
          <w:szCs w:val="32"/>
          <w:highlight w:val="none"/>
          <w:lang w:val="zh-CN" w:eastAsia="zh-CN"/>
        </w:rPr>
        <w:t>万元，决算数</w:t>
      </w:r>
      <w:r>
        <w:rPr>
          <w:rFonts w:hint="eastAsia" w:ascii="Times New Roman" w:hAnsi="Times New Roman" w:eastAsia="仿宋_GB2312" w:cs="Times New Roman"/>
          <w:sz w:val="32"/>
          <w:szCs w:val="32"/>
          <w:highlight w:val="none"/>
          <w:lang w:val="en-US" w:eastAsia="zh-CN"/>
        </w:rPr>
        <w:t>50.00</w:t>
      </w:r>
      <w:r>
        <w:rPr>
          <w:rFonts w:hint="eastAsia" w:ascii="Times New Roman" w:hAnsi="Times New Roman" w:eastAsia="仿宋_GB2312" w:cs="Times New Roman"/>
          <w:sz w:val="32"/>
          <w:szCs w:val="32"/>
          <w:highlight w:val="none"/>
          <w:lang w:val="zh-CN" w:eastAsia="zh-CN"/>
        </w:rPr>
        <w:t>万元，预决算差异率-96.54%，主要原因是：</w:t>
      </w:r>
      <w:r>
        <w:rPr>
          <w:rFonts w:hint="eastAsia" w:eastAsia="仿宋_GB2312" w:cs="Times New Roman"/>
          <w:sz w:val="32"/>
          <w:szCs w:val="32"/>
          <w:highlight w:val="none"/>
          <w:lang w:val="zh-CN" w:eastAsia="zh-CN"/>
        </w:rPr>
        <w:t>国有企业退休人员社会化管理资金等几个项目未支付。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Times New Roman" w:hAnsi="Times New Roman" w:eastAsia="仿宋_GB2312" w:cs="Times New Roman"/>
          <w:sz w:val="32"/>
          <w:szCs w:val="32"/>
          <w:highlight w:val="none"/>
          <w:lang w:val="zh-CN" w:eastAsia="zh-CN"/>
        </w:rPr>
        <w:t>国有资本经营预算财政拨款支出</w:t>
      </w:r>
      <w:r>
        <w:rPr>
          <w:rFonts w:hint="eastAsia" w:ascii="Times New Roman" w:hAnsi="Times New Roman" w:eastAsia="仿宋_GB2312" w:cs="Times New Roman"/>
          <w:sz w:val="32"/>
          <w:szCs w:val="32"/>
          <w:highlight w:val="none"/>
          <w:lang w:val="en-US" w:eastAsia="zh-CN"/>
        </w:rPr>
        <w:t>50.00</w:t>
      </w:r>
      <w:r>
        <w:rPr>
          <w:rFonts w:hint="eastAsia" w:ascii="Times New Roman" w:hAnsi="Times New Roman" w:eastAsia="仿宋_GB2312" w:cs="Times New Roman"/>
          <w:sz w:val="32"/>
          <w:szCs w:val="32"/>
          <w:highlight w:val="none"/>
          <w:lang w:val="zh-CN" w:eastAsia="zh-CN"/>
        </w:rPr>
        <w:t>万元。</w:t>
      </w:r>
    </w:p>
    <w:p>
      <w:pPr>
        <w:ind w:firstLine="640" w:firstLineChars="200"/>
        <w:rPr>
          <w:rFonts w:hint="eastAsia" w:eastAsia="仿宋_GB2312" w:cs="Times New Roman"/>
          <w:sz w:val="32"/>
          <w:szCs w:val="32"/>
          <w:highlight w:val="none"/>
          <w:lang w:val="zh-CN" w:eastAsia="zh-CN"/>
        </w:rPr>
      </w:pPr>
      <w:r>
        <w:rPr>
          <w:rFonts w:hint="eastAsia" w:eastAsia="仿宋_GB2312" w:cs="Times New Roman"/>
          <w:sz w:val="32"/>
          <w:szCs w:val="32"/>
          <w:highlight w:val="none"/>
          <w:lang w:val="zh-CN" w:eastAsia="zh-CN"/>
        </w:rPr>
        <w:t>1.国有资本经营预算支出（类）国有企业政策性补贴（款）国有企业政策性补贴（项）:支出决算数为15.00</w:t>
      </w:r>
      <w:r>
        <w:rPr>
          <w:rFonts w:hint="eastAsia" w:eastAsia="仿宋_GB2312" w:cs="Times New Roman"/>
          <w:sz w:val="32"/>
          <w:szCs w:val="32"/>
          <w:highlight w:val="none"/>
          <w:lang w:val="en-US" w:eastAsia="zh-CN"/>
        </w:rPr>
        <w:t>万元</w:t>
      </w:r>
      <w:r>
        <w:rPr>
          <w:rFonts w:hint="eastAsia" w:eastAsia="仿宋_GB2312" w:cs="Times New Roman"/>
          <w:sz w:val="32"/>
          <w:szCs w:val="32"/>
          <w:highlight w:val="none"/>
          <w:lang w:val="zh-CN" w:eastAsia="zh-CN"/>
        </w:rPr>
        <w:t>，比上年决算</w:t>
      </w:r>
      <w:r>
        <w:rPr>
          <w:rFonts w:hint="eastAsia" w:eastAsia="仿宋_GB2312" w:cs="Times New Roman"/>
          <w:sz w:val="32"/>
          <w:szCs w:val="32"/>
          <w:highlight w:val="none"/>
          <w:lang w:val="en-US" w:eastAsia="zh-CN"/>
        </w:rPr>
        <w:t>增加</w:t>
      </w:r>
      <w:r>
        <w:rPr>
          <w:rFonts w:hint="eastAsia" w:eastAsia="仿宋_GB2312" w:cs="Times New Roman"/>
          <w:sz w:val="32"/>
          <w:szCs w:val="32"/>
          <w:highlight w:val="none"/>
          <w:lang w:val="zh-CN" w:eastAsia="zh-CN"/>
        </w:rPr>
        <w:t>0.00</w:t>
      </w:r>
      <w:r>
        <w:rPr>
          <w:rFonts w:hint="eastAsia" w:eastAsia="仿宋_GB2312" w:cs="Times New Roman"/>
          <w:sz w:val="32"/>
          <w:szCs w:val="32"/>
          <w:highlight w:val="none"/>
          <w:lang w:val="en-US" w:eastAsia="zh-CN"/>
        </w:rPr>
        <w:t>万元</w:t>
      </w:r>
      <w:r>
        <w:rPr>
          <w:rFonts w:hint="eastAsia" w:eastAsia="仿宋_GB2312" w:cs="Times New Roman"/>
          <w:sz w:val="32"/>
          <w:szCs w:val="32"/>
          <w:highlight w:val="none"/>
          <w:lang w:val="zh-CN" w:eastAsia="zh-CN"/>
        </w:rPr>
        <w:t>，</w:t>
      </w:r>
      <w:r>
        <w:rPr>
          <w:rFonts w:hint="eastAsia" w:eastAsia="仿宋_GB2312" w:cs="Times New Roman"/>
          <w:sz w:val="32"/>
          <w:szCs w:val="32"/>
          <w:highlight w:val="none"/>
          <w:lang w:val="en-US" w:eastAsia="zh-CN"/>
        </w:rPr>
        <w:t>增长</w:t>
      </w:r>
      <w:r>
        <w:rPr>
          <w:rFonts w:hint="eastAsia" w:eastAsia="仿宋_GB2312" w:cs="Times New Roman"/>
          <w:sz w:val="32"/>
          <w:szCs w:val="32"/>
          <w:highlight w:val="none"/>
          <w:lang w:val="zh-CN" w:eastAsia="zh-CN"/>
        </w:rPr>
        <w:t>0.00%，主要原因是：炭黑退休人员及遗属安置费</w:t>
      </w:r>
      <w:r>
        <w:rPr>
          <w:rFonts w:hint="eastAsia" w:eastAsia="仿宋_GB2312" w:cs="Times New Roman"/>
          <w:sz w:val="32"/>
          <w:szCs w:val="32"/>
          <w:highlight w:val="none"/>
          <w:lang w:val="en-US" w:eastAsia="zh-CN"/>
        </w:rPr>
        <w:t>2022年与2023年金额一样</w:t>
      </w:r>
      <w:r>
        <w:rPr>
          <w:rFonts w:hint="eastAsia" w:eastAsia="仿宋_GB2312" w:cs="Times New Roman"/>
          <w:sz w:val="32"/>
          <w:szCs w:val="32"/>
          <w:highlight w:val="none"/>
          <w:lang w:val="zh-CN" w:eastAsia="zh-CN"/>
        </w:rPr>
        <w:t>。</w:t>
      </w:r>
    </w:p>
    <w:p>
      <w:pPr>
        <w:ind w:firstLine="640" w:firstLineChars="200"/>
        <w:rPr>
          <w:rFonts w:hint="eastAsia" w:eastAsia="仿宋_GB2312" w:cs="Times New Roman"/>
          <w:sz w:val="32"/>
          <w:szCs w:val="32"/>
          <w:highlight w:val="none"/>
          <w:lang w:val="zh-CN" w:eastAsia="zh-CN"/>
        </w:rPr>
      </w:pPr>
      <w:r>
        <w:rPr>
          <w:rFonts w:hint="eastAsia" w:eastAsia="仿宋_GB2312" w:cs="Times New Roman"/>
          <w:sz w:val="32"/>
          <w:szCs w:val="32"/>
          <w:highlight w:val="none"/>
          <w:lang w:val="zh-CN" w:eastAsia="zh-CN"/>
        </w:rPr>
        <w:t>2.国有资本经营预算支出（类）国有企业政策性补贴（款）国有企业政策性补贴（项）:支出决算数为35.00</w:t>
      </w:r>
      <w:r>
        <w:rPr>
          <w:rFonts w:hint="eastAsia" w:eastAsia="仿宋_GB2312" w:cs="Times New Roman"/>
          <w:sz w:val="32"/>
          <w:szCs w:val="32"/>
          <w:highlight w:val="none"/>
          <w:lang w:val="en-US" w:eastAsia="zh-CN"/>
        </w:rPr>
        <w:t>万元</w:t>
      </w:r>
      <w:r>
        <w:rPr>
          <w:rFonts w:hint="eastAsia" w:eastAsia="仿宋_GB2312" w:cs="Times New Roman"/>
          <w:sz w:val="32"/>
          <w:szCs w:val="32"/>
          <w:highlight w:val="none"/>
          <w:lang w:val="zh-CN" w:eastAsia="zh-CN"/>
        </w:rPr>
        <w:t>，比上年决算</w:t>
      </w:r>
      <w:r>
        <w:rPr>
          <w:rFonts w:hint="eastAsia" w:eastAsia="仿宋_GB2312" w:cs="Times New Roman"/>
          <w:sz w:val="32"/>
          <w:szCs w:val="32"/>
          <w:highlight w:val="none"/>
          <w:lang w:val="en-US" w:eastAsia="zh-CN"/>
        </w:rPr>
        <w:t>增加35</w:t>
      </w:r>
      <w:r>
        <w:rPr>
          <w:rFonts w:hint="eastAsia" w:eastAsia="仿宋_GB2312" w:cs="Times New Roman"/>
          <w:sz w:val="32"/>
          <w:szCs w:val="32"/>
          <w:highlight w:val="none"/>
          <w:lang w:val="zh-CN" w:eastAsia="zh-CN"/>
        </w:rPr>
        <w:t>.00</w:t>
      </w:r>
      <w:r>
        <w:rPr>
          <w:rFonts w:hint="eastAsia" w:eastAsia="仿宋_GB2312" w:cs="Times New Roman"/>
          <w:sz w:val="32"/>
          <w:szCs w:val="32"/>
          <w:highlight w:val="none"/>
          <w:lang w:val="en-US" w:eastAsia="zh-CN"/>
        </w:rPr>
        <w:t>万元</w:t>
      </w:r>
      <w:r>
        <w:rPr>
          <w:rFonts w:hint="eastAsia" w:eastAsia="仿宋_GB2312" w:cs="Times New Roman"/>
          <w:sz w:val="32"/>
          <w:szCs w:val="32"/>
          <w:highlight w:val="none"/>
          <w:lang w:val="zh-CN" w:eastAsia="zh-CN"/>
        </w:rPr>
        <w:t>，</w:t>
      </w:r>
      <w:r>
        <w:rPr>
          <w:rFonts w:hint="eastAsia" w:eastAsia="仿宋_GB2312" w:cs="Times New Roman"/>
          <w:sz w:val="32"/>
          <w:szCs w:val="32"/>
          <w:highlight w:val="none"/>
          <w:lang w:val="en-US" w:eastAsia="zh-CN"/>
        </w:rPr>
        <w:t>增长100</w:t>
      </w:r>
      <w:r>
        <w:rPr>
          <w:rFonts w:hint="eastAsia" w:eastAsia="仿宋_GB2312" w:cs="Times New Roman"/>
          <w:sz w:val="32"/>
          <w:szCs w:val="32"/>
          <w:highlight w:val="none"/>
          <w:lang w:val="zh-CN" w:eastAsia="zh-CN"/>
        </w:rPr>
        <w:t>%，主要原因是：</w:t>
      </w:r>
      <w:r>
        <w:rPr>
          <w:rFonts w:hint="eastAsia" w:eastAsia="仿宋_GB2312" w:cs="Times New Roman"/>
          <w:sz w:val="32"/>
          <w:szCs w:val="32"/>
          <w:highlight w:val="none"/>
          <w:lang w:val="en-US" w:eastAsia="zh-CN"/>
        </w:rPr>
        <w:t>2023年</w:t>
      </w:r>
      <w:r>
        <w:rPr>
          <w:rFonts w:hint="eastAsia" w:eastAsia="仿宋_GB2312" w:cs="Times New Roman"/>
          <w:sz w:val="32"/>
          <w:szCs w:val="32"/>
          <w:highlight w:val="none"/>
          <w:lang w:val="zh-CN" w:eastAsia="zh-CN"/>
        </w:rPr>
        <w:t>制定国有资本授权经营体制具体实施方案子项目</w:t>
      </w:r>
      <w:r>
        <w:rPr>
          <w:rFonts w:hint="eastAsia" w:eastAsia="仿宋_GB2312" w:cs="Times New Roman"/>
          <w:sz w:val="32"/>
          <w:szCs w:val="32"/>
          <w:highlight w:val="none"/>
          <w:lang w:val="en-US" w:eastAsia="zh-CN"/>
        </w:rPr>
        <w:t>35万元，2022年没有</w:t>
      </w:r>
      <w:r>
        <w:rPr>
          <w:rFonts w:hint="eastAsia"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20" w:name="_Toc7314"/>
      <w:bookmarkStart w:id="21" w:name="_Toc123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rPr>
      </w:pPr>
      <w:bookmarkStart w:id="22" w:name="_Toc14519"/>
      <w:bookmarkStart w:id="23" w:name="_Toc13105"/>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sz w:val="32"/>
          <w:szCs w:val="32"/>
          <w:highlight w:val="none"/>
          <w:lang w:val="zh-CN" w:eastAsia="zh-CN"/>
        </w:rPr>
      </w:pPr>
      <w:bookmarkStart w:id="24" w:name="_Toc227"/>
      <w:bookmarkStart w:id="25" w:name="_Toc26704"/>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en-US" w:eastAsia="zh-CN"/>
        </w:rPr>
        <w:t>库尔勒市财政局（行政单位和参照公务员法管理事业单位）机关运行经费支出177.13万元，比上年增加80.59万元，增长83.48%,主要原因是：</w:t>
      </w:r>
      <w:r>
        <w:rPr>
          <w:rFonts w:hint="eastAsia" w:eastAsia="仿宋_GB2312" w:cs="Times New Roman"/>
          <w:sz w:val="32"/>
          <w:szCs w:val="32"/>
          <w:highlight w:val="none"/>
          <w:lang w:val="en-US" w:eastAsia="zh-CN"/>
        </w:rPr>
        <w:t>委托业务费、差旅费、培训费等支出增加</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sz w:val="32"/>
          <w:szCs w:val="30"/>
          <w:highlight w:val="none"/>
          <w:lang w:val="zh-CN" w:eastAsia="zh-CN"/>
        </w:rPr>
      </w:pPr>
      <w:r>
        <w:rPr>
          <w:rFonts w:hint="eastAsia" w:ascii="Times New Roman" w:hAnsi="Times New Roman" w:eastAsia="黑体" w:cs="Times New Roman"/>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rPr>
      </w:pPr>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zh-CN"/>
        </w:rPr>
        <w:t>政府采购支出总额</w:t>
      </w:r>
      <w:r>
        <w:rPr>
          <w:rFonts w:hint="eastAsia" w:ascii="Times New Roman" w:hAnsi="Times New Roman" w:eastAsia="仿宋_GB2312" w:cs="Times New Roman"/>
          <w:sz w:val="32"/>
          <w:szCs w:val="32"/>
          <w:highlight w:val="none"/>
          <w:lang w:val="zh-CN" w:eastAsia="zh-CN"/>
        </w:rPr>
        <w:t>232.48万元</w:t>
      </w:r>
      <w:r>
        <w:rPr>
          <w:rFonts w:hint="eastAsia" w:ascii="Times New Roman" w:hAnsi="Times New Roman" w:eastAsia="仿宋_GB2312" w:cs="Times New Roman"/>
          <w:sz w:val="32"/>
          <w:szCs w:val="32"/>
          <w:highlight w:val="none"/>
          <w:lang w:val="zh-CN"/>
        </w:rPr>
        <w:t>，</w:t>
      </w:r>
      <w:r>
        <w:rPr>
          <w:rFonts w:hint="eastAsia" w:ascii="Times New Roman" w:hAnsi="Times New Roman" w:eastAsia="仿宋_GB2312" w:cs="Times New Roman"/>
          <w:sz w:val="32"/>
          <w:szCs w:val="32"/>
          <w:highlight w:val="none"/>
          <w:lang w:val="zh-CN" w:eastAsia="zh-CN"/>
        </w:rPr>
        <w:t>其中：政府采购货物支出37.88万元、政府采购工程支出7.99万元、政府采购服务支出186.60万元。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zh-CN" w:eastAsia="zh-CN"/>
        </w:rPr>
        <w:t>授予中小企业合同金额230.77万元，占政府采购支出总额的99.27</w:t>
      </w:r>
      <w:r>
        <w:rPr>
          <w:rFonts w:hint="default"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zh-CN" w:eastAsia="zh-CN"/>
        </w:rPr>
        <w:t>，其中：授予小微企业合同金额212.15万元，占政府采购支出总额的91.26</w:t>
      </w:r>
      <w:r>
        <w:rPr>
          <w:rFonts w:hint="default"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sz w:val="32"/>
          <w:szCs w:val="30"/>
          <w:highlight w:val="none"/>
          <w:lang w:val="zh-CN" w:eastAsia="zh-CN"/>
        </w:rPr>
      </w:pPr>
      <w:bookmarkStart w:id="26" w:name="_Toc4591"/>
      <w:bookmarkStart w:id="27" w:name="_Toc8391"/>
      <w:r>
        <w:rPr>
          <w:rFonts w:hint="eastAsia" w:ascii="Times New Roman" w:hAnsi="Times New Roman" w:eastAsia="黑体" w:cs="Times New Roman"/>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截至2023</w:t>
      </w:r>
      <w:r>
        <w:rPr>
          <w:rFonts w:hint="eastAsia" w:ascii="Times New Roman" w:hAnsi="Times New Roman" w:eastAsia="仿宋_GB2312" w:cs="Times New Roman"/>
          <w:sz w:val="32"/>
          <w:szCs w:val="32"/>
          <w:highlight w:val="none"/>
          <w:lang w:val="zh-CN" w:eastAsia="zh-CN"/>
        </w:rPr>
        <w:t>年</w:t>
      </w:r>
      <w:r>
        <w:rPr>
          <w:rFonts w:hint="eastAsia" w:ascii="Times New Roman" w:hAnsi="Times New Roman" w:eastAsia="仿宋_GB2312" w:cs="Times New Roman"/>
          <w:sz w:val="32"/>
          <w:szCs w:val="32"/>
          <w:highlight w:val="none"/>
          <w:lang w:val="en-US" w:eastAsia="zh-CN"/>
        </w:rPr>
        <w:t>12月31日</w:t>
      </w:r>
      <w:r>
        <w:rPr>
          <w:rFonts w:hint="eastAsia"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固定资产原值</w:t>
      </w:r>
      <w:r>
        <w:rPr>
          <w:rFonts w:hint="eastAsia" w:ascii="Times New Roman" w:hAnsi="Times New Roman" w:eastAsia="仿宋_GB2312" w:cs="Times New Roman"/>
          <w:sz w:val="32"/>
          <w:szCs w:val="32"/>
          <w:highlight w:val="none"/>
          <w:lang w:val="zh-CN" w:eastAsia="zh-CN"/>
        </w:rPr>
        <w:t>1,053.98</w:t>
      </w:r>
      <w:r>
        <w:rPr>
          <w:rFonts w:hint="eastAsia" w:ascii="Times New Roman" w:hAnsi="Times New Roman" w:eastAsia="仿宋_GB2312" w:cs="Times New Roman"/>
          <w:sz w:val="32"/>
          <w:szCs w:val="32"/>
          <w:highlight w:val="none"/>
          <w:lang w:val="en-US" w:eastAsia="zh-CN"/>
        </w:rPr>
        <w:t>万元，房</w:t>
      </w:r>
      <w:r>
        <w:rPr>
          <w:rFonts w:hint="eastAsia" w:ascii="Times New Roman" w:hAnsi="Times New Roman" w:eastAsia="仿宋_GB2312" w:cs="Times New Roman"/>
          <w:sz w:val="32"/>
          <w:szCs w:val="32"/>
          <w:highlight w:val="none"/>
          <w:lang w:val="zh-CN" w:eastAsia="zh-CN"/>
        </w:rPr>
        <w:t>屋0.0平方米，价值0.00万元。车辆9辆，价值178.77万元，其中：副部（省）级及以上领导用车0辆、主要</w:t>
      </w:r>
      <w:r>
        <w:rPr>
          <w:rFonts w:hint="eastAsia" w:ascii="Times New Roman" w:hAnsi="Times New Roman" w:eastAsia="仿宋_GB2312" w:cs="Times New Roman"/>
          <w:sz w:val="32"/>
          <w:szCs w:val="32"/>
          <w:highlight w:val="none"/>
          <w:lang w:val="en-US" w:eastAsia="zh-CN"/>
        </w:rPr>
        <w:t>负责人</w:t>
      </w:r>
      <w:r>
        <w:rPr>
          <w:rFonts w:hint="eastAsia" w:ascii="Times New Roman" w:hAnsi="Times New Roman" w:eastAsia="仿宋_GB2312" w:cs="Times New Roman"/>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sz w:val="32"/>
          <w:szCs w:val="32"/>
          <w:highlight w:val="none"/>
          <w:lang w:val="en-US" w:eastAsia="zh-CN"/>
        </w:rPr>
        <w:t>服务</w:t>
      </w:r>
      <w:r>
        <w:rPr>
          <w:rFonts w:hint="eastAsia" w:ascii="Times New Roman" w:hAnsi="Times New Roman" w:eastAsia="仿宋_GB2312" w:cs="Times New Roman"/>
          <w:sz w:val="32"/>
          <w:szCs w:val="32"/>
          <w:highlight w:val="none"/>
          <w:lang w:val="zh-CN" w:eastAsia="zh-CN"/>
        </w:rPr>
        <w:t>用车0辆、其他用车9辆，其他用车主要是：</w:t>
      </w:r>
      <w:r>
        <w:rPr>
          <w:rFonts w:hint="eastAsia" w:eastAsia="仿宋_GB2312" w:cs="Times New Roman"/>
          <w:sz w:val="32"/>
          <w:szCs w:val="32"/>
          <w:highlight w:val="none"/>
          <w:lang w:val="zh-CN" w:eastAsia="zh-CN"/>
        </w:rPr>
        <w:t>办公用车</w:t>
      </w:r>
      <w:r>
        <w:rPr>
          <w:rFonts w:hint="eastAsia" w:ascii="Times New Roman" w:hAnsi="Times New Roman" w:eastAsia="仿宋_GB2312" w:cs="Times New Roman"/>
          <w:sz w:val="32"/>
          <w:szCs w:val="32"/>
          <w:highlight w:val="none"/>
          <w:lang w:val="zh-CN" w:eastAsia="zh-CN"/>
        </w:rPr>
        <w:t>；单价100万元（含）以上设备（不含车辆）0</w:t>
      </w:r>
      <w:r>
        <w:rPr>
          <w:rFonts w:hint="eastAsia" w:ascii="Times New Roman" w:hAnsi="Times New Roman" w:eastAsia="仿宋_GB2312" w:cs="Times New Roman"/>
          <w:sz w:val="32"/>
          <w:szCs w:val="32"/>
          <w:highlight w:val="none"/>
          <w:lang w:val="en-US" w:eastAsia="zh-CN"/>
        </w:rPr>
        <w:t>台（</w:t>
      </w:r>
      <w:r>
        <w:rPr>
          <w:rFonts w:hint="eastAsia" w:ascii="Times New Roman" w:hAnsi="Times New Roman" w:eastAsia="仿宋_GB2312" w:cs="Times New Roman"/>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28" w:name="_Toc435"/>
      <w:bookmarkStart w:id="29" w:name="_Toc11283"/>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sz w:val="32"/>
          <w:szCs w:val="32"/>
          <w:highlight w:val="none"/>
          <w:lang w:eastAsia="zh-CN"/>
        </w:rPr>
        <w:t>根据预算绩效管理要求，我</w:t>
      </w:r>
      <w:r>
        <w:rPr>
          <w:rFonts w:hint="eastAsia" w:ascii="仿宋_GB2312" w:eastAsia="仿宋_GB2312"/>
          <w:sz w:val="32"/>
          <w:szCs w:val="32"/>
          <w:highlight w:val="none"/>
          <w:lang w:val="en-US" w:eastAsia="zh-CN"/>
        </w:rPr>
        <w:t>部门</w:t>
      </w:r>
      <w:r>
        <w:rPr>
          <w:rFonts w:hint="eastAsia" w:ascii="仿宋_GB2312" w:eastAsia="仿宋_GB2312"/>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sz w:val="32"/>
          <w:szCs w:val="32"/>
          <w:highlight w:val="none"/>
          <w:lang w:val="en-US" w:eastAsia="zh-CN"/>
        </w:rPr>
        <w:t>预算总额3115.02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实际执行总额3115.02</w:t>
      </w:r>
      <w:r>
        <w:rPr>
          <w:rFonts w:hint="eastAsia" w:ascii="仿宋_GB2312" w:eastAsia="仿宋_GB2312"/>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sz w:val="32"/>
          <w:szCs w:val="32"/>
          <w:highlight w:val="none"/>
          <w:lang w:eastAsia="zh-CN"/>
        </w:rPr>
        <w:t>预算绩效评价项目</w:t>
      </w:r>
      <w:r>
        <w:rPr>
          <w:rFonts w:hint="eastAsia" w:ascii="仿宋_GB2312" w:eastAsia="仿宋_GB2312"/>
          <w:sz w:val="32"/>
          <w:szCs w:val="32"/>
          <w:highlight w:val="none"/>
          <w:lang w:val="en-US" w:eastAsia="zh-CN"/>
        </w:rPr>
        <w:t>10</w:t>
      </w:r>
      <w:r>
        <w:rPr>
          <w:rFonts w:hint="eastAsia" w:ascii="仿宋_GB2312" w:eastAsia="仿宋_GB2312"/>
          <w:sz w:val="32"/>
          <w:szCs w:val="32"/>
          <w:highlight w:val="none"/>
          <w:lang w:eastAsia="zh-CN"/>
        </w:rPr>
        <w:t>个，</w:t>
      </w:r>
      <w:r>
        <w:rPr>
          <w:rFonts w:hint="eastAsia" w:ascii="仿宋_GB2312" w:eastAsia="仿宋_GB2312"/>
          <w:sz w:val="32"/>
          <w:szCs w:val="32"/>
          <w:highlight w:val="none"/>
          <w:lang w:val="en-US" w:eastAsia="zh-CN"/>
        </w:rPr>
        <w:t>全年预算数2489.2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全年执行数1605.62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。预算绩效管理取得的成效：</w:t>
      </w:r>
      <w:r>
        <w:rPr>
          <w:rFonts w:hint="eastAsia" w:ascii="仿宋_GB2312" w:hAnsi="仿宋_GB2312" w:eastAsia="仿宋_GB2312" w:cs="仿宋_GB2312"/>
          <w:color w:val="auto"/>
          <w:sz w:val="32"/>
          <w:szCs w:val="32"/>
        </w:rPr>
        <w:t>一是</w:t>
      </w:r>
      <w:r>
        <w:rPr>
          <w:rFonts w:hint="eastAsia" w:ascii="仿宋_GB2312" w:hAnsi="仿宋_GB2312" w:eastAsia="仿宋_GB2312" w:cs="仿宋_GB2312"/>
          <w:color w:val="auto"/>
          <w:sz w:val="32"/>
          <w:szCs w:val="32"/>
          <w:lang w:eastAsia="zh-CN"/>
        </w:rPr>
        <w:t>结合预算评审、政策评估、不断加大事前绩效评估力度</w:t>
      </w:r>
      <w:r>
        <w:rPr>
          <w:rFonts w:hint="eastAsia" w:ascii="仿宋_GB2312" w:hAnsi="仿宋_GB2312" w:eastAsia="仿宋_GB2312" w:cs="仿宋_GB2312"/>
          <w:color w:val="auto"/>
          <w:sz w:val="32"/>
          <w:szCs w:val="32"/>
        </w:rPr>
        <w:t>；二是</w:t>
      </w:r>
      <w:r>
        <w:rPr>
          <w:rFonts w:hint="eastAsia" w:ascii="仿宋_GB2312" w:hAnsi="仿宋_GB2312" w:eastAsia="仿宋_GB2312" w:cs="仿宋_GB2312"/>
          <w:color w:val="auto"/>
          <w:sz w:val="32"/>
          <w:szCs w:val="32"/>
          <w:lang w:eastAsia="zh-CN"/>
        </w:rPr>
        <w:t>严格绩效目标管理，加强绩效目标审核力度；三是开展绩效运行监</w:t>
      </w:r>
      <w:r>
        <w:rPr>
          <w:rFonts w:hint="eastAsia" w:ascii="仿宋_GB2312" w:hAnsi="仿宋_GB2312" w:eastAsia="仿宋_GB2312" w:cs="仿宋_GB2312"/>
          <w:color w:val="auto"/>
          <w:sz w:val="32"/>
          <w:szCs w:val="32"/>
          <w:highlight w:val="none"/>
          <w:lang w:eastAsia="zh-CN"/>
        </w:rPr>
        <w:t>控；四是完善绩效自评机制</w:t>
      </w:r>
      <w:r>
        <w:rPr>
          <w:rFonts w:hint="eastAsia" w:ascii="仿宋_GB2312" w:eastAsia="仿宋_GB2312"/>
          <w:sz w:val="32"/>
          <w:szCs w:val="32"/>
          <w:highlight w:val="none"/>
          <w:lang w:eastAsia="zh-CN"/>
        </w:rPr>
        <w:t>。发现的问题及原因：</w:t>
      </w:r>
      <w:r>
        <w:rPr>
          <w:rStyle w:val="13"/>
          <w:rFonts w:hint="eastAsia" w:ascii="仿宋_GB2312" w:hAnsi="仿宋_GB2312" w:eastAsia="仿宋_GB2312" w:cs="仿宋_GB2312"/>
          <w:b w:val="0"/>
          <w:bCs w:val="0"/>
          <w:color w:val="auto"/>
          <w:spacing w:val="-4"/>
          <w:sz w:val="32"/>
          <w:szCs w:val="32"/>
          <w:highlight w:val="none"/>
        </w:rPr>
        <w:t>一是对</w:t>
      </w:r>
      <w:r>
        <w:rPr>
          <w:rFonts w:hint="eastAsia" w:ascii="仿宋_GB2312" w:hAnsi="仿宋_GB2312" w:eastAsia="仿宋_GB2312" w:cs="仿宋_GB2312"/>
          <w:color w:val="auto"/>
          <w:sz w:val="32"/>
          <w:szCs w:val="32"/>
          <w:highlight w:val="none"/>
        </w:rPr>
        <w:t>预算绩效</w:t>
      </w:r>
      <w:r>
        <w:rPr>
          <w:rStyle w:val="13"/>
          <w:rFonts w:hint="eastAsia" w:ascii="仿宋_GB2312" w:hAnsi="仿宋_GB2312" w:eastAsia="仿宋_GB2312" w:cs="仿宋_GB2312"/>
          <w:b w:val="0"/>
          <w:bCs w:val="0"/>
          <w:color w:val="auto"/>
          <w:spacing w:val="-4"/>
          <w:sz w:val="32"/>
          <w:szCs w:val="32"/>
          <w:highlight w:val="none"/>
        </w:rPr>
        <w:t>的认识不够深入，</w:t>
      </w:r>
      <w:r>
        <w:rPr>
          <w:rFonts w:hint="eastAsia" w:ascii="仿宋_GB2312" w:hAnsi="仿宋_GB2312" w:eastAsia="仿宋_GB2312" w:cs="仿宋_GB2312"/>
          <w:color w:val="auto"/>
          <w:sz w:val="32"/>
          <w:szCs w:val="32"/>
          <w:highlight w:val="none"/>
        </w:rPr>
        <w:t>相关知识了解还不够、掌握不够，</w:t>
      </w:r>
      <w:r>
        <w:rPr>
          <w:rStyle w:val="13"/>
          <w:rFonts w:hint="eastAsia" w:ascii="仿宋_GB2312" w:hAnsi="仿宋_GB2312" w:eastAsia="仿宋_GB2312" w:cs="仿宋_GB2312"/>
          <w:b w:val="0"/>
          <w:bCs w:val="0"/>
          <w:color w:val="auto"/>
          <w:spacing w:val="-4"/>
          <w:sz w:val="32"/>
          <w:szCs w:val="32"/>
          <w:highlight w:val="none"/>
        </w:rPr>
        <w:t>把绩效管理简单等同于工作目标、工作考核和业务管理；二是</w:t>
      </w:r>
      <w:r>
        <w:rPr>
          <w:rFonts w:hint="eastAsia" w:ascii="仿宋_GB2312" w:hAnsi="仿宋_GB2312" w:eastAsia="仿宋_GB2312" w:cs="仿宋_GB2312"/>
          <w:color w:val="auto"/>
          <w:sz w:val="32"/>
          <w:szCs w:val="32"/>
          <w:highlight w:val="none"/>
        </w:rPr>
        <w:t>资金管理水平有待进一步提高，财务审核还需进一步加强</w:t>
      </w:r>
      <w:r>
        <w:rPr>
          <w:rFonts w:hint="eastAsia" w:ascii="仿宋_GB2312" w:eastAsia="仿宋_GB2312"/>
          <w:sz w:val="32"/>
          <w:szCs w:val="32"/>
          <w:highlight w:val="none"/>
          <w:lang w:eastAsia="zh-CN"/>
        </w:rPr>
        <w:t>。下一步改进措施：</w:t>
      </w:r>
      <w:r>
        <w:rPr>
          <w:rFonts w:hint="eastAsia" w:ascii="仿宋_GB2312" w:hAnsi="仿宋_GB2312" w:eastAsia="仿宋_GB2312" w:cs="仿宋_GB2312"/>
          <w:color w:val="auto"/>
          <w:sz w:val="32"/>
          <w:szCs w:val="32"/>
        </w:rPr>
        <w:t>一是</w:t>
      </w:r>
      <w:r>
        <w:rPr>
          <w:rStyle w:val="13"/>
          <w:rFonts w:hint="eastAsia" w:ascii="仿宋_GB2312" w:hAnsi="仿宋_GB2312" w:eastAsia="仿宋_GB2312" w:cs="仿宋_GB2312"/>
          <w:b w:val="0"/>
          <w:bCs w:val="0"/>
          <w:color w:val="auto"/>
          <w:spacing w:val="-4"/>
          <w:sz w:val="32"/>
          <w:szCs w:val="32"/>
        </w:rPr>
        <w:t>建立健全的预算绩效管理体制，加强对预算绩效相关知识的了解和掌握，促进绩效管理工作向广度和深度延伸，切实提高部门预算收支管理水平；二是</w:t>
      </w:r>
      <w:r>
        <w:rPr>
          <w:rFonts w:hint="eastAsia" w:ascii="仿宋_GB2312" w:hAnsi="仿宋_GB2312" w:eastAsia="仿宋_GB2312" w:cs="仿宋_GB2312"/>
          <w:color w:val="auto"/>
          <w:sz w:val="32"/>
          <w:szCs w:val="32"/>
        </w:rPr>
        <w:t>加强财务管理，严格财务审核，在费用报账支付时，按照预算规定费用项目和用途进行资金使用审核、列报支付、财务核算，杜绝超支现象发生</w:t>
      </w:r>
      <w:r>
        <w:rPr>
          <w:rFonts w:hint="eastAsia" w:ascii="仿宋_GB2312" w:eastAsia="仿宋_GB2312"/>
          <w:sz w:val="32"/>
          <w:szCs w:val="32"/>
          <w:highlight w:val="none"/>
          <w:lang w:eastAsia="zh-CN"/>
        </w:rPr>
        <w:t>。具体</w:t>
      </w:r>
      <w:r>
        <w:rPr>
          <w:rFonts w:hint="eastAsia" w:ascii="仿宋_GB2312" w:eastAsia="仿宋_GB2312"/>
          <w:sz w:val="32"/>
          <w:szCs w:val="32"/>
          <w:highlight w:val="none"/>
        </w:rPr>
        <w:t>项目自评情况附绩效自评表</w:t>
      </w:r>
      <w:r>
        <w:rPr>
          <w:rFonts w:hint="eastAsia" w:ascii="仿宋_GB2312" w:eastAsia="仿宋_GB2312"/>
          <w:sz w:val="32"/>
          <w:szCs w:val="32"/>
          <w:highlight w:val="none"/>
          <w:lang w:val="en-US" w:eastAsia="zh-CN"/>
        </w:rPr>
        <w:t>及自评报告</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30" w:name="_Toc3250"/>
      <w:bookmarkStart w:id="31" w:name="_Toc24143"/>
      <w:r>
        <w:rPr>
          <w:rFonts w:hint="eastAsia" w:ascii="黑体" w:hAnsi="黑体" w:eastAsia="黑体"/>
          <w:sz w:val="32"/>
          <w:szCs w:val="32"/>
          <w:highlight w:val="none"/>
        </w:rPr>
        <w:br w:type="page"/>
      </w: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r>
        <w:rPr>
          <w:rFonts w:hint="eastAsia" w:ascii="黑体" w:hAnsi="黑体" w:eastAsia="黑体"/>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2" w:name="_Toc2183"/>
      <w:bookmarkStart w:id="33" w:name="_Toc6062"/>
      <w:r>
        <w:rPr>
          <w:rFonts w:hint="eastAsia" w:ascii="黑体" w:hAnsi="黑体" w:eastAsia="仿宋_GB2312" w:cs="宋体"/>
          <w:bCs/>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4" w:name="_Toc24532"/>
      <w:bookmarkStart w:id="35" w:name="_Toc30364"/>
      <w:r>
        <w:rPr>
          <w:rFonts w:hint="eastAsia" w:ascii="黑体" w:hAnsi="黑体" w:eastAsia="仿宋_GB2312" w:cs="宋体"/>
          <w:bCs/>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6" w:name="_Toc21304"/>
      <w:bookmarkStart w:id="37" w:name="_Toc32434"/>
      <w:r>
        <w:rPr>
          <w:rFonts w:hint="eastAsia" w:ascii="黑体" w:hAnsi="黑体" w:eastAsia="仿宋_GB2312" w:cs="宋体"/>
          <w:bCs/>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8" w:name="_Toc14238"/>
      <w:bookmarkStart w:id="39" w:name="_Toc28786"/>
      <w:r>
        <w:rPr>
          <w:rFonts w:hint="eastAsia" w:ascii="黑体" w:hAnsi="黑体" w:eastAsia="仿宋_GB2312" w:cs="宋体"/>
          <w:bCs/>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0" w:name="_Toc14869"/>
      <w:bookmarkStart w:id="41" w:name="_Toc10347"/>
      <w:r>
        <w:rPr>
          <w:rFonts w:hint="eastAsia" w:ascii="黑体" w:hAnsi="黑体" w:eastAsia="仿宋_GB2312" w:cs="宋体"/>
          <w:bCs/>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2" w:name="_Toc5626"/>
      <w:bookmarkStart w:id="43" w:name="_Toc8884"/>
      <w:r>
        <w:rPr>
          <w:rFonts w:hint="eastAsia" w:ascii="黑体" w:hAnsi="黑体" w:eastAsia="仿宋_GB2312" w:cs="宋体"/>
          <w:bCs/>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rPr>
        <w:t>七、</w:t>
      </w:r>
      <w:bookmarkStart w:id="44" w:name="_Toc29106"/>
      <w:bookmarkStart w:id="45" w:name="_Toc32663"/>
      <w:r>
        <w:rPr>
          <w:rFonts w:hint="eastAsia" w:ascii="黑体" w:hAnsi="黑体" w:eastAsia="仿宋_GB2312" w:cs="宋体"/>
          <w:bCs/>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6" w:name="_Toc5453"/>
      <w:bookmarkStart w:id="47" w:name="_Toc7643"/>
      <w:r>
        <w:rPr>
          <w:rFonts w:hint="eastAsia" w:ascii="黑体" w:hAnsi="黑体" w:eastAsia="仿宋_GB2312" w:cs="宋体"/>
          <w:bCs/>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lang w:val="en-US" w:eastAsia="zh-CN"/>
        </w:rPr>
        <w:t>九</w:t>
      </w:r>
      <w:r>
        <w:rPr>
          <w:rFonts w:hint="eastAsia" w:ascii="黑体" w:hAnsi="黑体" w:eastAsia="仿宋_GB2312" w:cs="宋体"/>
          <w:bCs/>
          <w:kern w:val="0"/>
          <w:sz w:val="32"/>
          <w:szCs w:val="32"/>
          <w:highlight w:val="none"/>
        </w:rPr>
        <w:t>、《</w:t>
      </w:r>
      <w:r>
        <w:rPr>
          <w:rFonts w:hint="eastAsia" w:ascii="黑体" w:hAnsi="黑体" w:eastAsia="仿宋_GB2312" w:cs="宋体"/>
          <w:bCs/>
          <w:kern w:val="0"/>
          <w:sz w:val="32"/>
          <w:szCs w:val="32"/>
          <w:highlight w:val="none"/>
          <w:lang w:eastAsia="zh-CN"/>
        </w:rPr>
        <w:t>国有资本经营</w:t>
      </w:r>
      <w:r>
        <w:rPr>
          <w:rFonts w:hint="eastAsia" w:ascii="黑体" w:hAnsi="黑体" w:eastAsia="仿宋_GB2312" w:cs="宋体"/>
          <w:bCs/>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drawing>
          <wp:inline distT="0" distB="0" distL="114300" distR="114300">
            <wp:extent cx="5509260" cy="7513955"/>
            <wp:effectExtent l="0" t="0" r="15240" b="10795"/>
            <wp:docPr id="17" name="图片 17" descr="截图20240812184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截图20240812184711"/>
                    <pic:cNvPicPr>
                      <a:picLocks noChangeAspect="1"/>
                    </pic:cNvPicPr>
                  </pic:nvPicPr>
                  <pic:blipFill>
                    <a:blip r:embed="rId5"/>
                    <a:stretch>
                      <a:fillRect/>
                    </a:stretch>
                  </pic:blipFill>
                  <pic:spPr>
                    <a:xfrm>
                      <a:off x="0" y="0"/>
                      <a:ext cx="5509260" cy="751395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drawing>
          <wp:inline distT="0" distB="0" distL="114300" distR="114300">
            <wp:extent cx="5772150" cy="6963410"/>
            <wp:effectExtent l="0" t="0" r="0" b="8890"/>
            <wp:docPr id="18" name="图片 18" descr="截图20240812184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截图20240812184908"/>
                    <pic:cNvPicPr>
                      <a:picLocks noChangeAspect="1"/>
                    </pic:cNvPicPr>
                  </pic:nvPicPr>
                  <pic:blipFill>
                    <a:blip r:embed="rId6"/>
                    <a:stretch>
                      <a:fillRect/>
                    </a:stretch>
                  </pic:blipFill>
                  <pic:spPr>
                    <a:xfrm>
                      <a:off x="0" y="0"/>
                      <a:ext cx="5772150" cy="696341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drawing>
          <wp:inline distT="0" distB="0" distL="114300" distR="114300">
            <wp:extent cx="5593080" cy="7428865"/>
            <wp:effectExtent l="0" t="0" r="7620" b="635"/>
            <wp:docPr id="19" name="图片 19" descr="截图20240812185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截图20240812185021"/>
                    <pic:cNvPicPr>
                      <a:picLocks noChangeAspect="1"/>
                    </pic:cNvPicPr>
                  </pic:nvPicPr>
                  <pic:blipFill>
                    <a:blip r:embed="rId7"/>
                    <a:stretch>
                      <a:fillRect/>
                    </a:stretch>
                  </pic:blipFill>
                  <pic:spPr>
                    <a:xfrm>
                      <a:off x="0" y="0"/>
                      <a:ext cx="5593080" cy="74288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drawing>
          <wp:inline distT="0" distB="0" distL="114300" distR="114300">
            <wp:extent cx="5569585" cy="6884035"/>
            <wp:effectExtent l="0" t="0" r="12065" b="12065"/>
            <wp:docPr id="20" name="图片 20" descr="截图20240812185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截图20240812185532"/>
                    <pic:cNvPicPr>
                      <a:picLocks noChangeAspect="1"/>
                    </pic:cNvPicPr>
                  </pic:nvPicPr>
                  <pic:blipFill>
                    <a:blip r:embed="rId8"/>
                    <a:stretch>
                      <a:fillRect/>
                    </a:stretch>
                  </pic:blipFill>
                  <pic:spPr>
                    <a:xfrm>
                      <a:off x="0" y="0"/>
                      <a:ext cx="5569585" cy="68840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drawing>
          <wp:inline distT="0" distB="0" distL="114300" distR="114300">
            <wp:extent cx="5490845" cy="7036435"/>
            <wp:effectExtent l="0" t="0" r="14605" b="12065"/>
            <wp:docPr id="21" name="图片 21" descr="截图20240812185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截图20240812185652"/>
                    <pic:cNvPicPr>
                      <a:picLocks noChangeAspect="1"/>
                    </pic:cNvPicPr>
                  </pic:nvPicPr>
                  <pic:blipFill>
                    <a:blip r:embed="rId9"/>
                    <a:stretch>
                      <a:fillRect/>
                    </a:stretch>
                  </pic:blipFill>
                  <pic:spPr>
                    <a:xfrm>
                      <a:off x="0" y="0"/>
                      <a:ext cx="5490845" cy="70364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r>
        <w:drawing>
          <wp:inline distT="0" distB="0" distL="114300" distR="114300">
            <wp:extent cx="5791200" cy="7607300"/>
            <wp:effectExtent l="0" t="0" r="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791200" cy="76073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drawing>
          <wp:inline distT="0" distB="0" distL="114300" distR="114300">
            <wp:extent cx="5604510" cy="1648460"/>
            <wp:effectExtent l="0" t="0" r="15240" b="8890"/>
            <wp:docPr id="23" name="图片 23" descr="截图2024081219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截图20240812190113"/>
                    <pic:cNvPicPr>
                      <a:picLocks noChangeAspect="1"/>
                    </pic:cNvPicPr>
                  </pic:nvPicPr>
                  <pic:blipFill>
                    <a:blip r:embed="rId11"/>
                    <a:stretch>
                      <a:fillRect/>
                    </a:stretch>
                  </pic:blipFill>
                  <pic:spPr>
                    <a:xfrm>
                      <a:off x="0" y="0"/>
                      <a:ext cx="5604510" cy="164846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drawing>
          <wp:inline distT="0" distB="0" distL="114300" distR="114300">
            <wp:extent cx="5770245" cy="2173605"/>
            <wp:effectExtent l="0" t="0" r="1905" b="17145"/>
            <wp:docPr id="24" name="图片 24" descr="截图20240812190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截图20240812190230"/>
                    <pic:cNvPicPr>
                      <a:picLocks noChangeAspect="1"/>
                    </pic:cNvPicPr>
                  </pic:nvPicPr>
                  <pic:blipFill>
                    <a:blip r:embed="rId12"/>
                    <a:stretch>
                      <a:fillRect/>
                    </a:stretch>
                  </pic:blipFill>
                  <pic:spPr>
                    <a:xfrm>
                      <a:off x="0" y="0"/>
                      <a:ext cx="5770245" cy="21736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drawing>
          <wp:inline distT="0" distB="0" distL="114300" distR="114300">
            <wp:extent cx="5976620" cy="2646045"/>
            <wp:effectExtent l="0" t="0" r="5080" b="1905"/>
            <wp:docPr id="25" name="图片 25" descr="截图20240812190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截图20240812190327"/>
                    <pic:cNvPicPr>
                      <a:picLocks noChangeAspect="1"/>
                    </pic:cNvPicPr>
                  </pic:nvPicPr>
                  <pic:blipFill>
                    <a:blip r:embed="rId13"/>
                    <a:stretch>
                      <a:fillRect/>
                    </a:stretch>
                  </pic:blipFill>
                  <pic:spPr>
                    <a:xfrm>
                      <a:off x="0" y="0"/>
                      <a:ext cx="5976620" cy="2646045"/>
                    </a:xfrm>
                    <a:prstGeom prst="rect">
                      <a:avLst/>
                    </a:prstGeom>
                  </pic:spPr>
                </pic:pic>
              </a:graphicData>
            </a:graphic>
          </wp:inline>
        </w:drawing>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s>
  <w:rsids>
    <w:rsidRoot w:val="00000000"/>
    <w:rsid w:val="00213C59"/>
    <w:rsid w:val="003210CE"/>
    <w:rsid w:val="00B70D59"/>
    <w:rsid w:val="019404F8"/>
    <w:rsid w:val="0254331A"/>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422688"/>
    <w:rsid w:val="0879188F"/>
    <w:rsid w:val="08980148"/>
    <w:rsid w:val="08A0354D"/>
    <w:rsid w:val="08CD4C49"/>
    <w:rsid w:val="09114954"/>
    <w:rsid w:val="095A5B83"/>
    <w:rsid w:val="096466E3"/>
    <w:rsid w:val="0968304D"/>
    <w:rsid w:val="09AF3D17"/>
    <w:rsid w:val="0A7B4867"/>
    <w:rsid w:val="0A840954"/>
    <w:rsid w:val="0A9928ED"/>
    <w:rsid w:val="0B8C3ECC"/>
    <w:rsid w:val="0B9C639D"/>
    <w:rsid w:val="0BB052B2"/>
    <w:rsid w:val="0BD33FFC"/>
    <w:rsid w:val="0BE97AC1"/>
    <w:rsid w:val="0C0E0242"/>
    <w:rsid w:val="0C1C4780"/>
    <w:rsid w:val="0C3613A3"/>
    <w:rsid w:val="0C4426A4"/>
    <w:rsid w:val="0C5E519C"/>
    <w:rsid w:val="0C7227A7"/>
    <w:rsid w:val="0C917D73"/>
    <w:rsid w:val="0CA52EE8"/>
    <w:rsid w:val="0CBD6988"/>
    <w:rsid w:val="0CD208AC"/>
    <w:rsid w:val="0D4903E8"/>
    <w:rsid w:val="0E640559"/>
    <w:rsid w:val="0F1113DA"/>
    <w:rsid w:val="0F78534A"/>
    <w:rsid w:val="0F89358A"/>
    <w:rsid w:val="0F8C6D51"/>
    <w:rsid w:val="105B0B5E"/>
    <w:rsid w:val="10E81560"/>
    <w:rsid w:val="112E58D0"/>
    <w:rsid w:val="11731CAC"/>
    <w:rsid w:val="119500A0"/>
    <w:rsid w:val="11C0733B"/>
    <w:rsid w:val="120E0809"/>
    <w:rsid w:val="123210F0"/>
    <w:rsid w:val="127F665A"/>
    <w:rsid w:val="12F7068C"/>
    <w:rsid w:val="14B932DA"/>
    <w:rsid w:val="154C1139"/>
    <w:rsid w:val="158C5B77"/>
    <w:rsid w:val="160D1149"/>
    <w:rsid w:val="163563C0"/>
    <w:rsid w:val="164315EF"/>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C290ED5"/>
    <w:rsid w:val="1C317E4F"/>
    <w:rsid w:val="1C472464"/>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3326B7F"/>
    <w:rsid w:val="2380045B"/>
    <w:rsid w:val="23BC04D2"/>
    <w:rsid w:val="2483647E"/>
    <w:rsid w:val="24A32D55"/>
    <w:rsid w:val="25292727"/>
    <w:rsid w:val="256F7692"/>
    <w:rsid w:val="25BA2154"/>
    <w:rsid w:val="25C8773F"/>
    <w:rsid w:val="264A7253"/>
    <w:rsid w:val="27201D62"/>
    <w:rsid w:val="27286E73"/>
    <w:rsid w:val="27CF2642"/>
    <w:rsid w:val="27E777F5"/>
    <w:rsid w:val="27EA1D4C"/>
    <w:rsid w:val="27EA2E41"/>
    <w:rsid w:val="282459E2"/>
    <w:rsid w:val="283A7FE5"/>
    <w:rsid w:val="285F51FF"/>
    <w:rsid w:val="28DF2665"/>
    <w:rsid w:val="29072599"/>
    <w:rsid w:val="291029F3"/>
    <w:rsid w:val="29C2699A"/>
    <w:rsid w:val="29CB58F0"/>
    <w:rsid w:val="2A053397"/>
    <w:rsid w:val="2A145E96"/>
    <w:rsid w:val="2A5A3D47"/>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389023A"/>
    <w:rsid w:val="33CB74FA"/>
    <w:rsid w:val="343642F2"/>
    <w:rsid w:val="343F3010"/>
    <w:rsid w:val="34541BFA"/>
    <w:rsid w:val="345D0A00"/>
    <w:rsid w:val="34713BFD"/>
    <w:rsid w:val="34C13589"/>
    <w:rsid w:val="35E00D72"/>
    <w:rsid w:val="36965B9D"/>
    <w:rsid w:val="36C549FD"/>
    <w:rsid w:val="37A755DD"/>
    <w:rsid w:val="37F94FA0"/>
    <w:rsid w:val="38115B1F"/>
    <w:rsid w:val="385E3AC3"/>
    <w:rsid w:val="387D6B9E"/>
    <w:rsid w:val="38B75FF0"/>
    <w:rsid w:val="38D45016"/>
    <w:rsid w:val="38D90432"/>
    <w:rsid w:val="3914510A"/>
    <w:rsid w:val="3926770B"/>
    <w:rsid w:val="398D3668"/>
    <w:rsid w:val="399F5D45"/>
    <w:rsid w:val="39DA0497"/>
    <w:rsid w:val="3A893816"/>
    <w:rsid w:val="3A893B6D"/>
    <w:rsid w:val="3AD1763A"/>
    <w:rsid w:val="3B6716E3"/>
    <w:rsid w:val="3B6C6B2D"/>
    <w:rsid w:val="3C242659"/>
    <w:rsid w:val="3C757F6C"/>
    <w:rsid w:val="3C96719C"/>
    <w:rsid w:val="3CA72BE8"/>
    <w:rsid w:val="3CF37F8C"/>
    <w:rsid w:val="3D0A7751"/>
    <w:rsid w:val="3D137554"/>
    <w:rsid w:val="3D5275AC"/>
    <w:rsid w:val="3DCC2473"/>
    <w:rsid w:val="3DEB0883"/>
    <w:rsid w:val="3E2527BF"/>
    <w:rsid w:val="3E731662"/>
    <w:rsid w:val="3E8168DD"/>
    <w:rsid w:val="3E87611C"/>
    <w:rsid w:val="3E9F5665"/>
    <w:rsid w:val="3EA7725F"/>
    <w:rsid w:val="3EB03713"/>
    <w:rsid w:val="3EBF1A11"/>
    <w:rsid w:val="3EC52607"/>
    <w:rsid w:val="3EEC6CEF"/>
    <w:rsid w:val="3F183429"/>
    <w:rsid w:val="3FB77A1D"/>
    <w:rsid w:val="3FED7F8A"/>
    <w:rsid w:val="3FF03D9F"/>
    <w:rsid w:val="40094AEF"/>
    <w:rsid w:val="405470BD"/>
    <w:rsid w:val="40794A29"/>
    <w:rsid w:val="40834692"/>
    <w:rsid w:val="41377D61"/>
    <w:rsid w:val="414B3C0F"/>
    <w:rsid w:val="417C1CE7"/>
    <w:rsid w:val="41900018"/>
    <w:rsid w:val="41944406"/>
    <w:rsid w:val="41CE128F"/>
    <w:rsid w:val="41DA6F12"/>
    <w:rsid w:val="42171FB1"/>
    <w:rsid w:val="434E6957"/>
    <w:rsid w:val="435E2A80"/>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D90D14"/>
    <w:rsid w:val="48387FB0"/>
    <w:rsid w:val="483A6114"/>
    <w:rsid w:val="488727DB"/>
    <w:rsid w:val="48C354B3"/>
    <w:rsid w:val="493D58B5"/>
    <w:rsid w:val="494A7A04"/>
    <w:rsid w:val="4A2019A5"/>
    <w:rsid w:val="4A241A0B"/>
    <w:rsid w:val="4A7B2875"/>
    <w:rsid w:val="4A934476"/>
    <w:rsid w:val="4AAA220A"/>
    <w:rsid w:val="4AE12E67"/>
    <w:rsid w:val="4B4C0111"/>
    <w:rsid w:val="4BDB3730"/>
    <w:rsid w:val="4C200F7A"/>
    <w:rsid w:val="4CEE3180"/>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B5F45"/>
    <w:rsid w:val="51025EB1"/>
    <w:rsid w:val="51141503"/>
    <w:rsid w:val="518D0ED5"/>
    <w:rsid w:val="52F647F7"/>
    <w:rsid w:val="52F92565"/>
    <w:rsid w:val="53D03877"/>
    <w:rsid w:val="542F73CA"/>
    <w:rsid w:val="5430786D"/>
    <w:rsid w:val="556A442D"/>
    <w:rsid w:val="55DA564E"/>
    <w:rsid w:val="5604127D"/>
    <w:rsid w:val="56166703"/>
    <w:rsid w:val="56510474"/>
    <w:rsid w:val="56861525"/>
    <w:rsid w:val="56A93273"/>
    <w:rsid w:val="56BD550C"/>
    <w:rsid w:val="56E07045"/>
    <w:rsid w:val="56FF28AF"/>
    <w:rsid w:val="57540E7D"/>
    <w:rsid w:val="577B4878"/>
    <w:rsid w:val="57926973"/>
    <w:rsid w:val="57B97FF9"/>
    <w:rsid w:val="58175352"/>
    <w:rsid w:val="581F2200"/>
    <w:rsid w:val="583059FA"/>
    <w:rsid w:val="584A0929"/>
    <w:rsid w:val="58CD2491"/>
    <w:rsid w:val="591B41B2"/>
    <w:rsid w:val="59254A26"/>
    <w:rsid w:val="59326325"/>
    <w:rsid w:val="595C505B"/>
    <w:rsid w:val="595E55C3"/>
    <w:rsid w:val="5960683F"/>
    <w:rsid w:val="596E7E20"/>
    <w:rsid w:val="5A60780B"/>
    <w:rsid w:val="5AB34579"/>
    <w:rsid w:val="5AFC6609"/>
    <w:rsid w:val="5BD456CE"/>
    <w:rsid w:val="5C0D1F49"/>
    <w:rsid w:val="5CBB0CE2"/>
    <w:rsid w:val="5CC17177"/>
    <w:rsid w:val="5CF306BC"/>
    <w:rsid w:val="5D3F3D64"/>
    <w:rsid w:val="5D833043"/>
    <w:rsid w:val="5DA83313"/>
    <w:rsid w:val="5DD92690"/>
    <w:rsid w:val="5DDB1CFD"/>
    <w:rsid w:val="5E7E6D93"/>
    <w:rsid w:val="5ED44800"/>
    <w:rsid w:val="5F350BDE"/>
    <w:rsid w:val="5F3F2064"/>
    <w:rsid w:val="5FA17648"/>
    <w:rsid w:val="5FE705CB"/>
    <w:rsid w:val="603D5080"/>
    <w:rsid w:val="60D0261B"/>
    <w:rsid w:val="61947DCA"/>
    <w:rsid w:val="61A46A97"/>
    <w:rsid w:val="61D1382F"/>
    <w:rsid w:val="61F114A2"/>
    <w:rsid w:val="62512BB4"/>
    <w:rsid w:val="625D7D1A"/>
    <w:rsid w:val="62DD7D21"/>
    <w:rsid w:val="637D586B"/>
    <w:rsid w:val="63A5560B"/>
    <w:rsid w:val="63E9091F"/>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0809DC"/>
    <w:rsid w:val="683F0658"/>
    <w:rsid w:val="689C6793"/>
    <w:rsid w:val="68DB0208"/>
    <w:rsid w:val="68FB170C"/>
    <w:rsid w:val="691B3D98"/>
    <w:rsid w:val="693748F0"/>
    <w:rsid w:val="69846A0E"/>
    <w:rsid w:val="69AD798C"/>
    <w:rsid w:val="69D005C0"/>
    <w:rsid w:val="69D80B96"/>
    <w:rsid w:val="6A586DCB"/>
    <w:rsid w:val="6B68175F"/>
    <w:rsid w:val="6BFD799F"/>
    <w:rsid w:val="6C4A2E5A"/>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E2D96"/>
    <w:rsid w:val="791B54B2"/>
    <w:rsid w:val="795A0A34"/>
    <w:rsid w:val="79C67804"/>
    <w:rsid w:val="79F00650"/>
    <w:rsid w:val="7A6242BF"/>
    <w:rsid w:val="7AE952D2"/>
    <w:rsid w:val="7C976D69"/>
    <w:rsid w:val="7CD752DA"/>
    <w:rsid w:val="7CDE40AB"/>
    <w:rsid w:val="7D1548B5"/>
    <w:rsid w:val="7DF84014"/>
    <w:rsid w:val="7E207949"/>
    <w:rsid w:val="7E670C75"/>
    <w:rsid w:val="7EE24272"/>
    <w:rsid w:val="7EEA6053"/>
    <w:rsid w:val="7F487C04"/>
    <w:rsid w:val="7FB45F21"/>
    <w:rsid w:val="7FE570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lang w:val="en-US" w:eastAsia="zh-CN" w:bidi="ar-SA"/>
    </w:rPr>
  </w:style>
  <w:style w:type="paragraph" w:styleId="3">
    <w:name w:val="heading 3"/>
    <w:basedOn w:val="1"/>
    <w:next w:val="1"/>
    <w:qFormat/>
    <w:uiPriority w:val="99"/>
    <w:pPr>
      <w:keepNext/>
      <w:keepLines/>
      <w:widowControl w:val="0"/>
      <w:spacing w:before="260" w:after="260"/>
      <w:ind w:firstLine="200" w:firstLineChars="200"/>
      <w:jc w:val="center"/>
      <w:outlineLvl w:val="2"/>
    </w:pPr>
    <w:rPr>
      <w:rFonts w:ascii="Calibri" w:hAnsi="Calibri" w:eastAsia="黑体" w:cs="Times New Roman"/>
      <w:bCs/>
      <w:kern w:val="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6508</Words>
  <Characters>21857</Characters>
  <Lines>0</Lines>
  <Paragraphs>0</Paragraphs>
  <TotalTime>50</TotalTime>
  <ScaleCrop>false</ScaleCrop>
  <LinksUpToDate>false</LinksUpToDate>
  <CharactersWithSpaces>21967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2024-11-29T05:18:39Z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34A4DC6C1FEF42448F61363EE04F5F4F_13</vt:lpwstr>
  </property>
</Properties>
</file>