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560" w:lineRule="atLeast"/>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560" w:lineRule="atLeast"/>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560" w:lineRule="atLeast"/>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库尔勒市萨依巴格街道办事处</w:t>
      </w:r>
    </w:p>
    <w:p>
      <w:pPr>
        <w:keepNext w:val="0"/>
        <w:keepLines w:val="0"/>
        <w:pageBreakBefore w:val="0"/>
        <w:widowControl w:val="0"/>
        <w:kinsoku/>
        <w:wordWrap/>
        <w:overflowPunct/>
        <w:topLinePunct w:val="0"/>
        <w:bidi w:val="0"/>
        <w:adjustRightInd/>
        <w:snapToGrid/>
        <w:spacing w:line="560" w:lineRule="atLeast"/>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560" w:lineRule="atLeast"/>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560" w:lineRule="atLeast"/>
        <w:ind w:left="0" w:leftChars="0"/>
        <w:jc w:val="center"/>
        <w:textAlignment w:val="auto"/>
        <w:rPr>
          <w:rFonts w:hint="eastAsia" w:ascii="仿宋_GB2312" w:hAnsi="仿宋_GB2312" w:eastAsia="仿宋_GB2312" w:cs="仿宋_GB2312"/>
          <w:b/>
          <w:bCs w:val="0"/>
          <w:color w:val="auto"/>
          <w:kern w:val="0"/>
          <w:sz w:val="36"/>
          <w:szCs w:val="36"/>
          <w:highlight w:val="none"/>
        </w:rPr>
        <w:sectPr>
          <w:pgSz w:w="11906" w:h="16838"/>
          <w:pgMar w:top="1928" w:right="1474" w:bottom="1474" w:left="1474" w:header="851" w:footer="992"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Times New Roman" w:hAnsi="Times New Roman" w:eastAsia="仿宋_GB2312" w:cs="Times New Roman"/>
          <w:b/>
          <w:bCs w:val="0"/>
          <w:color w:val="auto"/>
          <w:kern w:val="0"/>
          <w:sz w:val="36"/>
          <w:szCs w:val="36"/>
          <w:highlight w:val="none"/>
        </w:rPr>
      </w:pPr>
      <w:r>
        <w:rPr>
          <w:rFonts w:hint="eastAsia" w:ascii="Times New Roman" w:hAnsi="Times New Roman" w:eastAsia="仿宋_GB2312" w:cs="Times New Roman"/>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560" w:lineRule="atLeast"/>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atLeast"/>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atLeast"/>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560" w:lineRule="atLeas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s="Times New Roman"/>
          <w:color w:val="auto"/>
          <w:sz w:val="32"/>
          <w:szCs w:val="32"/>
          <w:highlight w:val="none"/>
        </w:rPr>
      </w:pPr>
      <w:bookmarkStart w:id="0" w:name="_Toc32314"/>
      <w:bookmarkStart w:id="1" w:name="_Toc24028"/>
      <w:r>
        <w:rPr>
          <w:rFonts w:hint="eastAsia" w:ascii="Times New Roman" w:hAnsi="Times New Roman" w:eastAsia="黑体" w:cs="Times New Roman"/>
          <w:color w:val="auto"/>
          <w:sz w:val="32"/>
          <w:szCs w:val="32"/>
          <w:highlight w:val="none"/>
        </w:rPr>
        <w:t xml:space="preserve">第一部分 </w:t>
      </w:r>
      <w:r>
        <w:rPr>
          <w:rFonts w:hint="eastAsia" w:ascii="Times New Roman" w:hAnsi="Times New Roman" w:eastAsia="黑体" w:cs="Times New Roman"/>
          <w:color w:val="auto"/>
          <w:sz w:val="32"/>
          <w:szCs w:val="32"/>
          <w:highlight w:val="none"/>
          <w:lang w:eastAsia="zh-CN"/>
        </w:rPr>
        <w:t>部门</w:t>
      </w:r>
      <w:r>
        <w:rPr>
          <w:rFonts w:hint="eastAsia"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bookmarkStart w:id="4" w:name="_Toc31238"/>
      <w:bookmarkStart w:id="5" w:name="_Toc2151"/>
      <w:r>
        <w:rPr>
          <w:rFonts w:hint="eastAsia" w:ascii="Times New Roman" w:hAnsi="Times New Roman" w:eastAsia="仿宋_GB2312" w:cs="Times New Roman"/>
          <w:color w:val="auto"/>
          <w:spacing w:val="0"/>
          <w:sz w:val="32"/>
          <w:szCs w:val="32"/>
          <w:highlight w:val="none"/>
          <w:lang w:eastAsia="zh-CN"/>
        </w:rPr>
        <w:t>库尔勒市萨依巴格街道办事处是库尔勒市人民政府的派出机关，在街道党工委的领导下，依据法律、法规和规章的规定，行使行政管理职责，负责本辖区各项行政管理工作。主要职责是：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 xml:space="preserve">（1）贯彻执行党和国家的各项方针、政策、法令、法规上级人民政府关于街道工作方面的决定，制定具体的管理办法并组织实施。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 xml:space="preserve">（2）负责辖区内的社会管理综合治理，人民调解、法律服务工作，依照有关规定管理外来流动人员。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 xml:space="preserve">（3）开展社区服务、拥军优属工作，负责社区优抚、社会救济、社会福利工作，做好社区文化、科普、体育、教育工作。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 xml:space="preserve">（4）按照职责范围做好计划生育、爱国卫生、绿化、环境保护、劳动就业、安全生产等管理工作。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（5）配合有关部门做好防汛、防风、防火、防震、抢险和防灾救灾工作。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（6）会同有关部门做好本辖区综治、维稳等工作；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（7）负责辖区内市容市貌和环境卫生的日常管理工作，发动辖区单位和群众保护环境，开展爱国卫生运动；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方正仿宋_GBK" w:hAnsi="方正仿宋_GBK" w:eastAsia="方正仿宋_GBK" w:cs="方正仿宋_GBK"/>
          <w:sz w:val="31"/>
          <w:szCs w:val="31"/>
        </w:rPr>
      </w:pPr>
      <w:r>
        <w:rPr>
          <w:rFonts w:hint="eastAsia" w:ascii="Times New Roman" w:hAnsi="Times New Roman" w:eastAsia="仿宋_GB2312" w:cs="Times New Roman"/>
          <w:color w:val="auto"/>
          <w:spacing w:val="0"/>
          <w:sz w:val="32"/>
          <w:szCs w:val="32"/>
          <w:highlight w:val="none"/>
          <w:lang w:eastAsia="zh-CN"/>
        </w:rPr>
        <w:t>（8）指导和帮助居民委员会的工作，调解解决行政事务、社会管理和公共服务方面的问题，促进居民委员会的依法建设。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（9）协助武装部门做好国防动员、民兵训练和公民服兵役工作；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（10）维护老年人、妇女、青少年、儿童和残疾人的合法权益。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（1</w:t>
      </w:r>
      <w:r>
        <w:rPr>
          <w:rFonts w:hint="eastAsia" w:ascii="Times New Roman" w:hAnsi="Times New Roman" w:eastAsia="仿宋_GB2312" w:cs="Times New Roman"/>
          <w:color w:val="auto"/>
          <w:spacing w:val="0"/>
          <w:sz w:val="32"/>
          <w:szCs w:val="32"/>
          <w:highlight w:val="none"/>
          <w:lang w:val="en-US" w:eastAsia="zh-CN"/>
        </w:rPr>
        <w:t>1</w:t>
      </w:r>
      <w:r>
        <w:rPr>
          <w:rFonts w:hint="eastAsia" w:ascii="Times New Roman" w:hAnsi="Times New Roman" w:eastAsia="仿宋_GB2312" w:cs="Times New Roman"/>
          <w:color w:val="auto"/>
          <w:spacing w:val="0"/>
          <w:sz w:val="32"/>
          <w:szCs w:val="32"/>
          <w:highlight w:val="none"/>
          <w:lang w:eastAsia="zh-CN"/>
        </w:rPr>
        <w:t xml:space="preserve">）动员和领导居民及各单位、各部门开展社区建设工作；制定并实施社区建设规划和年度计划；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（1</w:t>
      </w:r>
      <w:r>
        <w:rPr>
          <w:rFonts w:hint="eastAsia" w:ascii="Times New Roman" w:hAnsi="Times New Roman" w:eastAsia="仿宋_GB2312" w:cs="Times New Roman"/>
          <w:color w:val="auto"/>
          <w:spacing w:val="0"/>
          <w:sz w:val="32"/>
          <w:szCs w:val="32"/>
          <w:highlight w:val="none"/>
          <w:lang w:val="en-US" w:eastAsia="zh-CN"/>
        </w:rPr>
        <w:t>2</w:t>
      </w:r>
      <w:r>
        <w:rPr>
          <w:rFonts w:hint="eastAsia" w:ascii="Times New Roman" w:hAnsi="Times New Roman" w:eastAsia="仿宋_GB2312" w:cs="Times New Roman"/>
          <w:color w:val="auto"/>
          <w:spacing w:val="0"/>
          <w:sz w:val="32"/>
          <w:szCs w:val="32"/>
          <w:highlight w:val="none"/>
          <w:lang w:eastAsia="zh-CN"/>
        </w:rPr>
        <w:t xml:space="preserve">）向市党委、市政府反映居民群众的意见和要求，办理人民群众的来信来访等事项。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val="en-US" w:eastAsia="zh-CN"/>
        </w:rPr>
        <w:t>（13）</w:t>
      </w:r>
      <w:r>
        <w:rPr>
          <w:rFonts w:hint="eastAsia" w:ascii="Times New Roman" w:hAnsi="Times New Roman" w:eastAsia="仿宋_GB2312" w:cs="Times New Roman"/>
          <w:color w:val="auto"/>
          <w:spacing w:val="0"/>
          <w:sz w:val="32"/>
          <w:szCs w:val="32"/>
          <w:highlight w:val="none"/>
          <w:lang w:eastAsia="zh-CN"/>
        </w:rPr>
        <w:t>承办市党委、市政府交办的其他事项。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Times New Roman"/>
          <w:bCs/>
          <w:color w:val="auto"/>
          <w:kern w:val="0"/>
          <w:sz w:val="32"/>
          <w:szCs w:val="32"/>
          <w:highlight w:val="none"/>
        </w:rPr>
      </w:pPr>
      <w:r>
        <w:rPr>
          <w:rFonts w:hint="eastAsia" w:ascii="Times New Roman" w:hAnsi="Times New Roman" w:eastAsia="黑体" w:cs="Times New Roman"/>
          <w:bCs/>
          <w:color w:val="auto"/>
          <w:kern w:val="0"/>
          <w:sz w:val="32"/>
          <w:szCs w:val="32"/>
          <w:highlight w:val="none"/>
        </w:rPr>
        <w:t>二、机构设置</w:t>
      </w:r>
      <w:r>
        <w:rPr>
          <w:rFonts w:hint="eastAsia" w:ascii="Times New Roman" w:hAnsi="Times New Roman" w:eastAsia="黑体" w:cs="Times New Roman"/>
          <w:bCs/>
          <w:color w:val="auto"/>
          <w:kern w:val="0"/>
          <w:sz w:val="32"/>
          <w:szCs w:val="32"/>
          <w:highlight w:val="none"/>
          <w:lang w:eastAsia="zh-CN"/>
        </w:rPr>
        <w:t>及</w:t>
      </w:r>
      <w:bookmarkEnd w:id="4"/>
      <w:r>
        <w:rPr>
          <w:rFonts w:hint="eastAsia" w:ascii="Times New Roman" w:hAnsi="Times New Roman" w:eastAsia="黑体" w:cs="Times New Roman"/>
          <w:bCs/>
          <w:color w:val="auto"/>
          <w:kern w:val="0"/>
          <w:sz w:val="32"/>
          <w:szCs w:val="32"/>
          <w:highlight w:val="none"/>
          <w:lang w:eastAsia="zh-CN"/>
        </w:rPr>
        <w:t>人员</w:t>
      </w:r>
      <w:r>
        <w:rPr>
          <w:rFonts w:hint="eastAsia"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库尔勒市萨依巴格街道办事处2023年度，实有人数</w:t>
      </w:r>
      <w:r>
        <w:rPr>
          <w:rFonts w:hint="eastAsia" w:ascii="Times New Roman" w:hAnsi="Times New Roman" w:eastAsia="仿宋_GB2312" w:cs="Times New Roman"/>
          <w:color w:val="auto"/>
          <w:spacing w:val="0"/>
          <w:sz w:val="32"/>
          <w:szCs w:val="32"/>
          <w:highlight w:val="none"/>
          <w:lang w:val="zh-CN" w:eastAsia="zh-CN"/>
        </w:rPr>
        <w:t>93</w:t>
      </w:r>
      <w:r>
        <w:rPr>
          <w:rFonts w:hint="eastAsia" w:ascii="Times New Roman" w:hAnsi="Times New Roman" w:eastAsia="仿宋_GB2312" w:cs="Times New Roman"/>
          <w:color w:val="auto"/>
          <w:spacing w:val="0"/>
          <w:sz w:val="32"/>
          <w:szCs w:val="32"/>
          <w:highlight w:val="none"/>
          <w:lang w:val="en-US" w:eastAsia="zh-CN"/>
        </w:rPr>
        <w:t>人，其中：在职人员</w:t>
      </w:r>
      <w:r>
        <w:rPr>
          <w:rFonts w:hint="eastAsia" w:ascii="Times New Roman" w:hAnsi="Times New Roman" w:eastAsia="仿宋_GB2312" w:cs="Times New Roman"/>
          <w:color w:val="auto"/>
          <w:spacing w:val="0"/>
          <w:sz w:val="32"/>
          <w:szCs w:val="32"/>
          <w:highlight w:val="none"/>
          <w:lang w:val="zh-CN" w:eastAsia="zh-CN"/>
        </w:rPr>
        <w:t>71</w:t>
      </w:r>
      <w:r>
        <w:rPr>
          <w:rFonts w:hint="eastAsia" w:ascii="Times New Roman" w:hAnsi="Times New Roman" w:eastAsia="仿宋_GB2312" w:cs="Times New Roman"/>
          <w:color w:val="auto"/>
          <w:spacing w:val="0"/>
          <w:sz w:val="32"/>
          <w:szCs w:val="32"/>
          <w:highlight w:val="none"/>
          <w:lang w:val="en-US" w:eastAsia="zh-CN"/>
        </w:rPr>
        <w:t>人，离休人员</w:t>
      </w:r>
      <w:r>
        <w:rPr>
          <w:rFonts w:hint="eastAsia" w:ascii="Times New Roman" w:hAnsi="Times New Roman" w:eastAsia="仿宋_GB2312" w:cs="Times New Roman"/>
          <w:color w:val="auto"/>
          <w:spacing w:val="0"/>
          <w:sz w:val="32"/>
          <w:szCs w:val="32"/>
          <w:highlight w:val="none"/>
          <w:lang w:val="zh-CN" w:eastAsia="zh-CN"/>
        </w:rPr>
        <w:t>0</w:t>
      </w:r>
      <w:r>
        <w:rPr>
          <w:rFonts w:hint="eastAsia" w:ascii="Times New Roman" w:hAnsi="Times New Roman" w:eastAsia="仿宋_GB2312" w:cs="Times New Roman"/>
          <w:color w:val="auto"/>
          <w:spacing w:val="0"/>
          <w:sz w:val="32"/>
          <w:szCs w:val="32"/>
          <w:highlight w:val="none"/>
          <w:lang w:val="en-US" w:eastAsia="zh-CN"/>
        </w:rPr>
        <w:t>人，退休人员</w:t>
      </w:r>
      <w:r>
        <w:rPr>
          <w:rFonts w:hint="eastAsia" w:ascii="Times New Roman" w:hAnsi="Times New Roman" w:eastAsia="仿宋_GB2312" w:cs="Times New Roman"/>
          <w:color w:val="auto"/>
          <w:spacing w:val="0"/>
          <w:sz w:val="32"/>
          <w:szCs w:val="32"/>
          <w:highlight w:val="none"/>
          <w:lang w:val="zh-CN" w:eastAsia="zh-CN"/>
        </w:rPr>
        <w:t>22</w:t>
      </w:r>
      <w:r>
        <w:rPr>
          <w:rFonts w:hint="eastAsia" w:ascii="Times New Roman" w:hAnsi="Times New Roman" w:eastAsia="仿宋_GB2312" w:cs="Times New Roman"/>
          <w:color w:val="auto"/>
          <w:spacing w:val="0"/>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单位无下属预算单位，下设4个处室，分别是：党群服务中心、社会事务服务中心、综治中心、综治执法大队。</w:t>
      </w:r>
    </w:p>
    <w:p>
      <w:pPr>
        <w:keepNext w:val="0"/>
        <w:keepLines w:val="0"/>
        <w:pageBreakBefore w:val="0"/>
        <w:widowControl w:val="0"/>
        <w:kinsoku/>
        <w:wordWrap/>
        <w:overflowPunct/>
        <w:topLinePunct w:val="0"/>
        <w:autoSpaceDE/>
        <w:autoSpaceDN/>
        <w:bidi w:val="0"/>
        <w:adjustRightInd/>
        <w:snapToGrid/>
        <w:spacing w:line="560" w:lineRule="atLeast"/>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560" w:lineRule="atLeas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atLeas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atLeas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atLeas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atLeas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atLeast"/>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rPr>
        <w:t>第</w:t>
      </w:r>
      <w:r>
        <w:rPr>
          <w:rFonts w:hint="eastAsia" w:ascii="Times New Roman" w:hAnsi="Times New Roman" w:eastAsia="黑体" w:cs="Times New Roman"/>
          <w:color w:val="auto"/>
          <w:sz w:val="32"/>
          <w:szCs w:val="32"/>
          <w:highlight w:val="none"/>
          <w:lang w:val="en-US" w:eastAsia="zh-CN"/>
        </w:rPr>
        <w:t>二</w:t>
      </w:r>
      <w:r>
        <w:rPr>
          <w:rFonts w:hint="eastAsia" w:ascii="Times New Roman" w:hAnsi="Times New Roman" w:eastAsia="黑体" w:cs="Times New Roman"/>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Times New Roman" w:hAnsi="Times New Roman" w:eastAsia="黑体" w:cs="Times New Roman"/>
          <w:color w:val="auto"/>
          <w:sz w:val="32"/>
          <w:szCs w:val="32"/>
          <w:highlight w:val="none"/>
        </w:rPr>
      </w:pPr>
      <w:bookmarkStart w:id="8" w:name="_Toc25314"/>
      <w:bookmarkStart w:id="9" w:name="_Toc12566"/>
      <w:r>
        <w:rPr>
          <w:rFonts w:hint="eastAsia" w:ascii="Times New Roman" w:hAnsi="Times New Roman" w:eastAsia="黑体" w:cs="Times New Roman"/>
          <w:color w:val="auto"/>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2023年度收入总计2,378.79万元，其中：本年收入合计2,378.79万元，使用非财政拨款结余0.00万元，年初结转和结余0.00万元。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2023年度支出总计2,378.79万元，其中：本年支出合计2,378.79万元，结余分配0.00万元，年末结转和结余0.00万元。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val="en-US" w:eastAsia="zh-CN"/>
        </w:rPr>
        <w:t>收入支出总体与上年相比，</w:t>
      </w:r>
      <w:r>
        <w:rPr>
          <w:rFonts w:hint="eastAsia" w:ascii="Times New Roman" w:hAnsi="Times New Roman" w:eastAsia="仿宋_GB2312" w:cs="Times New Roman"/>
          <w:color w:val="auto"/>
          <w:spacing w:val="0"/>
          <w:sz w:val="32"/>
          <w:szCs w:val="32"/>
          <w:highlight w:val="none"/>
          <w:lang w:val="zh-CN" w:eastAsia="zh-CN"/>
        </w:rPr>
        <w:t>减少240.44万元</w:t>
      </w:r>
      <w:r>
        <w:rPr>
          <w:rFonts w:hint="eastAsia" w:ascii="Times New Roman" w:hAnsi="Times New Roman" w:eastAsia="仿宋_GB2312" w:cs="Times New Roman"/>
          <w:color w:val="auto"/>
          <w:spacing w:val="0"/>
          <w:sz w:val="32"/>
          <w:szCs w:val="32"/>
          <w:highlight w:val="none"/>
          <w:lang w:val="en-US" w:eastAsia="zh-CN"/>
        </w:rPr>
        <w:t>，下降9.18%，主要原因是：</w:t>
      </w:r>
      <w:r>
        <w:rPr>
          <w:rFonts w:hint="eastAsia" w:ascii="Times New Roman" w:hAnsi="Times New Roman" w:eastAsia="仿宋_GB2312" w:cs="Times New Roman"/>
          <w:color w:val="auto"/>
          <w:spacing w:val="0"/>
          <w:sz w:val="32"/>
          <w:szCs w:val="32"/>
          <w:highlight w:val="none"/>
          <w:lang w:val="zh-CN" w:eastAsia="zh-CN"/>
        </w:rPr>
        <w:t>2023年长期聘用人员比上年减少</w:t>
      </w:r>
      <w:r>
        <w:rPr>
          <w:rFonts w:hint="eastAsia" w:ascii="Times New Roman" w:hAnsi="Times New Roman" w:eastAsia="仿宋_GB2312" w:cs="Times New Roman"/>
          <w:color w:val="auto"/>
          <w:spacing w:val="0"/>
          <w:sz w:val="32"/>
          <w:szCs w:val="32"/>
          <w:highlight w:val="none"/>
          <w:lang w:val="en-US" w:eastAsia="zh-CN"/>
        </w:rPr>
        <w:t>36</w:t>
      </w:r>
      <w:r>
        <w:rPr>
          <w:rFonts w:hint="eastAsia" w:ascii="Times New Roman" w:hAnsi="Times New Roman" w:eastAsia="仿宋_GB2312" w:cs="Times New Roman"/>
          <w:color w:val="auto"/>
          <w:spacing w:val="0"/>
          <w:sz w:val="32"/>
          <w:szCs w:val="32"/>
          <w:highlight w:val="none"/>
          <w:lang w:val="zh-CN" w:eastAsia="zh-CN"/>
        </w:rPr>
        <w:t>人；上年度偿还以前年度“三化”设备款</w:t>
      </w:r>
      <w:r>
        <w:rPr>
          <w:rFonts w:hint="eastAsia" w:ascii="Times New Roman" w:hAnsi="Times New Roman" w:eastAsia="仿宋_GB2312" w:cs="Times New Roman"/>
          <w:color w:val="auto"/>
          <w:spacing w:val="0"/>
          <w:sz w:val="32"/>
          <w:szCs w:val="32"/>
          <w:highlight w:val="none"/>
          <w:lang w:val="en-US" w:eastAsia="zh-CN"/>
        </w:rPr>
        <w:t>493万元，本年度无此项目。各项收入相对体现出预算编制的科学合理性，有效的节约了不必需的开支。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eastAsia="zh-CN"/>
        </w:rPr>
      </w:pPr>
      <w:bookmarkStart w:id="10" w:name="_Toc1979"/>
      <w:bookmarkStart w:id="11" w:name="_Toc12142"/>
      <w:r>
        <w:rPr>
          <w:rFonts w:hint="eastAsia" w:ascii="Times New Roman" w:hAnsi="Times New Roman" w:eastAsia="黑体" w:cs="Times New Roman"/>
          <w:bCs/>
          <w:color w:val="auto"/>
          <w:kern w:val="0"/>
          <w:sz w:val="32"/>
          <w:szCs w:val="32"/>
          <w:highlight w:val="none"/>
          <w:lang w:eastAsia="zh-CN"/>
        </w:rPr>
        <w:t>二、收入决算情况说明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eastAsia="zh-CN"/>
        </w:rPr>
      </w:pPr>
      <w:r>
        <w:rPr>
          <w:rFonts w:hint="eastAsia" w:ascii="Times New Roman" w:hAnsi="Times New Roman" w:eastAsia="仿宋_GB2312" w:cs="Times New Roman"/>
          <w:color w:val="auto"/>
          <w:spacing w:val="0"/>
          <w:sz w:val="32"/>
          <w:szCs w:val="32"/>
          <w:highlight w:val="none"/>
          <w:lang w:eastAsia="zh-CN"/>
        </w:rPr>
        <w:t>本年收入2,378.79万元，其中：财政拨款收入</w:t>
      </w:r>
      <w:r>
        <w:rPr>
          <w:rFonts w:hint="eastAsia" w:ascii="Times New Roman" w:hAnsi="Times New Roman" w:eastAsia="仿宋_GB2312" w:cs="Times New Roman"/>
          <w:color w:val="auto"/>
          <w:spacing w:val="0"/>
          <w:sz w:val="32"/>
          <w:szCs w:val="32"/>
          <w:highlight w:val="none"/>
          <w:lang w:val="zh-CN" w:eastAsia="zh-CN"/>
        </w:rPr>
        <w:t>2,378.79</w:t>
      </w:r>
      <w:r>
        <w:rPr>
          <w:rFonts w:hint="eastAsia" w:ascii="Times New Roman" w:hAnsi="Times New Roman" w:eastAsia="仿宋_GB2312" w:cs="Times New Roman"/>
          <w:color w:val="auto"/>
          <w:spacing w:val="0"/>
          <w:sz w:val="32"/>
          <w:szCs w:val="32"/>
          <w:highlight w:val="none"/>
          <w:lang w:eastAsia="zh-CN"/>
        </w:rPr>
        <w:t>万元，占</w:t>
      </w:r>
      <w:r>
        <w:rPr>
          <w:rFonts w:hint="eastAsia" w:ascii="Times New Roman" w:hAnsi="Times New Roman" w:eastAsia="仿宋_GB2312" w:cs="Times New Roman"/>
          <w:color w:val="auto"/>
          <w:spacing w:val="0"/>
          <w:sz w:val="32"/>
          <w:szCs w:val="32"/>
          <w:highlight w:val="none"/>
          <w:lang w:val="zh-CN" w:eastAsia="zh-CN"/>
        </w:rPr>
        <w:t>100.00</w:t>
      </w:r>
      <w:r>
        <w:rPr>
          <w:rFonts w:hint="eastAsia" w:ascii="Times New Roman" w:hAnsi="Times New Roman" w:eastAsia="仿宋_GB2312" w:cs="Times New Roman"/>
          <w:color w:val="auto"/>
          <w:spacing w:val="0"/>
          <w:sz w:val="32"/>
          <w:szCs w:val="32"/>
          <w:highlight w:val="none"/>
          <w:lang w:eastAsia="zh-CN"/>
        </w:rPr>
        <w:t>%；上级补助收入</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eastAsia="zh-CN"/>
        </w:rPr>
        <w:t>万元，占</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eastAsia="zh-CN"/>
        </w:rPr>
        <w:t>%；事业收入</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eastAsia="zh-CN"/>
        </w:rPr>
        <w:t>万元，占</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eastAsia="zh-CN"/>
        </w:rPr>
        <w:t>%；经营收入</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eastAsia="zh-CN"/>
        </w:rPr>
        <w:t>万元，占</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eastAsia="zh-CN"/>
        </w:rPr>
        <w:t>%；附属单位上缴收入</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eastAsia="zh-CN"/>
        </w:rPr>
        <w:t>万元，占</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eastAsia="zh-CN"/>
        </w:rPr>
        <w:t>%；其他收入</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eastAsia="zh-CN"/>
        </w:rPr>
        <w:t>万元，占</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eastAsia"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本年支出2,378.79万元，其中：基本支出2,223.41万元，占93.47%；项目支出155.38万元，占6.53%；上缴上级支出0.00万元，占0.00%；经营支出0.00万元，占0.00%；对附属单位补助支出0.00万元，占0.00%。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eastAsia="zh-CN"/>
        </w:rPr>
      </w:pPr>
      <w:bookmarkStart w:id="14" w:name="_Toc26564"/>
      <w:bookmarkStart w:id="15" w:name="_Toc4393"/>
      <w:r>
        <w:rPr>
          <w:rFonts w:hint="eastAsia"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2023年度财政拨款收入总计</w:t>
      </w:r>
      <w:r>
        <w:rPr>
          <w:rFonts w:hint="eastAsia" w:ascii="Times New Roman" w:hAnsi="Times New Roman" w:eastAsia="仿宋_GB2312" w:cs="Times New Roman"/>
          <w:color w:val="auto"/>
          <w:spacing w:val="0"/>
          <w:sz w:val="32"/>
          <w:szCs w:val="32"/>
          <w:highlight w:val="none"/>
          <w:lang w:val="zh-CN" w:eastAsia="zh-CN"/>
        </w:rPr>
        <w:t>2,378.79</w:t>
      </w:r>
      <w:r>
        <w:rPr>
          <w:rFonts w:hint="eastAsia" w:ascii="Times New Roman" w:hAnsi="Times New Roman" w:eastAsia="仿宋_GB2312" w:cs="Times New Roman"/>
          <w:color w:val="auto"/>
          <w:spacing w:val="0"/>
          <w:sz w:val="32"/>
          <w:szCs w:val="32"/>
          <w:highlight w:val="none"/>
          <w:lang w:val="en-US" w:eastAsia="zh-CN"/>
        </w:rPr>
        <w:t>万元，其中：年初财政拨款结转和结余</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val="en-US" w:eastAsia="zh-CN"/>
        </w:rPr>
        <w:t>万元，本年财政拨款收入</w:t>
      </w:r>
      <w:r>
        <w:rPr>
          <w:rFonts w:hint="eastAsia" w:ascii="Times New Roman" w:hAnsi="Times New Roman" w:eastAsia="仿宋_GB2312" w:cs="Times New Roman"/>
          <w:color w:val="auto"/>
          <w:spacing w:val="0"/>
          <w:sz w:val="32"/>
          <w:szCs w:val="32"/>
          <w:highlight w:val="none"/>
          <w:lang w:val="zh-CN" w:eastAsia="zh-CN"/>
        </w:rPr>
        <w:t>2,378.79</w:t>
      </w:r>
      <w:r>
        <w:rPr>
          <w:rFonts w:hint="eastAsia" w:ascii="Times New Roman" w:hAnsi="Times New Roman" w:eastAsia="仿宋_GB2312" w:cs="Times New Roman"/>
          <w:color w:val="auto"/>
          <w:spacing w:val="0"/>
          <w:sz w:val="32"/>
          <w:szCs w:val="32"/>
          <w:highlight w:val="none"/>
          <w:lang w:val="en-US" w:eastAsia="zh-CN"/>
        </w:rPr>
        <w:t>万元。财政拨款支出总计</w:t>
      </w:r>
      <w:r>
        <w:rPr>
          <w:rFonts w:hint="eastAsia" w:ascii="Times New Roman" w:hAnsi="Times New Roman" w:eastAsia="仿宋_GB2312" w:cs="Times New Roman"/>
          <w:color w:val="auto"/>
          <w:spacing w:val="0"/>
          <w:sz w:val="32"/>
          <w:szCs w:val="32"/>
          <w:highlight w:val="none"/>
          <w:lang w:val="zh-CN" w:eastAsia="zh-CN"/>
        </w:rPr>
        <w:t>2,378.79</w:t>
      </w:r>
      <w:r>
        <w:rPr>
          <w:rFonts w:hint="eastAsia" w:ascii="Times New Roman" w:hAnsi="Times New Roman" w:eastAsia="仿宋_GB2312" w:cs="Times New Roman"/>
          <w:color w:val="auto"/>
          <w:spacing w:val="0"/>
          <w:sz w:val="32"/>
          <w:szCs w:val="32"/>
          <w:highlight w:val="none"/>
          <w:lang w:val="en-US" w:eastAsia="zh-CN"/>
        </w:rPr>
        <w:t>万元，其中：年末财政拨款结转和结余</w:t>
      </w:r>
      <w:r>
        <w:rPr>
          <w:rFonts w:hint="eastAsia" w:ascii="Times New Roman" w:hAnsi="Times New Roman" w:eastAsia="仿宋_GB2312" w:cs="Times New Roman"/>
          <w:color w:val="auto"/>
          <w:spacing w:val="0"/>
          <w:sz w:val="32"/>
          <w:szCs w:val="32"/>
          <w:highlight w:val="none"/>
          <w:lang w:val="zh-CN" w:eastAsia="zh-CN"/>
        </w:rPr>
        <w:t>0.00</w:t>
      </w:r>
      <w:r>
        <w:rPr>
          <w:rFonts w:hint="eastAsia" w:ascii="Times New Roman" w:hAnsi="Times New Roman" w:eastAsia="仿宋_GB2312" w:cs="Times New Roman"/>
          <w:color w:val="auto"/>
          <w:spacing w:val="0"/>
          <w:sz w:val="32"/>
          <w:szCs w:val="32"/>
          <w:highlight w:val="none"/>
          <w:lang w:val="en-US" w:eastAsia="zh-CN"/>
        </w:rPr>
        <w:t>万元，本年财政拨款支出</w:t>
      </w:r>
      <w:r>
        <w:rPr>
          <w:rFonts w:hint="eastAsia" w:ascii="Times New Roman" w:hAnsi="Times New Roman" w:eastAsia="仿宋_GB2312" w:cs="Times New Roman"/>
          <w:color w:val="auto"/>
          <w:spacing w:val="0"/>
          <w:sz w:val="32"/>
          <w:szCs w:val="32"/>
          <w:highlight w:val="none"/>
          <w:lang w:val="zh-CN" w:eastAsia="zh-CN"/>
        </w:rPr>
        <w:t>2,378.79</w:t>
      </w:r>
      <w:r>
        <w:rPr>
          <w:rFonts w:hint="eastAsia" w:ascii="Times New Roman" w:hAnsi="Times New Roman" w:eastAsia="仿宋_GB2312" w:cs="Times New Roman"/>
          <w:color w:val="auto"/>
          <w:spacing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财政拨款收入支出总体与上年相比,</w:t>
      </w:r>
      <w:r>
        <w:rPr>
          <w:rFonts w:hint="eastAsia" w:ascii="Times New Roman" w:hAnsi="Times New Roman" w:eastAsia="仿宋_GB2312" w:cs="Times New Roman"/>
          <w:color w:val="auto"/>
          <w:spacing w:val="0"/>
          <w:sz w:val="32"/>
          <w:szCs w:val="32"/>
          <w:highlight w:val="none"/>
          <w:lang w:val="zh-CN" w:eastAsia="zh-CN"/>
        </w:rPr>
        <w:t>减少240.44万元</w:t>
      </w:r>
      <w:r>
        <w:rPr>
          <w:rFonts w:hint="eastAsia" w:ascii="Times New Roman" w:hAnsi="Times New Roman" w:eastAsia="仿宋_GB2312" w:cs="Times New Roman"/>
          <w:color w:val="auto"/>
          <w:spacing w:val="0"/>
          <w:sz w:val="32"/>
          <w:szCs w:val="32"/>
          <w:highlight w:val="none"/>
          <w:lang w:val="en-US" w:eastAsia="zh-CN"/>
        </w:rPr>
        <w:t>，</w:t>
      </w:r>
      <w:r>
        <w:rPr>
          <w:rFonts w:hint="eastAsia" w:ascii="Times New Roman" w:hAnsi="Times New Roman" w:eastAsia="仿宋_GB2312" w:cs="Times New Roman"/>
          <w:color w:val="auto"/>
          <w:spacing w:val="0"/>
          <w:sz w:val="32"/>
          <w:szCs w:val="32"/>
          <w:highlight w:val="none"/>
          <w:lang w:val="zh-CN" w:eastAsia="zh-CN"/>
        </w:rPr>
        <w:t>下降9.18%，</w:t>
      </w:r>
      <w:r>
        <w:rPr>
          <w:rFonts w:hint="eastAsia" w:ascii="Times New Roman" w:hAnsi="Times New Roman" w:eastAsia="仿宋_GB2312" w:cs="Times New Roman"/>
          <w:color w:val="auto"/>
          <w:spacing w:val="0"/>
          <w:sz w:val="32"/>
          <w:szCs w:val="32"/>
          <w:highlight w:val="none"/>
          <w:lang w:val="en-US" w:eastAsia="zh-CN"/>
        </w:rPr>
        <w:t>主要原因是：</w:t>
      </w:r>
      <w:r>
        <w:rPr>
          <w:rFonts w:hint="eastAsia" w:ascii="Times New Roman" w:hAnsi="Times New Roman" w:eastAsia="仿宋_GB2312" w:cs="Times New Roman"/>
          <w:color w:val="auto"/>
          <w:spacing w:val="0"/>
          <w:sz w:val="32"/>
          <w:szCs w:val="32"/>
          <w:highlight w:val="none"/>
          <w:lang w:val="zh-CN" w:eastAsia="zh-CN"/>
        </w:rPr>
        <w:t>2023年长期聘用人员比上年减少</w:t>
      </w:r>
      <w:r>
        <w:rPr>
          <w:rFonts w:hint="eastAsia" w:ascii="Times New Roman" w:hAnsi="Times New Roman" w:eastAsia="仿宋_GB2312" w:cs="Times New Roman"/>
          <w:color w:val="auto"/>
          <w:spacing w:val="0"/>
          <w:sz w:val="32"/>
          <w:szCs w:val="32"/>
          <w:highlight w:val="none"/>
          <w:lang w:val="en-US" w:eastAsia="zh-CN"/>
        </w:rPr>
        <w:t>36</w:t>
      </w:r>
      <w:r>
        <w:rPr>
          <w:rFonts w:hint="eastAsia" w:ascii="Times New Roman" w:hAnsi="Times New Roman" w:eastAsia="仿宋_GB2312" w:cs="Times New Roman"/>
          <w:color w:val="auto"/>
          <w:spacing w:val="0"/>
          <w:sz w:val="32"/>
          <w:szCs w:val="32"/>
          <w:highlight w:val="none"/>
          <w:lang w:val="zh-CN" w:eastAsia="zh-CN"/>
        </w:rPr>
        <w:t>人；上年度偿还以前年度“三化”设备款</w:t>
      </w:r>
      <w:r>
        <w:rPr>
          <w:rFonts w:hint="eastAsia" w:ascii="Times New Roman" w:hAnsi="Times New Roman" w:eastAsia="仿宋_GB2312" w:cs="Times New Roman"/>
          <w:color w:val="auto"/>
          <w:spacing w:val="0"/>
          <w:sz w:val="32"/>
          <w:szCs w:val="32"/>
          <w:highlight w:val="none"/>
          <w:lang w:val="en-US" w:eastAsia="zh-CN"/>
        </w:rPr>
        <w:t>493万元，本年度无此项目。与年初预算相比，年初预算数</w:t>
      </w:r>
      <w:r>
        <w:rPr>
          <w:rFonts w:hint="eastAsia" w:ascii="Times New Roman" w:hAnsi="Times New Roman" w:eastAsia="仿宋_GB2312" w:cs="Times New Roman"/>
          <w:color w:val="auto"/>
          <w:spacing w:val="0"/>
          <w:sz w:val="32"/>
          <w:szCs w:val="32"/>
          <w:highlight w:val="none"/>
          <w:lang w:val="zh-CN" w:eastAsia="zh-CN"/>
        </w:rPr>
        <w:t>2,217.22</w:t>
      </w:r>
      <w:r>
        <w:rPr>
          <w:rFonts w:hint="eastAsia" w:ascii="Times New Roman" w:hAnsi="Times New Roman" w:eastAsia="仿宋_GB2312" w:cs="Times New Roman"/>
          <w:color w:val="auto"/>
          <w:spacing w:val="0"/>
          <w:sz w:val="32"/>
          <w:szCs w:val="32"/>
          <w:highlight w:val="none"/>
          <w:lang w:val="en-US" w:eastAsia="zh-CN"/>
        </w:rPr>
        <w:t>万元，决算数</w:t>
      </w:r>
      <w:r>
        <w:rPr>
          <w:rFonts w:hint="eastAsia" w:ascii="Times New Roman" w:hAnsi="Times New Roman" w:eastAsia="仿宋_GB2312" w:cs="Times New Roman"/>
          <w:color w:val="auto"/>
          <w:spacing w:val="0"/>
          <w:sz w:val="32"/>
          <w:szCs w:val="32"/>
          <w:highlight w:val="none"/>
          <w:lang w:val="zh-CN" w:eastAsia="zh-CN"/>
        </w:rPr>
        <w:t>2,378.79</w:t>
      </w:r>
      <w:r>
        <w:rPr>
          <w:rFonts w:hint="eastAsia" w:ascii="Times New Roman" w:hAnsi="Times New Roman" w:eastAsia="仿宋_GB2312" w:cs="Times New Roman"/>
          <w:color w:val="auto"/>
          <w:spacing w:val="0"/>
          <w:sz w:val="32"/>
          <w:szCs w:val="32"/>
          <w:highlight w:val="none"/>
          <w:lang w:val="en-US" w:eastAsia="zh-CN"/>
        </w:rPr>
        <w:t>万元，预决算差异率7.29%，主要原因是：1.本年度发放2020年下半年绩效；2.发放2021年及2022年优秀考核奖；3.社区三岗十八级实行，工资调整，在职人员调资及社保基数上调。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eastAsia"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Times New Roman" w:hAnsi="Times New Roman" w:eastAsia="黑体" w:cs="Times New Roman"/>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zh-CN" w:eastAsia="zh-CN"/>
        </w:rPr>
        <w:t>2023年度一般公共预算财政拨款支出2,351.37万元，占本年支出合计的98.85%。与上年相比，增加225.14万元，增长10.59%，主要原因是：本年新增在编人员</w:t>
      </w:r>
      <w:r>
        <w:rPr>
          <w:rFonts w:hint="eastAsia" w:ascii="Times New Roman" w:hAnsi="Times New Roman" w:eastAsia="仿宋_GB2312" w:cs="Times New Roman"/>
          <w:color w:val="auto"/>
          <w:spacing w:val="0"/>
          <w:sz w:val="32"/>
          <w:szCs w:val="32"/>
          <w:highlight w:val="none"/>
          <w:lang w:val="en-US" w:eastAsia="zh-CN"/>
        </w:rPr>
        <w:t>7名，新增2022年新疆专项【第二批】中央基建投资预算项目</w:t>
      </w:r>
      <w:r>
        <w:rPr>
          <w:rFonts w:hint="eastAsia" w:ascii="Times New Roman" w:hAnsi="Times New Roman" w:eastAsia="仿宋_GB2312" w:cs="Times New Roman"/>
          <w:color w:val="auto"/>
          <w:spacing w:val="0"/>
          <w:sz w:val="32"/>
          <w:szCs w:val="32"/>
          <w:highlight w:val="none"/>
          <w:lang w:val="zh-CN" w:eastAsia="zh-CN"/>
        </w:rPr>
        <w:t>。与年初预算相比，年初预算数2,187.37万元，决算数2,351.37万元，预决算差异率7.50%，主要原因是：</w:t>
      </w:r>
      <w:bookmarkStart w:id="18" w:name="OLE_LINK2"/>
      <w:r>
        <w:rPr>
          <w:rFonts w:hint="eastAsia" w:ascii="Times New Roman" w:hAnsi="Times New Roman" w:eastAsia="仿宋_GB2312" w:cs="Times New Roman"/>
          <w:color w:val="auto"/>
          <w:spacing w:val="0"/>
          <w:sz w:val="32"/>
          <w:szCs w:val="32"/>
          <w:highlight w:val="none"/>
          <w:lang w:val="en-US" w:eastAsia="zh-CN"/>
        </w:rPr>
        <w:t>1.本年度发放2020年下半年绩效；2.发放2021年及2022年优秀考核奖；3.社区三岗十八级实行，工资调整，在职人员调资及社保基数上调</w:t>
      </w:r>
      <w:r>
        <w:rPr>
          <w:rFonts w:hint="eastAsia" w:ascii="Times New Roman" w:hAnsi="Times New Roman" w:eastAsia="仿宋_GB2312" w:cs="Times New Roman"/>
          <w:color w:val="auto"/>
          <w:spacing w:val="0"/>
          <w:sz w:val="32"/>
          <w:szCs w:val="32"/>
          <w:highlight w:val="none"/>
          <w:lang w:val="zh-CN" w:eastAsia="zh-CN"/>
        </w:rPr>
        <w:t>。</w:t>
      </w:r>
    </w:p>
    <w:bookmarkEnd w:id="18"/>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2"/>
          <w:highlight w:val="none"/>
          <w:lang w:eastAsia="zh-CN"/>
        </w:rPr>
      </w:pPr>
      <w:r>
        <w:rPr>
          <w:rFonts w:hint="eastAsia" w:ascii="Times New Roman" w:hAnsi="Times New Roman" w:eastAsia="黑体" w:cs="Times New Roman"/>
          <w:color w:val="auto"/>
          <w:sz w:val="32"/>
          <w:szCs w:val="32"/>
          <w:highlight w:val="none"/>
          <w:lang w:eastAsia="zh-CN"/>
        </w:rPr>
        <w:t>一般公共预算</w:t>
      </w:r>
      <w:r>
        <w:rPr>
          <w:rFonts w:hint="eastAsia" w:ascii="Times New Roman" w:hAnsi="Times New Roman" w:eastAsia="黑体" w:cs="Times New Roman"/>
          <w:color w:val="auto"/>
          <w:sz w:val="32"/>
          <w:szCs w:val="32"/>
          <w:highlight w:val="none"/>
          <w:lang w:val="en-US" w:eastAsia="zh-CN"/>
        </w:rPr>
        <w:t>财政拨款支出决算</w:t>
      </w:r>
      <w:r>
        <w:rPr>
          <w:rFonts w:hint="eastAsia" w:ascii="Times New Roman" w:hAnsi="Times New Roman" w:eastAsia="黑体" w:cs="Times New Roman"/>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highlight w:val="none"/>
          <w:lang w:val="zh-CN" w:eastAsia="zh-CN" w:bidi="ar-SA"/>
        </w:rPr>
        <w:t>1.一般公共服务支出（类）</w:t>
      </w:r>
      <w:r>
        <w:rPr>
          <w:rFonts w:hint="eastAsia" w:ascii="Times New Roman" w:hAnsi="Times New Roman" w:eastAsia="仿宋_GB2312" w:cs="Times New Roman"/>
          <w:color w:val="auto"/>
          <w:spacing w:val="0"/>
          <w:kern w:val="2"/>
          <w:sz w:val="32"/>
          <w:szCs w:val="32"/>
          <w:highlight w:val="none"/>
          <w:lang w:val="zh-CN" w:eastAsia="zh-CN" w:bidi="ar-SA"/>
        </w:rPr>
        <w:t>1,871.86</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79.61</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highlight w:val="none"/>
          <w:lang w:val="en-US" w:eastAsia="zh-CN" w:bidi="ar-SA"/>
        </w:rPr>
        <w:t>2</w:t>
      </w:r>
      <w:r>
        <w:rPr>
          <w:rFonts w:hint="default" w:ascii="Times New Roman" w:hAnsi="Times New Roman" w:eastAsia="仿宋_GB2312" w:cs="Times New Roman"/>
          <w:color w:val="auto"/>
          <w:spacing w:val="0"/>
          <w:kern w:val="2"/>
          <w:sz w:val="32"/>
          <w:szCs w:val="32"/>
          <w:highlight w:val="none"/>
          <w:lang w:val="zh-CN" w:eastAsia="zh-CN" w:bidi="ar-SA"/>
        </w:rPr>
        <w:t>.教育支出（类）</w:t>
      </w:r>
      <w:r>
        <w:rPr>
          <w:rFonts w:hint="eastAsia" w:ascii="Times New Roman" w:hAnsi="Times New Roman" w:eastAsia="仿宋_GB2312" w:cs="Times New Roman"/>
          <w:color w:val="auto"/>
          <w:spacing w:val="0"/>
          <w:kern w:val="2"/>
          <w:sz w:val="32"/>
          <w:szCs w:val="32"/>
          <w:highlight w:val="none"/>
          <w:lang w:val="zh-CN" w:eastAsia="zh-CN" w:bidi="ar-SA"/>
        </w:rPr>
        <w:t>6.57</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0.28</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highlight w:val="none"/>
          <w:lang w:val="en-US" w:eastAsia="zh-CN" w:bidi="ar-SA"/>
        </w:rPr>
        <w:t>3</w:t>
      </w:r>
      <w:r>
        <w:rPr>
          <w:rFonts w:hint="default" w:ascii="Times New Roman" w:hAnsi="Times New Roman" w:eastAsia="仿宋_GB2312" w:cs="Times New Roman"/>
          <w:color w:val="auto"/>
          <w:spacing w:val="0"/>
          <w:kern w:val="2"/>
          <w:sz w:val="32"/>
          <w:szCs w:val="32"/>
          <w:highlight w:val="none"/>
          <w:lang w:val="zh-CN" w:eastAsia="zh-CN" w:bidi="ar-SA"/>
        </w:rPr>
        <w:t>.文化旅游体育与传媒支出（类）</w:t>
      </w:r>
      <w:r>
        <w:rPr>
          <w:rFonts w:hint="eastAsia" w:ascii="Times New Roman" w:hAnsi="Times New Roman" w:eastAsia="仿宋_GB2312" w:cs="Times New Roman"/>
          <w:color w:val="auto"/>
          <w:spacing w:val="0"/>
          <w:kern w:val="2"/>
          <w:sz w:val="32"/>
          <w:szCs w:val="32"/>
          <w:highlight w:val="none"/>
          <w:lang w:val="zh-CN" w:eastAsia="zh-CN" w:bidi="ar-SA"/>
        </w:rPr>
        <w:t>23.78</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1.01</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highlight w:val="none"/>
          <w:lang w:val="en-US" w:eastAsia="zh-CN" w:bidi="ar-SA"/>
        </w:rPr>
        <w:t>4</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w:t>
      </w:r>
      <w:r>
        <w:rPr>
          <w:rFonts w:hint="eastAsia" w:ascii="Times New Roman" w:hAnsi="Times New Roman" w:eastAsia="仿宋_GB2312" w:cs="Times New Roman"/>
          <w:color w:val="auto"/>
          <w:spacing w:val="0"/>
          <w:kern w:val="2"/>
          <w:sz w:val="32"/>
          <w:szCs w:val="32"/>
          <w:highlight w:val="none"/>
          <w:lang w:val="zh-CN" w:eastAsia="zh-CN" w:bidi="ar-SA"/>
        </w:rPr>
        <w:t>221.66</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9.43</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highlight w:val="none"/>
          <w:lang w:val="en-US" w:eastAsia="zh-CN" w:bidi="ar-SA"/>
        </w:rPr>
        <w:t>5</w:t>
      </w:r>
      <w:r>
        <w:rPr>
          <w:rFonts w:hint="default" w:ascii="Times New Roman" w:hAnsi="Times New Roman" w:eastAsia="仿宋_GB2312" w:cs="Times New Roman"/>
          <w:color w:val="auto"/>
          <w:spacing w:val="0"/>
          <w:kern w:val="2"/>
          <w:sz w:val="32"/>
          <w:szCs w:val="32"/>
          <w:highlight w:val="none"/>
          <w:lang w:val="zh-CN" w:eastAsia="zh-CN" w:bidi="ar-SA"/>
        </w:rPr>
        <w:t>.卫生健康支出（类）</w:t>
      </w:r>
      <w:r>
        <w:rPr>
          <w:rFonts w:hint="eastAsia" w:ascii="Times New Roman" w:hAnsi="Times New Roman" w:eastAsia="仿宋_GB2312" w:cs="Times New Roman"/>
          <w:color w:val="auto"/>
          <w:spacing w:val="0"/>
          <w:kern w:val="2"/>
          <w:sz w:val="32"/>
          <w:szCs w:val="32"/>
          <w:highlight w:val="none"/>
          <w:lang w:val="zh-CN" w:eastAsia="zh-CN" w:bidi="ar-SA"/>
        </w:rPr>
        <w:t>61.56</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2.62</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highlight w:val="none"/>
          <w:lang w:val="en-US" w:eastAsia="zh-CN" w:bidi="ar-SA"/>
        </w:rPr>
        <w:t>6</w:t>
      </w:r>
      <w:r>
        <w:rPr>
          <w:rFonts w:hint="default" w:ascii="Times New Roman" w:hAnsi="Times New Roman" w:eastAsia="仿宋_GB2312" w:cs="Times New Roman"/>
          <w:color w:val="auto"/>
          <w:spacing w:val="0"/>
          <w:kern w:val="2"/>
          <w:sz w:val="32"/>
          <w:szCs w:val="32"/>
          <w:highlight w:val="none"/>
          <w:lang w:val="zh-CN" w:eastAsia="zh-CN" w:bidi="ar-SA"/>
        </w:rPr>
        <w:t>.住房保障支出（类）</w:t>
      </w:r>
      <w:r>
        <w:rPr>
          <w:rFonts w:hint="eastAsia" w:ascii="Times New Roman" w:hAnsi="Times New Roman" w:eastAsia="仿宋_GB2312" w:cs="Times New Roman"/>
          <w:color w:val="auto"/>
          <w:spacing w:val="0"/>
          <w:kern w:val="2"/>
          <w:sz w:val="32"/>
          <w:szCs w:val="32"/>
          <w:highlight w:val="none"/>
          <w:lang w:val="zh-CN" w:eastAsia="zh-CN" w:bidi="ar-SA"/>
        </w:rPr>
        <w:t>75.93</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3.23</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highlight w:val="none"/>
          <w:lang w:val="en-US" w:eastAsia="zh-CN" w:bidi="ar-SA"/>
        </w:rPr>
        <w:t>7</w:t>
      </w:r>
      <w:r>
        <w:rPr>
          <w:rFonts w:hint="default" w:ascii="Times New Roman" w:hAnsi="Times New Roman" w:eastAsia="仿宋_GB2312" w:cs="Times New Roman"/>
          <w:color w:val="auto"/>
          <w:spacing w:val="0"/>
          <w:kern w:val="2"/>
          <w:sz w:val="32"/>
          <w:szCs w:val="32"/>
          <w:highlight w:val="none"/>
          <w:lang w:val="zh-CN" w:eastAsia="zh-CN" w:bidi="ar-SA"/>
        </w:rPr>
        <w:t>.其他支出（类）</w:t>
      </w:r>
      <w:r>
        <w:rPr>
          <w:rFonts w:hint="eastAsia" w:ascii="Times New Roman" w:hAnsi="Times New Roman" w:eastAsia="仿宋_GB2312" w:cs="Times New Roman"/>
          <w:color w:val="auto"/>
          <w:spacing w:val="0"/>
          <w:kern w:val="2"/>
          <w:sz w:val="32"/>
          <w:szCs w:val="32"/>
          <w:highlight w:val="none"/>
          <w:lang w:val="zh-CN" w:eastAsia="zh-CN" w:bidi="ar-SA"/>
        </w:rPr>
        <w:t>90.00</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3.83</w:t>
      </w:r>
      <w:r>
        <w:rPr>
          <w:rFonts w:hint="default" w:ascii="Times New Roman"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2"/>
          <w:highlight w:val="none"/>
          <w:lang w:eastAsia="zh-CN"/>
        </w:rPr>
      </w:pPr>
      <w:r>
        <w:rPr>
          <w:rFonts w:hint="eastAsia" w:ascii="Times New Roman" w:hAnsi="Times New Roman" w:eastAsia="黑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en-US" w:eastAsia="zh-CN"/>
        </w:rPr>
        <w:t>1.一般公共服务支出（类）政府办公厅（室）及相关机构事务（款）行政运行（项）:支出决算数为1,852.13万元，比上年决算增加227.02万元，增长13.97%，主要原因是：1.本年度发放2020年下半年绩效；2.发放2021年及2022年优秀考核奖；3.社区三岗十八级实行，工资调整，在职人员调资及社保基数上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2.一般公共服务支出（类）政府办公厅（室）及相关机构事务（款）其他政府办公厅（室）及相关机构事务支出（项）:支出决算数为12.68万元，比上年决算减少28.95万元，下降69.54%，主要原因是：</w:t>
      </w:r>
      <w:r>
        <w:rPr>
          <w:rFonts w:hint="eastAsia" w:ascii="Times New Roman" w:hAnsi="Times New Roman" w:eastAsia="仿宋_GB2312" w:cs="Times New Roman"/>
          <w:color w:val="auto"/>
          <w:spacing w:val="0"/>
          <w:sz w:val="32"/>
          <w:szCs w:val="32"/>
          <w:highlight w:val="none"/>
          <w:lang w:val="zh-CN" w:eastAsia="zh-CN"/>
        </w:rPr>
        <w:t>主要原因严格执行中央八项规定，厉行节约，压缩各项经费支出。各项收入相对体现出预算编制的科学合理性，有效的节约了不必需的开支。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3.一般公共服务支出（类）纪检监察事务（款）其他纪检监察事务支出（项）:支出决算数为1.50万元，比上年决算增加0.54万元，增长56.25%，主要原因是：上年度此项预算1.00万元，本年度预算增加至1.50万元，相关支出增加</w:t>
      </w:r>
      <w:r>
        <w:rPr>
          <w:rFonts w:hint="eastAsia"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4.一般公共服务支出（类）组织事务（款）其他组织事务支出（项）:支出决算数为5.56万元，比上年决算减少105.35万元，下降94.99%，主要原因是：主要原因严格执行中央八项规定，厉行节约，压缩各项经费支出。各项收入相对体现出预算编制的科学合理性，有效的节约了不必需的开支</w:t>
      </w:r>
      <w:r>
        <w:rPr>
          <w:rFonts w:hint="eastAsia"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5.教育支出（类）进修及培训（款）培训支出（项）:支出决算数为6.57万元，比上年决算增加5.43万元，增长476.32%，主要原因是：上年疫情，本年增加了人员外出培训人次</w:t>
      </w:r>
      <w:r>
        <w:rPr>
          <w:rFonts w:hint="eastAsia"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6.文化旅游体育与传媒支出（类）文化和旅游（款）其他文化和旅游支出（项）:支出决算数为3.20万元，比上年决算增加3.20万元，增长100%，主要原因是：上年度本项未列支预算，上年度支出为0，本年度安排此项预算，相关支出增加</w:t>
      </w:r>
      <w:r>
        <w:rPr>
          <w:rFonts w:hint="eastAsia"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7.文化旅游体育与传媒支出（类）其他文化旅游体育与传媒支出（款）其他文化旅游体育与传媒支出（项）:支出决算数为20.58万元，比上年决算增加20.58万元，增长100%，主要原因是：上年度未安排此项预算</w:t>
      </w:r>
      <w:r>
        <w:rPr>
          <w:rFonts w:hint="eastAsia"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8.社会保障和就业支出（类）行政事业单位养老支出（款）行政单位离退休（项）:支出决算数为23.10万元，比上年决算增加14.58万元，增长171.13%，主要原因是：本年新增离退退休人员绩效奖</w:t>
      </w:r>
      <w:r>
        <w:rPr>
          <w:rFonts w:hint="eastAsia"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9.社会保障和就业支出（类）行政事业单位养老支出（款）机关事业单位基本养老保险缴费支出（项）:支出决算数为95.02万元，比上年决算增加10.36万元，增长12.23%，主要原因是：</w:t>
      </w:r>
      <w:r>
        <w:rPr>
          <w:rFonts w:hint="eastAsia" w:ascii="Times New Roman" w:hAnsi="Times New Roman" w:eastAsia="仿宋_GB2312" w:cs="Times New Roman"/>
          <w:color w:val="auto"/>
          <w:spacing w:val="0"/>
          <w:sz w:val="32"/>
          <w:szCs w:val="32"/>
          <w:highlight w:val="none"/>
          <w:lang w:val="zh-CN" w:eastAsia="zh-CN"/>
        </w:rPr>
        <w:t>本年调入7名非参公事业人员。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10.社会保障和就业支出（类）就业补助（款）公益性岗位补贴（项）:支出决算数为103.54万元，比上年决算减少20.99万元，下降16.85%，主要原因是：本年度</w:t>
      </w:r>
      <w:r>
        <w:rPr>
          <w:rFonts w:hint="eastAsia" w:ascii="Times New Roman" w:hAnsi="Times New Roman" w:eastAsia="仿宋_GB2312" w:cs="Times New Roman"/>
          <w:color w:val="auto"/>
          <w:spacing w:val="0"/>
          <w:sz w:val="32"/>
          <w:szCs w:val="32"/>
          <w:highlight w:val="none"/>
          <w:lang w:val="zh-CN" w:eastAsia="zh-CN"/>
        </w:rPr>
        <w:t>公益岗人员辞职26人。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11.卫生健康支出（类）行政事业单位医疗（款）行政单位医疗（项）:支出决算数为47.26万元，比上年决算增加3.96万元，增长9.16%，主要原因是：</w:t>
      </w:r>
      <w:r>
        <w:rPr>
          <w:rFonts w:hint="eastAsia" w:ascii="Times New Roman" w:hAnsi="Times New Roman" w:eastAsia="仿宋_GB2312" w:cs="Times New Roman"/>
          <w:color w:val="auto"/>
          <w:spacing w:val="0"/>
          <w:sz w:val="32"/>
          <w:szCs w:val="32"/>
          <w:highlight w:val="none"/>
          <w:lang w:val="zh-CN" w:eastAsia="zh-CN"/>
        </w:rPr>
        <w:t>人员社保缴费基数增加。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12.卫生健康支出（类）行政事业单位医疗（款）公务员医疗补助（项）:支出决算数为14.30万元，比上年决算增加6.06万元，增长73.54%，主要原因是：</w:t>
      </w:r>
      <w:r>
        <w:rPr>
          <w:rFonts w:hint="eastAsia" w:ascii="Times New Roman" w:hAnsi="Times New Roman" w:eastAsia="仿宋_GB2312" w:cs="Times New Roman"/>
          <w:color w:val="auto"/>
          <w:spacing w:val="0"/>
          <w:sz w:val="32"/>
          <w:szCs w:val="32"/>
          <w:highlight w:val="none"/>
          <w:lang w:val="zh-CN" w:eastAsia="zh-CN"/>
        </w:rPr>
        <w:t>人员社保缴费基数增加。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13.住房保障支出（类）住房改革支出（款）住房公积金（项）:支出决算数为75.93万元，比上年决算增加11.78万元，增长18.36%，主要原因是：本年度下半年新增在编人员7人以及公积金缴费基数提高，相关支出增加</w:t>
      </w:r>
      <w:r>
        <w:rPr>
          <w:rFonts w:hint="eastAsia"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14.其他支出（类）其他支出（款）其他支出（项）:支出决算数为90.00万元，比上年决算增加90.00万元，增长100%，主要原因是：</w:t>
      </w:r>
      <w:bookmarkStart w:id="19" w:name="OLE_LINK1"/>
      <w:r>
        <w:rPr>
          <w:rFonts w:hint="eastAsia" w:ascii="Times New Roman" w:hAnsi="Times New Roman" w:eastAsia="仿宋_GB2312" w:cs="Times New Roman"/>
          <w:color w:val="auto"/>
          <w:spacing w:val="0"/>
          <w:sz w:val="32"/>
          <w:szCs w:val="32"/>
          <w:highlight w:val="none"/>
          <w:lang w:val="en-US" w:eastAsia="zh-CN"/>
        </w:rPr>
        <w:t>本年度新增了2022年新疆专项【第二批】中央基建投资滨河社区基建项目</w:t>
      </w:r>
      <w:r>
        <w:rPr>
          <w:rFonts w:hint="eastAsia" w:ascii="Times New Roman" w:hAnsi="Times New Roman" w:eastAsia="仿宋_GB2312" w:cs="Times New Roman"/>
          <w:color w:val="auto"/>
          <w:spacing w:val="0"/>
          <w:sz w:val="32"/>
          <w:szCs w:val="32"/>
          <w:highlight w:val="none"/>
          <w:lang w:val="zh-CN" w:eastAsia="zh-CN"/>
        </w:rPr>
        <w:t>。</w:t>
      </w:r>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15.国防支出（类）国防动员（款）民兵（项）:支出决算数为0.00万元，比上年决算减少2.44万元，下降100%，主要原因是：本年度未安排此项支出</w:t>
      </w:r>
      <w:r>
        <w:rPr>
          <w:rFonts w:hint="eastAsia"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16.社会保障和就业支出（类）行政事业单位养老支出（款）机关事业单位职业年金缴费支出（项）:支出决算数为0.00万元，比上年决算减少5.94万元，下降100%，主要原因是：</w:t>
      </w:r>
      <w:r>
        <w:rPr>
          <w:rFonts w:hint="eastAsia" w:ascii="Times New Roman" w:hAnsi="Times New Roman" w:eastAsia="仿宋_GB2312" w:cs="Times New Roman"/>
          <w:color w:val="auto"/>
          <w:spacing w:val="0"/>
          <w:sz w:val="32"/>
          <w:szCs w:val="32"/>
          <w:highlight w:val="none"/>
          <w:lang w:val="zh-CN" w:eastAsia="zh-CN"/>
        </w:rPr>
        <w:t>本年度无此项支出。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spacing w:val="0"/>
          <w:sz w:val="32"/>
          <w:szCs w:val="32"/>
          <w:highlight w:val="none"/>
          <w:lang w:val="en-US" w:eastAsia="zh-CN"/>
        </w:rPr>
        <w:t>17.卫生健康支出（类）公共卫生（款）突发公共卫生事件应急处理（项）:支出决算数为0.00万元，比上年决算减少4.70万元，下降100%，主要原因是：</w:t>
      </w:r>
      <w:r>
        <w:rPr>
          <w:rFonts w:hint="eastAsia" w:ascii="Times New Roman" w:hAnsi="Times New Roman" w:eastAsia="仿宋_GB2312" w:cs="Times New Roman"/>
          <w:color w:val="auto"/>
          <w:spacing w:val="0"/>
          <w:sz w:val="32"/>
          <w:szCs w:val="32"/>
          <w:highlight w:val="none"/>
          <w:lang w:val="zh-CN" w:eastAsia="zh-CN"/>
        </w:rPr>
        <w:t>本年度无此项支出。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eastAsia="zh-CN"/>
        </w:rPr>
      </w:pPr>
      <w:r>
        <w:rPr>
          <w:rFonts w:hint="eastAsia"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eastAsia="zh-CN"/>
        </w:rPr>
        <w:t>2023年度一般公共预算财政拨款基本支出2,223.41万元，其中：人员经费2,174.47万元，包括：</w:t>
      </w:r>
      <w:r>
        <w:rPr>
          <w:rFonts w:hint="eastAsia" w:ascii="Times New Roman" w:hAnsi="Times New Roman" w:eastAsia="仿宋_GB2312" w:cs="Times New Roman"/>
          <w:color w:val="auto"/>
          <w:spacing w:val="0"/>
          <w:sz w:val="32"/>
          <w:szCs w:val="32"/>
          <w:highlight w:val="none"/>
          <w:lang w:val="en-US" w:eastAsia="zh-CN"/>
        </w:rPr>
        <w:t>基本工资、津贴补贴、奖金、机关事业单位基本养老保险缴费、职工基本医疗保险缴费、公务员医疗补助缴费、其他社会保障缴费、住房公积金、医疗费、其他工资福利支出、退休费、生活补助、医疗费补助。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eastAsia="zh-CN"/>
        </w:rPr>
        <w:t>公用经费48.93万元，包括：</w:t>
      </w:r>
      <w:r>
        <w:rPr>
          <w:rFonts w:hint="eastAsia" w:ascii="Times New Roman" w:hAnsi="Times New Roman" w:eastAsia="仿宋_GB2312" w:cs="Times New Roman"/>
          <w:color w:val="auto"/>
          <w:spacing w:val="0"/>
          <w:sz w:val="32"/>
          <w:szCs w:val="32"/>
          <w:highlight w:val="none"/>
          <w:lang w:val="en-US" w:eastAsia="zh-CN"/>
        </w:rPr>
        <w:t>办公费、水费、电费、邮电费、取暖费、物业管理费、差旅费、维修（护）费、培训费、工会经费、公务用车运行维护费。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val="en-US" w:eastAsia="zh-CN"/>
        </w:rPr>
      </w:pPr>
      <w:r>
        <w:rPr>
          <w:rFonts w:hint="eastAsia" w:ascii="Times New Roman" w:hAnsi="Times New Roman" w:eastAsia="黑体" w:cs="Times New Roman"/>
          <w:bCs/>
          <w:color w:val="auto"/>
          <w:kern w:val="0"/>
          <w:sz w:val="32"/>
          <w:szCs w:val="32"/>
          <w:highlight w:val="none"/>
          <w:lang w:val="en-US" w:eastAsia="zh-CN"/>
        </w:rPr>
        <w:t>七、财政拨款“三公”经费支出决算情况说明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2023年度</w:t>
      </w:r>
      <w:r>
        <w:rPr>
          <w:rFonts w:hint="eastAsia" w:ascii="Times New Roman" w:hAnsi="Times New Roman" w:eastAsia="仿宋_GB2312" w:cs="Times New Roman"/>
          <w:color w:val="auto"/>
          <w:spacing w:val="0"/>
          <w:sz w:val="32"/>
          <w:szCs w:val="32"/>
          <w:highlight w:val="none"/>
          <w:lang w:val="en-US" w:eastAsia="zh-CN"/>
        </w:rPr>
        <w:t>财政拨款</w:t>
      </w:r>
      <w:r>
        <w:rPr>
          <w:rFonts w:hint="eastAsia" w:ascii="Times New Roman" w:hAnsi="Times New Roman" w:eastAsia="仿宋_GB2312" w:cs="Times New Roman"/>
          <w:color w:val="auto"/>
          <w:spacing w:val="0"/>
          <w:sz w:val="32"/>
          <w:szCs w:val="32"/>
          <w:highlight w:val="none"/>
          <w:lang w:val="zh-CN" w:eastAsia="zh-CN"/>
        </w:rPr>
        <w:t>“三公”经费支出9.28万元，</w:t>
      </w:r>
      <w:r>
        <w:rPr>
          <w:rFonts w:hint="eastAsia" w:ascii="Times New Roman" w:hAnsi="Times New Roman" w:eastAsia="仿宋_GB2312" w:cs="Times New Roman"/>
          <w:color w:val="auto"/>
          <w:spacing w:val="0"/>
          <w:sz w:val="32"/>
          <w:szCs w:val="32"/>
          <w:highlight w:val="none"/>
          <w:lang w:val="en-US" w:eastAsia="zh-CN"/>
        </w:rPr>
        <w:t>比上年</w:t>
      </w:r>
      <w:r>
        <w:rPr>
          <w:rFonts w:hint="eastAsia" w:ascii="Times New Roman" w:hAnsi="Times New Roman" w:eastAsia="仿宋_GB2312" w:cs="Times New Roman"/>
          <w:color w:val="auto"/>
          <w:spacing w:val="0"/>
          <w:sz w:val="32"/>
          <w:szCs w:val="32"/>
          <w:highlight w:val="none"/>
          <w:lang w:val="zh-CN" w:eastAsia="zh-CN"/>
        </w:rPr>
        <w:t>增加2.42万元，增长35.</w:t>
      </w:r>
      <w:r>
        <w:rPr>
          <w:rFonts w:hint="eastAsia" w:ascii="Times New Roman" w:hAnsi="Times New Roman" w:eastAsia="仿宋_GB2312" w:cs="Times New Roman"/>
          <w:color w:val="auto"/>
          <w:spacing w:val="0"/>
          <w:sz w:val="32"/>
          <w:szCs w:val="32"/>
          <w:highlight w:val="none"/>
          <w:lang w:val="en-US" w:eastAsia="zh-CN"/>
        </w:rPr>
        <w:t>28</w:t>
      </w:r>
      <w:r>
        <w:rPr>
          <w:rFonts w:hint="eastAsia" w:ascii="Times New Roman" w:hAnsi="Times New Roman" w:eastAsia="仿宋_GB2312" w:cs="Times New Roman"/>
          <w:color w:val="auto"/>
          <w:spacing w:val="0"/>
          <w:sz w:val="32"/>
          <w:szCs w:val="32"/>
          <w:highlight w:val="none"/>
          <w:lang w:val="zh-CN" w:eastAsia="zh-CN"/>
        </w:rPr>
        <w:t>%，主要原因是：车辆老旧，维修成本增加。其中：因公出国（境）费支出0.00万元，占0.00%，比上年增加0.00万元，增长0.00%，主要原因是：</w:t>
      </w:r>
      <w:r>
        <w:rPr>
          <w:rFonts w:hint="eastAsia" w:ascii="Times New Roman" w:hAnsi="Times New Roman" w:eastAsia="仿宋_GB2312" w:cs="Times New Roman"/>
          <w:color w:val="auto"/>
          <w:spacing w:val="0"/>
          <w:sz w:val="32"/>
          <w:szCs w:val="32"/>
          <w:highlight w:val="none"/>
          <w:lang w:val="en-US" w:eastAsia="zh-CN"/>
        </w:rPr>
        <w:t>本年无因公出国（境）费支出，与上年相比无变动</w:t>
      </w:r>
      <w:r>
        <w:rPr>
          <w:rFonts w:hint="eastAsia" w:ascii="Times New Roman" w:hAnsi="Times New Roman" w:eastAsia="仿宋_GB2312" w:cs="Times New Roman"/>
          <w:color w:val="auto"/>
          <w:spacing w:val="0"/>
          <w:sz w:val="32"/>
          <w:szCs w:val="32"/>
          <w:highlight w:val="none"/>
          <w:lang w:val="zh-CN" w:eastAsia="zh-CN"/>
        </w:rPr>
        <w:t>；公务用车购置及运行维护费支出9.28万元，占100.00%，比上年增加2.42万元，增长35.</w:t>
      </w:r>
      <w:r>
        <w:rPr>
          <w:rFonts w:hint="eastAsia" w:ascii="Times New Roman" w:hAnsi="Times New Roman" w:eastAsia="仿宋_GB2312" w:cs="Times New Roman"/>
          <w:color w:val="auto"/>
          <w:spacing w:val="0"/>
          <w:sz w:val="32"/>
          <w:szCs w:val="32"/>
          <w:highlight w:val="none"/>
          <w:lang w:val="en-US" w:eastAsia="zh-CN"/>
        </w:rPr>
        <w:t>28</w:t>
      </w:r>
      <w:r>
        <w:rPr>
          <w:rFonts w:hint="eastAsia" w:ascii="Times New Roman" w:hAnsi="Times New Roman" w:eastAsia="仿宋_GB2312" w:cs="Times New Roman"/>
          <w:color w:val="auto"/>
          <w:spacing w:val="0"/>
          <w:sz w:val="32"/>
          <w:szCs w:val="32"/>
          <w:highlight w:val="none"/>
          <w:lang w:val="zh-CN" w:eastAsia="zh-CN"/>
        </w:rPr>
        <w:t>%，主要原因是：车辆老旧，维修成本增加；公务接待费支出0.00万元，占0.00%，比上年增加0.00万元，增长0.00%，主要原因是：本年未安排公务接待费支出，无开支内容。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因公出国（境）费支出0.00万元，开支内容包括</w:t>
      </w:r>
      <w:r>
        <w:rPr>
          <w:rFonts w:hint="eastAsia" w:ascii="Times New Roman" w:hAnsi="Times New Roman" w:eastAsia="仿宋_GB2312" w:cs="Times New Roman"/>
          <w:color w:val="auto"/>
          <w:spacing w:val="0"/>
          <w:sz w:val="32"/>
          <w:szCs w:val="32"/>
          <w:highlight w:val="none"/>
          <w:lang w:val="en-US" w:eastAsia="zh-CN"/>
        </w:rPr>
        <w:t>本年无因公出国（境）费支出</w:t>
      </w:r>
      <w:r>
        <w:rPr>
          <w:rFonts w:hint="eastAsia" w:ascii="Times New Roman" w:hAnsi="Times New Roman" w:eastAsia="仿宋_GB2312" w:cs="Times New Roman"/>
          <w:color w:val="auto"/>
          <w:spacing w:val="0"/>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zh-CN" w:eastAsia="zh-CN"/>
        </w:rPr>
        <w:t>公务用车购置及运行维护费9.28万元，其中：公务用车购置费0.00万元，公务用车运行维护费9.28万元。公务用车运行维护费开支内容包括</w:t>
      </w:r>
      <w:r>
        <w:rPr>
          <w:rFonts w:hint="eastAsia" w:ascii="Times New Roman" w:hAnsi="Times New Roman" w:eastAsia="仿宋_GB2312" w:cs="Times New Roman"/>
          <w:color w:val="auto"/>
          <w:spacing w:val="0"/>
          <w:sz w:val="32"/>
          <w:szCs w:val="32"/>
          <w:highlight w:val="none"/>
          <w:lang w:val="en-US" w:eastAsia="zh-CN"/>
        </w:rPr>
        <w:t>公务车燃油费、车辆保险、车辆维修费</w:t>
      </w:r>
      <w:r>
        <w:rPr>
          <w:rFonts w:hint="eastAsia" w:ascii="Times New Roman" w:hAnsi="Times New Roman" w:eastAsia="仿宋_GB2312" w:cs="Times New Roman"/>
          <w:color w:val="auto"/>
          <w:spacing w:val="0"/>
          <w:sz w:val="32"/>
          <w:szCs w:val="32"/>
          <w:highlight w:val="none"/>
          <w:lang w:val="zh-CN" w:eastAsia="zh-CN"/>
        </w:rPr>
        <w:t>。公务用车购置数0辆，公务用车保有量5辆。国有资产占用情况</w:t>
      </w:r>
      <w:r>
        <w:rPr>
          <w:rFonts w:hint="eastAsia" w:ascii="Times New Roman" w:hAnsi="Times New Roman" w:eastAsia="仿宋_GB2312" w:cs="Times New Roman"/>
          <w:color w:val="auto"/>
          <w:spacing w:val="0"/>
          <w:sz w:val="32"/>
          <w:szCs w:val="32"/>
          <w:highlight w:val="none"/>
          <w:lang w:val="en-US" w:eastAsia="zh-CN"/>
        </w:rPr>
        <w:t>中固定资产车辆</w:t>
      </w:r>
      <w:r>
        <w:rPr>
          <w:rFonts w:hint="eastAsia" w:ascii="Times New Roman" w:hAnsi="Times New Roman" w:eastAsia="仿宋_GB2312" w:cs="Times New Roman"/>
          <w:color w:val="auto"/>
          <w:spacing w:val="0"/>
          <w:sz w:val="32"/>
          <w:szCs w:val="32"/>
          <w:highlight w:val="none"/>
          <w:lang w:val="zh-CN" w:eastAsia="zh-CN"/>
        </w:rPr>
        <w:t>11辆，</w:t>
      </w:r>
      <w:r>
        <w:rPr>
          <w:rFonts w:hint="eastAsia" w:ascii="Times New Roman" w:hAnsi="Times New Roman" w:eastAsia="仿宋_GB2312" w:cs="Times New Roman"/>
          <w:color w:val="auto"/>
          <w:spacing w:val="0"/>
          <w:sz w:val="32"/>
          <w:szCs w:val="32"/>
          <w:highlight w:val="none"/>
          <w:lang w:val="en-US" w:eastAsia="zh-CN"/>
        </w:rPr>
        <w:t>与</w:t>
      </w:r>
      <w:r>
        <w:rPr>
          <w:rFonts w:hint="eastAsia" w:ascii="Times New Roman" w:hAnsi="Times New Roman" w:eastAsia="仿宋_GB2312" w:cs="Times New Roman"/>
          <w:color w:val="auto"/>
          <w:spacing w:val="0"/>
          <w:sz w:val="32"/>
          <w:szCs w:val="32"/>
          <w:highlight w:val="none"/>
          <w:lang w:val="zh-CN" w:eastAsia="zh-CN"/>
        </w:rPr>
        <w:t>公务用车</w:t>
      </w:r>
      <w:r>
        <w:rPr>
          <w:rFonts w:hint="eastAsia" w:ascii="Times New Roman" w:hAnsi="Times New Roman" w:eastAsia="仿宋_GB2312" w:cs="Times New Roman"/>
          <w:color w:val="auto"/>
          <w:spacing w:val="0"/>
          <w:sz w:val="32"/>
          <w:szCs w:val="32"/>
          <w:highlight w:val="none"/>
          <w:lang w:val="en-US" w:eastAsia="zh-CN"/>
        </w:rPr>
        <w:t>保有量差异</w:t>
      </w:r>
      <w:r>
        <w:rPr>
          <w:rFonts w:hint="eastAsia" w:ascii="Times New Roman" w:hAnsi="Times New Roman" w:eastAsia="仿宋_GB2312" w:cs="Times New Roman"/>
          <w:color w:val="auto"/>
          <w:spacing w:val="0"/>
          <w:sz w:val="32"/>
          <w:szCs w:val="32"/>
          <w:highlight w:val="none"/>
          <w:lang w:val="zh-CN" w:eastAsia="zh-CN"/>
        </w:rPr>
        <w:t>原因是：本单位固定资产车辆包含政法调拨车辆</w:t>
      </w:r>
      <w:r>
        <w:rPr>
          <w:rFonts w:hint="eastAsia" w:ascii="Times New Roman" w:hAnsi="Times New Roman" w:eastAsia="仿宋_GB2312" w:cs="Times New Roman"/>
          <w:color w:val="auto"/>
          <w:spacing w:val="0"/>
          <w:sz w:val="32"/>
          <w:szCs w:val="32"/>
          <w:highlight w:val="none"/>
          <w:lang w:val="en-US" w:eastAsia="zh-CN"/>
        </w:rPr>
        <w:t>6辆</w:t>
      </w:r>
      <w:r>
        <w:rPr>
          <w:rFonts w:hint="eastAsia"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公务接待费0.00万元，开支内容包括本年未安排公务接待费支出。单位全年安排的国内公务接待0批次，0人次。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zh-CN" w:eastAsia="zh-CN"/>
        </w:rPr>
        <w:t>与</w:t>
      </w:r>
      <w:r>
        <w:rPr>
          <w:rFonts w:hint="eastAsia" w:ascii="Times New Roman" w:hAnsi="Times New Roman" w:eastAsia="仿宋_GB2312" w:cs="Times New Roman"/>
          <w:color w:val="auto"/>
          <w:spacing w:val="0"/>
          <w:sz w:val="32"/>
          <w:szCs w:val="32"/>
          <w:highlight w:val="none"/>
          <w:lang w:val="en-US" w:eastAsia="zh-CN"/>
        </w:rPr>
        <w:t>全年</w:t>
      </w:r>
      <w:r>
        <w:rPr>
          <w:rFonts w:hint="eastAsia" w:ascii="Times New Roman" w:hAnsi="Times New Roman" w:eastAsia="仿宋_GB2312" w:cs="Times New Roman"/>
          <w:color w:val="auto"/>
          <w:spacing w:val="0"/>
          <w:sz w:val="32"/>
          <w:szCs w:val="32"/>
          <w:highlight w:val="none"/>
          <w:lang w:val="zh-CN" w:eastAsia="zh-CN"/>
        </w:rPr>
        <w:t>预算相比</w:t>
      </w:r>
      <w:r>
        <w:rPr>
          <w:rFonts w:hint="eastAsia" w:ascii="Times New Roman" w:hAnsi="Times New Roman" w:eastAsia="仿宋_GB2312" w:cs="Times New Roman"/>
          <w:color w:val="auto"/>
          <w:spacing w:val="0"/>
          <w:sz w:val="32"/>
          <w:szCs w:val="32"/>
          <w:highlight w:val="none"/>
          <w:lang w:val="en-US" w:eastAsia="zh-CN"/>
        </w:rPr>
        <w:t>,</w:t>
      </w:r>
      <w:r>
        <w:rPr>
          <w:rFonts w:hint="eastAsia" w:ascii="Times New Roman" w:hAnsi="Times New Roman" w:eastAsia="仿宋_GB2312" w:cs="Times New Roman"/>
          <w:color w:val="auto"/>
          <w:spacing w:val="0"/>
          <w:sz w:val="32"/>
          <w:szCs w:val="32"/>
          <w:highlight w:val="none"/>
          <w:lang w:val="zh-CN" w:eastAsia="zh-CN"/>
        </w:rPr>
        <w:t>财政拨款“三公”经费支出</w:t>
      </w:r>
      <w:r>
        <w:rPr>
          <w:rFonts w:hint="eastAsia" w:ascii="Times New Roman" w:hAnsi="Times New Roman" w:eastAsia="仿宋_GB2312" w:cs="Times New Roman"/>
          <w:color w:val="auto"/>
          <w:spacing w:val="0"/>
          <w:sz w:val="32"/>
          <w:szCs w:val="32"/>
          <w:highlight w:val="none"/>
          <w:lang w:val="en-US" w:eastAsia="zh-CN"/>
        </w:rPr>
        <w:t>全年</w:t>
      </w:r>
      <w:r>
        <w:rPr>
          <w:rFonts w:hint="eastAsia" w:ascii="Times New Roman" w:hAnsi="Times New Roman" w:eastAsia="仿宋_GB2312" w:cs="Times New Roman"/>
          <w:color w:val="auto"/>
          <w:spacing w:val="0"/>
          <w:sz w:val="32"/>
          <w:szCs w:val="32"/>
          <w:highlight w:val="none"/>
          <w:lang w:val="zh-CN" w:eastAsia="zh-CN"/>
        </w:rPr>
        <w:t>预算数9.28万元，决算数9.28万元，预决算差异率0.00%，主要原因是：</w:t>
      </w:r>
      <w:r>
        <w:rPr>
          <w:rFonts w:hint="eastAsia" w:ascii="Times New Roman" w:hAnsi="Times New Roman" w:eastAsia="仿宋_GB2312" w:cs="Times New Roman"/>
          <w:color w:val="auto"/>
          <w:spacing w:val="0"/>
          <w:sz w:val="32"/>
          <w:szCs w:val="32"/>
          <w:highlight w:val="none"/>
          <w:lang w:val="en-US" w:eastAsia="zh-CN"/>
        </w:rPr>
        <w:t>预决算无差异</w:t>
      </w:r>
      <w:r>
        <w:rPr>
          <w:rFonts w:hint="eastAsia" w:ascii="Times New Roman" w:hAnsi="Times New Roman" w:eastAsia="仿宋_GB2312" w:cs="Times New Roman"/>
          <w:color w:val="auto"/>
          <w:spacing w:val="0"/>
          <w:sz w:val="32"/>
          <w:szCs w:val="32"/>
          <w:highlight w:val="none"/>
          <w:lang w:val="zh-CN" w:eastAsia="zh-CN"/>
        </w:rPr>
        <w:t>。其中：因公出国（境）费</w:t>
      </w:r>
      <w:r>
        <w:rPr>
          <w:rFonts w:hint="eastAsia" w:ascii="Times New Roman" w:hAnsi="Times New Roman" w:eastAsia="仿宋_GB2312" w:cs="Times New Roman"/>
          <w:color w:val="auto"/>
          <w:spacing w:val="0"/>
          <w:sz w:val="32"/>
          <w:szCs w:val="32"/>
          <w:highlight w:val="none"/>
          <w:lang w:val="en-US" w:eastAsia="zh-CN"/>
        </w:rPr>
        <w:t>全年预算数</w:t>
      </w:r>
      <w:r>
        <w:rPr>
          <w:rFonts w:hint="eastAsia" w:ascii="Times New Roman" w:hAnsi="Times New Roman" w:eastAsia="仿宋_GB2312" w:cs="Times New Roman"/>
          <w:color w:val="auto"/>
          <w:spacing w:val="0"/>
          <w:sz w:val="32"/>
          <w:szCs w:val="32"/>
          <w:highlight w:val="none"/>
          <w:lang w:val="zh-CN" w:eastAsia="zh-CN"/>
        </w:rPr>
        <w:t>0.00万元，决算数0.00万元，预决算差异率0.00%，主要原因是：</w:t>
      </w:r>
      <w:r>
        <w:rPr>
          <w:rFonts w:hint="eastAsia" w:ascii="Times New Roman" w:hAnsi="Times New Roman" w:eastAsia="仿宋_GB2312" w:cs="Times New Roman"/>
          <w:color w:val="auto"/>
          <w:spacing w:val="0"/>
          <w:sz w:val="32"/>
          <w:szCs w:val="32"/>
          <w:highlight w:val="none"/>
          <w:lang w:val="en-US" w:eastAsia="zh-CN"/>
        </w:rPr>
        <w:t>本年无因公出国（境）费支出</w:t>
      </w:r>
      <w:r>
        <w:rPr>
          <w:rFonts w:hint="eastAsia" w:ascii="Times New Roman" w:hAnsi="Times New Roman" w:eastAsia="仿宋_GB2312" w:cs="Times New Roman"/>
          <w:color w:val="auto"/>
          <w:spacing w:val="0"/>
          <w:sz w:val="32"/>
          <w:szCs w:val="32"/>
          <w:highlight w:val="none"/>
          <w:lang w:val="zh-CN" w:eastAsia="zh-CN"/>
        </w:rPr>
        <w:t>；公务用车购置费</w:t>
      </w:r>
      <w:r>
        <w:rPr>
          <w:rFonts w:hint="eastAsia" w:ascii="Times New Roman" w:hAnsi="Times New Roman" w:eastAsia="仿宋_GB2312" w:cs="Times New Roman"/>
          <w:color w:val="auto"/>
          <w:spacing w:val="0"/>
          <w:sz w:val="32"/>
          <w:szCs w:val="32"/>
          <w:highlight w:val="none"/>
          <w:lang w:val="en-US" w:eastAsia="zh-CN"/>
        </w:rPr>
        <w:t>全年</w:t>
      </w:r>
      <w:r>
        <w:rPr>
          <w:rFonts w:hint="eastAsia" w:ascii="Times New Roman" w:hAnsi="Times New Roman" w:eastAsia="仿宋_GB2312" w:cs="Times New Roman"/>
          <w:color w:val="auto"/>
          <w:spacing w:val="0"/>
          <w:sz w:val="32"/>
          <w:szCs w:val="32"/>
          <w:highlight w:val="none"/>
          <w:lang w:val="zh-CN" w:eastAsia="zh-CN"/>
        </w:rPr>
        <w:t>预算数0.00万元，决算数0.00万元，预决算差异率0.00%，主要原因是：</w:t>
      </w:r>
      <w:r>
        <w:rPr>
          <w:rFonts w:hint="eastAsia" w:ascii="Times New Roman" w:hAnsi="Times New Roman" w:eastAsia="仿宋_GB2312" w:cs="Times New Roman"/>
          <w:color w:val="auto"/>
          <w:spacing w:val="0"/>
          <w:sz w:val="32"/>
          <w:szCs w:val="32"/>
          <w:highlight w:val="none"/>
          <w:lang w:val="en-US" w:eastAsia="zh-CN"/>
        </w:rPr>
        <w:t>本年未购买车辆</w:t>
      </w:r>
      <w:r>
        <w:rPr>
          <w:rFonts w:hint="eastAsia" w:ascii="Times New Roman" w:hAnsi="Times New Roman" w:eastAsia="仿宋_GB2312" w:cs="Times New Roman"/>
          <w:color w:val="auto"/>
          <w:spacing w:val="0"/>
          <w:sz w:val="32"/>
          <w:szCs w:val="32"/>
          <w:highlight w:val="none"/>
          <w:lang w:val="zh-CN" w:eastAsia="zh-CN"/>
        </w:rPr>
        <w:t>；公务用车运行费</w:t>
      </w:r>
      <w:r>
        <w:rPr>
          <w:rFonts w:hint="eastAsia" w:ascii="Times New Roman" w:hAnsi="Times New Roman" w:eastAsia="仿宋_GB2312" w:cs="Times New Roman"/>
          <w:color w:val="auto"/>
          <w:spacing w:val="0"/>
          <w:sz w:val="32"/>
          <w:szCs w:val="32"/>
          <w:highlight w:val="none"/>
          <w:lang w:val="en-US" w:eastAsia="zh-CN"/>
        </w:rPr>
        <w:t>全年</w:t>
      </w:r>
      <w:r>
        <w:rPr>
          <w:rFonts w:hint="eastAsia" w:ascii="Times New Roman" w:hAnsi="Times New Roman" w:eastAsia="仿宋_GB2312" w:cs="Times New Roman"/>
          <w:color w:val="auto"/>
          <w:spacing w:val="0"/>
          <w:sz w:val="32"/>
          <w:szCs w:val="32"/>
          <w:highlight w:val="none"/>
          <w:lang w:val="zh-CN" w:eastAsia="zh-CN"/>
        </w:rPr>
        <w:t>预算数9.28万元，决算数9.28万元，预决算差异率0.00%，主要原因是：</w:t>
      </w:r>
      <w:r>
        <w:rPr>
          <w:rFonts w:hint="eastAsia" w:ascii="Times New Roman" w:hAnsi="Times New Roman" w:eastAsia="仿宋_GB2312" w:cs="Times New Roman"/>
          <w:color w:val="auto"/>
          <w:spacing w:val="0"/>
          <w:sz w:val="32"/>
          <w:szCs w:val="32"/>
          <w:highlight w:val="none"/>
          <w:lang w:val="en-US" w:eastAsia="zh-CN"/>
        </w:rPr>
        <w:t>预决算无差异</w:t>
      </w:r>
      <w:r>
        <w:rPr>
          <w:rFonts w:hint="eastAsia" w:ascii="Times New Roman" w:hAnsi="Times New Roman" w:eastAsia="仿宋_GB2312" w:cs="Times New Roman"/>
          <w:color w:val="auto"/>
          <w:spacing w:val="0"/>
          <w:sz w:val="32"/>
          <w:szCs w:val="32"/>
          <w:highlight w:val="none"/>
          <w:lang w:val="zh-CN" w:eastAsia="zh-CN"/>
        </w:rPr>
        <w:t>；公务接待费</w:t>
      </w:r>
      <w:r>
        <w:rPr>
          <w:rFonts w:hint="eastAsia" w:ascii="Times New Roman" w:hAnsi="Times New Roman" w:eastAsia="仿宋_GB2312" w:cs="Times New Roman"/>
          <w:color w:val="auto"/>
          <w:spacing w:val="0"/>
          <w:sz w:val="32"/>
          <w:szCs w:val="32"/>
          <w:highlight w:val="none"/>
          <w:lang w:val="en-US" w:eastAsia="zh-CN"/>
        </w:rPr>
        <w:t>全年</w:t>
      </w:r>
      <w:r>
        <w:rPr>
          <w:rFonts w:hint="eastAsia" w:ascii="Times New Roman" w:hAnsi="Times New Roman" w:eastAsia="仿宋_GB2312" w:cs="Times New Roman"/>
          <w:color w:val="auto"/>
          <w:spacing w:val="0"/>
          <w:sz w:val="32"/>
          <w:szCs w:val="32"/>
          <w:highlight w:val="none"/>
          <w:lang w:val="zh-CN" w:eastAsia="zh-CN"/>
        </w:rPr>
        <w:t>预算数0.00万元，决算数0.00万元，预决算差异率0.00%，主要原因是：</w:t>
      </w:r>
      <w:r>
        <w:rPr>
          <w:rFonts w:hint="eastAsia" w:ascii="Times New Roman" w:hAnsi="Times New Roman" w:eastAsia="仿宋_GB2312" w:cs="Times New Roman"/>
          <w:color w:val="auto"/>
          <w:spacing w:val="0"/>
          <w:sz w:val="32"/>
          <w:szCs w:val="32"/>
          <w:highlight w:val="none"/>
          <w:lang w:val="en-US" w:eastAsia="zh-CN"/>
        </w:rPr>
        <w:t>本年我单位无公务接待支出。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val="en-US" w:eastAsia="zh-CN"/>
        </w:rPr>
      </w:pPr>
      <w:bookmarkStart w:id="20" w:name="_Toc7927"/>
      <w:bookmarkStart w:id="21" w:name="_Toc5810"/>
      <w:bookmarkStart w:id="22" w:name="OLE_LINK4"/>
      <w:r>
        <w:rPr>
          <w:rFonts w:hint="eastAsia" w:ascii="Times New Roman" w:hAnsi="Times New Roman" w:eastAsia="黑体" w:cs="Times New Roman"/>
          <w:bCs/>
          <w:color w:val="auto"/>
          <w:kern w:val="0"/>
          <w:sz w:val="32"/>
          <w:szCs w:val="32"/>
          <w:highlight w:val="none"/>
          <w:lang w:val="en-US" w:eastAsia="zh-CN"/>
        </w:rPr>
        <w:t>八、政府性基金预算财政拨款收入支出决算情况说明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2023年度政府性基金预算</w:t>
      </w:r>
      <w:r>
        <w:rPr>
          <w:rFonts w:hint="eastAsia" w:ascii="Times New Roman" w:hAnsi="Times New Roman" w:eastAsia="仿宋_GB2312" w:cs="Times New Roman"/>
          <w:color w:val="auto"/>
          <w:spacing w:val="0"/>
          <w:sz w:val="32"/>
          <w:szCs w:val="32"/>
          <w:highlight w:val="none"/>
          <w:lang w:val="en-US" w:eastAsia="zh-CN"/>
        </w:rPr>
        <w:t>财政拨款</w:t>
      </w:r>
      <w:r>
        <w:rPr>
          <w:rFonts w:hint="eastAsia" w:ascii="Times New Roman" w:hAnsi="Times New Roman" w:eastAsia="仿宋_GB2312" w:cs="Times New Roman"/>
          <w:color w:val="auto"/>
          <w:spacing w:val="0"/>
          <w:sz w:val="32"/>
          <w:szCs w:val="32"/>
          <w:highlight w:val="none"/>
          <w:lang w:val="zh-CN" w:eastAsia="zh-CN"/>
        </w:rPr>
        <w:t>收入</w:t>
      </w:r>
      <w:r>
        <w:rPr>
          <w:rFonts w:hint="eastAsia" w:ascii="Times New Roman" w:hAnsi="Times New Roman" w:eastAsia="仿宋_GB2312" w:cs="Times New Roman"/>
          <w:color w:val="auto"/>
          <w:spacing w:val="0"/>
          <w:sz w:val="32"/>
          <w:szCs w:val="32"/>
          <w:highlight w:val="none"/>
          <w:lang w:val="en-US" w:eastAsia="zh-CN"/>
        </w:rPr>
        <w:t>总计5.97</w:t>
      </w:r>
      <w:r>
        <w:rPr>
          <w:rFonts w:hint="eastAsia" w:ascii="Times New Roman" w:hAnsi="Times New Roman" w:eastAsia="仿宋_GB2312" w:cs="Times New Roman"/>
          <w:color w:val="auto"/>
          <w:spacing w:val="0"/>
          <w:sz w:val="32"/>
          <w:szCs w:val="32"/>
          <w:highlight w:val="none"/>
          <w:lang w:val="zh-CN" w:eastAsia="zh-CN"/>
        </w:rPr>
        <w:t>万元，</w:t>
      </w:r>
      <w:r>
        <w:rPr>
          <w:rFonts w:hint="eastAsia" w:ascii="Times New Roman" w:hAnsi="Times New Roman" w:eastAsia="仿宋_GB2312" w:cs="Times New Roman"/>
          <w:color w:val="auto"/>
          <w:spacing w:val="0"/>
          <w:sz w:val="32"/>
          <w:szCs w:val="32"/>
          <w:highlight w:val="none"/>
          <w:lang w:val="en-US" w:eastAsia="zh-CN"/>
        </w:rPr>
        <w:t>其中：年初结转和结余0.00</w:t>
      </w:r>
      <w:r>
        <w:rPr>
          <w:rFonts w:hint="eastAsia" w:ascii="Times New Roman" w:hAnsi="Times New Roman" w:eastAsia="仿宋_GB2312" w:cs="Times New Roman"/>
          <w:color w:val="auto"/>
          <w:spacing w:val="0"/>
          <w:sz w:val="32"/>
          <w:szCs w:val="32"/>
          <w:highlight w:val="none"/>
          <w:lang w:val="zh-CN" w:eastAsia="zh-CN"/>
        </w:rPr>
        <w:t>万元，</w:t>
      </w:r>
      <w:r>
        <w:rPr>
          <w:rFonts w:hint="eastAsia" w:ascii="Times New Roman" w:hAnsi="Times New Roman" w:eastAsia="仿宋_GB2312" w:cs="Times New Roman"/>
          <w:color w:val="auto"/>
          <w:spacing w:val="0"/>
          <w:sz w:val="32"/>
          <w:szCs w:val="32"/>
          <w:highlight w:val="none"/>
          <w:lang w:val="en-US" w:eastAsia="zh-CN"/>
        </w:rPr>
        <w:t>本年收入5.97</w:t>
      </w:r>
      <w:r>
        <w:rPr>
          <w:rFonts w:hint="eastAsia" w:ascii="Times New Roman" w:hAnsi="Times New Roman" w:eastAsia="仿宋_GB2312" w:cs="Times New Roman"/>
          <w:color w:val="auto"/>
          <w:spacing w:val="0"/>
          <w:sz w:val="32"/>
          <w:szCs w:val="32"/>
          <w:highlight w:val="none"/>
          <w:lang w:val="zh-CN" w:eastAsia="zh-CN"/>
        </w:rPr>
        <w:t>万元。政府性基金预算财政拨款支出</w:t>
      </w:r>
      <w:r>
        <w:rPr>
          <w:rFonts w:hint="eastAsia" w:ascii="Times New Roman" w:hAnsi="Times New Roman" w:eastAsia="仿宋_GB2312" w:cs="Times New Roman"/>
          <w:color w:val="auto"/>
          <w:spacing w:val="0"/>
          <w:sz w:val="32"/>
          <w:szCs w:val="32"/>
          <w:highlight w:val="none"/>
          <w:lang w:val="en-US" w:eastAsia="zh-CN"/>
        </w:rPr>
        <w:t>总计5.97</w:t>
      </w:r>
      <w:r>
        <w:rPr>
          <w:rFonts w:hint="eastAsia" w:ascii="Times New Roman" w:hAnsi="Times New Roman" w:eastAsia="仿宋_GB2312" w:cs="Times New Roman"/>
          <w:color w:val="auto"/>
          <w:spacing w:val="0"/>
          <w:sz w:val="32"/>
          <w:szCs w:val="32"/>
          <w:highlight w:val="none"/>
          <w:lang w:val="zh-CN" w:eastAsia="zh-CN"/>
        </w:rPr>
        <w:t>万元，</w:t>
      </w:r>
      <w:r>
        <w:rPr>
          <w:rFonts w:hint="eastAsia" w:ascii="Times New Roman" w:hAnsi="Times New Roman" w:eastAsia="仿宋_GB2312" w:cs="Times New Roman"/>
          <w:color w:val="auto"/>
          <w:spacing w:val="0"/>
          <w:sz w:val="32"/>
          <w:szCs w:val="32"/>
          <w:highlight w:val="none"/>
          <w:lang w:val="en-US" w:eastAsia="zh-CN"/>
        </w:rPr>
        <w:t>其中：年末结转和结余0.00</w:t>
      </w:r>
      <w:r>
        <w:rPr>
          <w:rFonts w:hint="eastAsia" w:ascii="Times New Roman" w:hAnsi="Times New Roman" w:eastAsia="仿宋_GB2312" w:cs="Times New Roman"/>
          <w:color w:val="auto"/>
          <w:spacing w:val="0"/>
          <w:sz w:val="32"/>
          <w:szCs w:val="32"/>
          <w:highlight w:val="none"/>
          <w:lang w:val="zh-CN" w:eastAsia="zh-CN"/>
        </w:rPr>
        <w:t>万元，</w:t>
      </w:r>
      <w:r>
        <w:rPr>
          <w:rFonts w:hint="eastAsia" w:ascii="Times New Roman" w:hAnsi="Times New Roman" w:eastAsia="仿宋_GB2312" w:cs="Times New Roman"/>
          <w:color w:val="auto"/>
          <w:spacing w:val="0"/>
          <w:sz w:val="32"/>
          <w:szCs w:val="32"/>
          <w:highlight w:val="none"/>
          <w:lang w:val="en-US" w:eastAsia="zh-CN"/>
        </w:rPr>
        <w:t>本年支出5.97</w:t>
      </w:r>
      <w:r>
        <w:rPr>
          <w:rFonts w:hint="eastAsia" w:ascii="Times New Roman" w:hAnsi="Times New Roman" w:eastAsia="仿宋_GB2312" w:cs="Times New Roman"/>
          <w:color w:val="auto"/>
          <w:spacing w:val="0"/>
          <w:sz w:val="32"/>
          <w:szCs w:val="32"/>
          <w:highlight w:val="none"/>
          <w:lang w:val="zh-CN"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bookmarkStart w:id="23" w:name="OLE_LINK3"/>
      <w:r>
        <w:rPr>
          <w:rFonts w:hint="eastAsia" w:ascii="Times New Roman" w:hAnsi="Times New Roman" w:eastAsia="仿宋_GB2312" w:cs="Times New Roman"/>
          <w:color w:val="auto"/>
          <w:spacing w:val="0"/>
          <w:sz w:val="32"/>
          <w:szCs w:val="32"/>
          <w:highlight w:val="none"/>
          <w:lang w:val="zh-CN" w:eastAsia="zh-CN"/>
        </w:rPr>
        <w:t>政府性基金预算财政拨款</w:t>
      </w:r>
      <w:r>
        <w:rPr>
          <w:rFonts w:hint="eastAsia" w:ascii="Times New Roman" w:hAnsi="Times New Roman" w:eastAsia="仿宋_GB2312" w:cs="Times New Roman"/>
          <w:color w:val="auto"/>
          <w:spacing w:val="0"/>
          <w:sz w:val="32"/>
          <w:szCs w:val="32"/>
          <w:highlight w:val="none"/>
          <w:lang w:val="en-US" w:eastAsia="zh-CN"/>
        </w:rPr>
        <w:t>收入支出</w:t>
      </w:r>
      <w:r>
        <w:rPr>
          <w:rFonts w:hint="eastAsia" w:ascii="Times New Roman" w:hAnsi="Times New Roman" w:eastAsia="仿宋_GB2312" w:cs="Times New Roman"/>
          <w:color w:val="auto"/>
          <w:spacing w:val="0"/>
          <w:sz w:val="32"/>
          <w:szCs w:val="32"/>
          <w:highlight w:val="none"/>
          <w:lang w:val="zh-CN" w:eastAsia="zh-CN"/>
        </w:rPr>
        <w:t>与上年相比，减少487.03万元，下降98.79%，主要原因是：上年度偿还以前年度“三化”设备款</w:t>
      </w:r>
      <w:r>
        <w:rPr>
          <w:rFonts w:hint="eastAsia" w:ascii="Times New Roman" w:hAnsi="Times New Roman" w:eastAsia="仿宋_GB2312" w:cs="Times New Roman"/>
          <w:color w:val="auto"/>
          <w:spacing w:val="0"/>
          <w:sz w:val="32"/>
          <w:szCs w:val="32"/>
          <w:highlight w:val="none"/>
          <w:lang w:val="en-US" w:eastAsia="zh-CN"/>
        </w:rPr>
        <w:t>493万，本年度无此项目</w:t>
      </w:r>
      <w:r>
        <w:rPr>
          <w:rFonts w:hint="eastAsia" w:eastAsia="仿宋_GB2312" w:cs="Times New Roman"/>
          <w:color w:val="auto"/>
          <w:spacing w:val="0"/>
          <w:sz w:val="32"/>
          <w:szCs w:val="32"/>
          <w:highlight w:val="none"/>
          <w:lang w:val="en-US" w:eastAsia="zh-CN"/>
        </w:rPr>
        <w:t>。</w:t>
      </w:r>
      <w:bookmarkEnd w:id="23"/>
      <w:r>
        <w:rPr>
          <w:rFonts w:hint="eastAsia" w:ascii="Times New Roman" w:hAnsi="Times New Roman" w:eastAsia="仿宋_GB2312" w:cs="Times New Roman"/>
          <w:color w:val="auto"/>
          <w:spacing w:val="0"/>
          <w:sz w:val="32"/>
          <w:szCs w:val="32"/>
          <w:highlight w:val="none"/>
          <w:lang w:val="zh-CN" w:eastAsia="zh-CN"/>
        </w:rPr>
        <w:t>与年初预算相比</w:t>
      </w:r>
      <w:r>
        <w:rPr>
          <w:rFonts w:hint="eastAsia" w:ascii="Times New Roman" w:hAnsi="Times New Roman" w:eastAsia="仿宋_GB2312" w:cs="Times New Roman"/>
          <w:color w:val="auto"/>
          <w:spacing w:val="0"/>
          <w:sz w:val="32"/>
          <w:szCs w:val="32"/>
          <w:highlight w:val="none"/>
          <w:lang w:val="en-US" w:eastAsia="zh-CN"/>
        </w:rPr>
        <w:t>,</w:t>
      </w:r>
      <w:r>
        <w:rPr>
          <w:rFonts w:hint="eastAsia" w:ascii="Times New Roman" w:hAnsi="Times New Roman" w:eastAsia="仿宋_GB2312" w:cs="Times New Roman"/>
          <w:color w:val="auto"/>
          <w:spacing w:val="0"/>
          <w:sz w:val="32"/>
          <w:szCs w:val="32"/>
          <w:highlight w:val="none"/>
          <w:lang w:val="zh-CN" w:eastAsia="zh-CN"/>
        </w:rPr>
        <w:t>年初预算数</w:t>
      </w:r>
      <w:bookmarkStart w:id="52" w:name="_GoBack"/>
      <w:r>
        <w:rPr>
          <w:rFonts w:hint="eastAsia" w:ascii="Times New Roman" w:hAnsi="Times New Roman" w:eastAsia="仿宋_GB2312" w:cs="Times New Roman"/>
          <w:color w:val="auto"/>
          <w:spacing w:val="0"/>
          <w:sz w:val="32"/>
          <w:szCs w:val="32"/>
          <w:highlight w:val="none"/>
          <w:lang w:val="en-US" w:eastAsia="zh-CN"/>
        </w:rPr>
        <w:t>0.00</w:t>
      </w:r>
      <w:r>
        <w:rPr>
          <w:rFonts w:hint="eastAsia" w:ascii="Times New Roman" w:hAnsi="Times New Roman" w:eastAsia="仿宋_GB2312" w:cs="Times New Roman"/>
          <w:color w:val="auto"/>
          <w:spacing w:val="0"/>
          <w:sz w:val="32"/>
          <w:szCs w:val="32"/>
          <w:highlight w:val="none"/>
          <w:lang w:val="zh-CN" w:eastAsia="zh-CN"/>
        </w:rPr>
        <w:t>万元，决算数</w:t>
      </w:r>
      <w:r>
        <w:rPr>
          <w:rFonts w:hint="eastAsia" w:ascii="Times New Roman" w:hAnsi="Times New Roman" w:eastAsia="仿宋_GB2312" w:cs="Times New Roman"/>
          <w:color w:val="auto"/>
          <w:spacing w:val="0"/>
          <w:sz w:val="32"/>
          <w:szCs w:val="32"/>
          <w:highlight w:val="none"/>
          <w:lang w:val="en-US" w:eastAsia="zh-CN"/>
        </w:rPr>
        <w:t>5.97</w:t>
      </w:r>
      <w:r>
        <w:rPr>
          <w:rFonts w:hint="eastAsia" w:ascii="Times New Roman" w:hAnsi="Times New Roman" w:eastAsia="仿宋_GB2312" w:cs="Times New Roman"/>
          <w:color w:val="auto"/>
          <w:spacing w:val="0"/>
          <w:sz w:val="32"/>
          <w:szCs w:val="32"/>
          <w:highlight w:val="none"/>
          <w:lang w:val="zh-CN" w:eastAsia="zh-CN"/>
        </w:rPr>
        <w:t>万元，预决算差异率</w:t>
      </w:r>
      <w:r>
        <w:rPr>
          <w:rFonts w:hint="eastAsia" w:ascii="Times New Roman" w:hAnsi="Times New Roman" w:eastAsia="仿宋_GB2312" w:cs="Times New Roman"/>
          <w:color w:val="auto"/>
          <w:spacing w:val="0"/>
          <w:sz w:val="32"/>
          <w:szCs w:val="32"/>
          <w:highlight w:val="none"/>
          <w:lang w:val="en-US" w:eastAsia="zh-CN"/>
        </w:rPr>
        <w:t>100</w:t>
      </w:r>
      <w:r>
        <w:rPr>
          <w:rFonts w:hint="eastAsia" w:ascii="Times New Roman" w:hAnsi="Times New Roman" w:eastAsia="仿宋_GB2312" w:cs="Times New Roman"/>
          <w:color w:val="auto"/>
          <w:spacing w:val="0"/>
          <w:sz w:val="32"/>
          <w:szCs w:val="32"/>
          <w:highlight w:val="none"/>
          <w:lang w:val="zh-CN" w:eastAsia="zh-CN"/>
        </w:rPr>
        <w:t>%，主要原因是：</w:t>
      </w:r>
      <w:bookmarkEnd w:id="52"/>
      <w:r>
        <w:rPr>
          <w:rFonts w:hint="eastAsia" w:ascii="Times New Roman" w:hAnsi="Times New Roman" w:eastAsia="仿宋_GB2312" w:cs="Times New Roman"/>
          <w:color w:val="auto"/>
          <w:spacing w:val="0"/>
          <w:sz w:val="32"/>
          <w:szCs w:val="32"/>
          <w:highlight w:val="none"/>
          <w:lang w:val="zh-CN" w:eastAsia="zh-CN"/>
        </w:rPr>
        <w:t>年初预算时未安排此项预算，后期科目调剂增加此项预算。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zh-CN" w:eastAsia="zh-CN"/>
        </w:rPr>
        <w:t>政府性基金预算财政拨款支出5.97万元。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1.城乡社区支出（类）国有土地使用权出让收入安排的支出（款）其他国有土地使用权出让收入安排的支出（项）:支出决算数为5.97</w:t>
      </w:r>
      <w:r>
        <w:rPr>
          <w:rFonts w:hint="eastAsia" w:ascii="Times New Roman" w:hAnsi="Times New Roman" w:eastAsia="仿宋_GB2312" w:cs="Times New Roman"/>
          <w:color w:val="auto"/>
          <w:spacing w:val="0"/>
          <w:sz w:val="32"/>
          <w:szCs w:val="32"/>
          <w:highlight w:val="none"/>
          <w:lang w:val="en-US" w:eastAsia="zh-CN"/>
        </w:rPr>
        <w:t>万元</w:t>
      </w:r>
      <w:r>
        <w:rPr>
          <w:rFonts w:hint="eastAsia" w:ascii="Times New Roman" w:hAnsi="Times New Roman" w:eastAsia="仿宋_GB2312" w:cs="Times New Roman"/>
          <w:color w:val="auto"/>
          <w:spacing w:val="0"/>
          <w:sz w:val="32"/>
          <w:szCs w:val="32"/>
          <w:highlight w:val="none"/>
          <w:lang w:val="zh-CN" w:eastAsia="zh-CN"/>
        </w:rPr>
        <w:t>，比上年决算</w:t>
      </w:r>
      <w:r>
        <w:rPr>
          <w:rFonts w:hint="eastAsia" w:ascii="Times New Roman" w:hAnsi="Times New Roman" w:eastAsia="仿宋_GB2312" w:cs="Times New Roman"/>
          <w:color w:val="auto"/>
          <w:spacing w:val="0"/>
          <w:sz w:val="32"/>
          <w:szCs w:val="32"/>
          <w:highlight w:val="none"/>
          <w:lang w:val="en-US" w:eastAsia="zh-CN"/>
        </w:rPr>
        <w:t>减少</w:t>
      </w:r>
      <w:r>
        <w:rPr>
          <w:rFonts w:hint="eastAsia" w:ascii="Times New Roman" w:hAnsi="Times New Roman" w:eastAsia="仿宋_GB2312" w:cs="Times New Roman"/>
          <w:color w:val="auto"/>
          <w:spacing w:val="0"/>
          <w:sz w:val="32"/>
          <w:szCs w:val="32"/>
          <w:highlight w:val="none"/>
          <w:lang w:val="zh-CN" w:eastAsia="zh-CN"/>
        </w:rPr>
        <w:t>487.03</w:t>
      </w:r>
      <w:r>
        <w:rPr>
          <w:rFonts w:hint="eastAsia" w:ascii="Times New Roman" w:hAnsi="Times New Roman" w:eastAsia="仿宋_GB2312" w:cs="Times New Roman"/>
          <w:color w:val="auto"/>
          <w:spacing w:val="0"/>
          <w:sz w:val="32"/>
          <w:szCs w:val="32"/>
          <w:highlight w:val="none"/>
          <w:lang w:val="en-US" w:eastAsia="zh-CN"/>
        </w:rPr>
        <w:t>万元</w:t>
      </w:r>
      <w:r>
        <w:rPr>
          <w:rFonts w:hint="eastAsia" w:ascii="Times New Roman" w:hAnsi="Times New Roman" w:eastAsia="仿宋_GB2312" w:cs="Times New Roman"/>
          <w:color w:val="auto"/>
          <w:spacing w:val="0"/>
          <w:sz w:val="32"/>
          <w:szCs w:val="32"/>
          <w:highlight w:val="none"/>
          <w:lang w:val="zh-CN" w:eastAsia="zh-CN"/>
        </w:rPr>
        <w:t>，</w:t>
      </w:r>
      <w:r>
        <w:rPr>
          <w:rFonts w:hint="eastAsia" w:ascii="Times New Roman" w:hAnsi="Times New Roman" w:eastAsia="仿宋_GB2312" w:cs="Times New Roman"/>
          <w:color w:val="auto"/>
          <w:spacing w:val="0"/>
          <w:sz w:val="32"/>
          <w:szCs w:val="32"/>
          <w:highlight w:val="none"/>
          <w:lang w:val="en-US" w:eastAsia="zh-CN"/>
        </w:rPr>
        <w:t>下降</w:t>
      </w:r>
      <w:r>
        <w:rPr>
          <w:rFonts w:hint="eastAsia" w:ascii="Times New Roman" w:hAnsi="Times New Roman" w:eastAsia="仿宋_GB2312" w:cs="Times New Roman"/>
          <w:color w:val="auto"/>
          <w:spacing w:val="0"/>
          <w:sz w:val="32"/>
          <w:szCs w:val="32"/>
          <w:highlight w:val="none"/>
          <w:lang w:val="zh-CN" w:eastAsia="zh-CN"/>
        </w:rPr>
        <w:t>98.79%，主要原因是：上年度偿还以前年度“三化”设备款</w:t>
      </w:r>
      <w:r>
        <w:rPr>
          <w:rFonts w:hint="eastAsia" w:ascii="Times New Roman" w:hAnsi="Times New Roman" w:eastAsia="仿宋_GB2312" w:cs="Times New Roman"/>
          <w:color w:val="auto"/>
          <w:spacing w:val="0"/>
          <w:sz w:val="32"/>
          <w:szCs w:val="32"/>
          <w:highlight w:val="none"/>
          <w:lang w:val="en-US" w:eastAsia="zh-CN"/>
        </w:rPr>
        <w:t>493万，本年度无此项目</w:t>
      </w:r>
      <w:r>
        <w:rPr>
          <w:rFonts w:hint="eastAsia" w:ascii="Times New Roman" w:hAnsi="Times New Roman" w:eastAsia="仿宋_GB2312" w:cs="Times New Roman"/>
          <w:color w:val="auto"/>
          <w:spacing w:val="0"/>
          <w:sz w:val="32"/>
          <w:szCs w:val="32"/>
          <w:highlight w:val="none"/>
          <w:lang w:val="zh-CN" w:eastAsia="zh-CN"/>
        </w:rPr>
        <w:t>。</w:t>
      </w:r>
    </w:p>
    <w:bookmarkEnd w:id="22"/>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val="en-US" w:eastAsia="zh-CN"/>
        </w:rPr>
      </w:pPr>
      <w:r>
        <w:rPr>
          <w:rFonts w:hint="eastAsia" w:ascii="Times New Roman" w:hAnsi="Times New Roman" w:eastAsia="黑体" w:cs="Times New Roman"/>
          <w:bCs/>
          <w:color w:val="auto"/>
          <w:kern w:val="0"/>
          <w:sz w:val="32"/>
          <w:szCs w:val="32"/>
          <w:highlight w:val="none"/>
          <w:lang w:val="en-US" w:eastAsia="zh-CN"/>
        </w:rPr>
        <w:t>九、国有资本经营预算财政拨款收入支出决算情况说明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2023年度国有资本经营预算</w:t>
      </w:r>
      <w:r>
        <w:rPr>
          <w:rFonts w:hint="eastAsia" w:ascii="Times New Roman" w:hAnsi="Times New Roman" w:eastAsia="仿宋_GB2312" w:cs="Times New Roman"/>
          <w:color w:val="auto"/>
          <w:spacing w:val="0"/>
          <w:sz w:val="32"/>
          <w:szCs w:val="32"/>
          <w:highlight w:val="none"/>
          <w:lang w:val="en-US" w:eastAsia="zh-CN"/>
        </w:rPr>
        <w:t>财政拨款</w:t>
      </w:r>
      <w:r>
        <w:rPr>
          <w:rFonts w:hint="eastAsia" w:ascii="Times New Roman" w:hAnsi="Times New Roman" w:eastAsia="仿宋_GB2312" w:cs="Times New Roman"/>
          <w:color w:val="auto"/>
          <w:spacing w:val="0"/>
          <w:sz w:val="32"/>
          <w:szCs w:val="32"/>
          <w:highlight w:val="none"/>
          <w:lang w:val="zh-CN" w:eastAsia="zh-CN"/>
        </w:rPr>
        <w:t>收入</w:t>
      </w:r>
      <w:r>
        <w:rPr>
          <w:rFonts w:hint="eastAsia" w:ascii="Times New Roman" w:hAnsi="Times New Roman" w:eastAsia="仿宋_GB2312" w:cs="Times New Roman"/>
          <w:color w:val="auto"/>
          <w:spacing w:val="0"/>
          <w:sz w:val="32"/>
          <w:szCs w:val="32"/>
          <w:highlight w:val="none"/>
          <w:lang w:val="en-US" w:eastAsia="zh-CN"/>
        </w:rPr>
        <w:t>总计21.45</w:t>
      </w:r>
      <w:r>
        <w:rPr>
          <w:rFonts w:hint="eastAsia" w:ascii="Times New Roman" w:hAnsi="Times New Roman" w:eastAsia="仿宋_GB2312" w:cs="Times New Roman"/>
          <w:color w:val="auto"/>
          <w:spacing w:val="0"/>
          <w:sz w:val="32"/>
          <w:szCs w:val="32"/>
          <w:highlight w:val="none"/>
          <w:lang w:val="zh-CN" w:eastAsia="zh-CN"/>
        </w:rPr>
        <w:t>万元，</w:t>
      </w:r>
      <w:r>
        <w:rPr>
          <w:rFonts w:hint="eastAsia" w:ascii="Times New Roman" w:hAnsi="Times New Roman" w:eastAsia="仿宋_GB2312" w:cs="Times New Roman"/>
          <w:color w:val="auto"/>
          <w:spacing w:val="0"/>
          <w:sz w:val="32"/>
          <w:szCs w:val="32"/>
          <w:highlight w:val="none"/>
          <w:lang w:val="en-US" w:eastAsia="zh-CN"/>
        </w:rPr>
        <w:t>其中：年初结转和结余</w:t>
      </w:r>
      <w:r>
        <w:rPr>
          <w:rFonts w:hint="eastAsia" w:ascii="Times New Roman" w:hAnsi="Times New Roman" w:eastAsia="仿宋_GB2312" w:cs="Times New Roman"/>
          <w:color w:val="auto"/>
          <w:spacing w:val="0"/>
          <w:sz w:val="32"/>
          <w:szCs w:val="32"/>
          <w:highlight w:val="none"/>
          <w:lang w:val="zh-CN" w:eastAsia="zh-CN"/>
        </w:rPr>
        <w:t>0.00万元，</w:t>
      </w:r>
      <w:r>
        <w:rPr>
          <w:rFonts w:hint="eastAsia" w:ascii="Times New Roman" w:hAnsi="Times New Roman" w:eastAsia="仿宋_GB2312" w:cs="Times New Roman"/>
          <w:color w:val="auto"/>
          <w:spacing w:val="0"/>
          <w:sz w:val="32"/>
          <w:szCs w:val="32"/>
          <w:highlight w:val="none"/>
          <w:lang w:val="en-US" w:eastAsia="zh-CN"/>
        </w:rPr>
        <w:t>本年收入</w:t>
      </w:r>
      <w:r>
        <w:rPr>
          <w:rFonts w:hint="eastAsia" w:ascii="Times New Roman" w:hAnsi="Times New Roman" w:eastAsia="仿宋_GB2312" w:cs="Times New Roman"/>
          <w:color w:val="auto"/>
          <w:spacing w:val="0"/>
          <w:sz w:val="32"/>
          <w:szCs w:val="32"/>
          <w:highlight w:val="none"/>
          <w:lang w:val="zh-CN" w:eastAsia="zh-CN"/>
        </w:rPr>
        <w:t>21.45万元。国有资本经营预算财政拨款支出</w:t>
      </w:r>
      <w:r>
        <w:rPr>
          <w:rFonts w:hint="eastAsia" w:ascii="Times New Roman" w:hAnsi="Times New Roman" w:eastAsia="仿宋_GB2312" w:cs="Times New Roman"/>
          <w:color w:val="auto"/>
          <w:spacing w:val="0"/>
          <w:sz w:val="32"/>
          <w:szCs w:val="32"/>
          <w:highlight w:val="none"/>
          <w:lang w:val="en-US" w:eastAsia="zh-CN"/>
        </w:rPr>
        <w:t>总计21.45</w:t>
      </w:r>
      <w:r>
        <w:rPr>
          <w:rFonts w:hint="eastAsia" w:ascii="Times New Roman" w:hAnsi="Times New Roman" w:eastAsia="仿宋_GB2312" w:cs="Times New Roman"/>
          <w:color w:val="auto"/>
          <w:spacing w:val="0"/>
          <w:sz w:val="32"/>
          <w:szCs w:val="32"/>
          <w:highlight w:val="none"/>
          <w:lang w:val="zh-CN" w:eastAsia="zh-CN"/>
        </w:rPr>
        <w:t>万元，</w:t>
      </w:r>
      <w:r>
        <w:rPr>
          <w:rFonts w:hint="eastAsia" w:ascii="Times New Roman" w:hAnsi="Times New Roman" w:eastAsia="仿宋_GB2312" w:cs="Times New Roman"/>
          <w:color w:val="auto"/>
          <w:spacing w:val="0"/>
          <w:sz w:val="32"/>
          <w:szCs w:val="32"/>
          <w:highlight w:val="none"/>
          <w:lang w:val="en-US" w:eastAsia="zh-CN"/>
        </w:rPr>
        <w:t>其中：年末结转和结余</w:t>
      </w:r>
      <w:r>
        <w:rPr>
          <w:rFonts w:hint="eastAsia" w:ascii="Times New Roman" w:hAnsi="Times New Roman" w:eastAsia="仿宋_GB2312" w:cs="Times New Roman"/>
          <w:color w:val="auto"/>
          <w:spacing w:val="0"/>
          <w:sz w:val="32"/>
          <w:szCs w:val="32"/>
          <w:highlight w:val="none"/>
          <w:lang w:val="zh-CN" w:eastAsia="zh-CN"/>
        </w:rPr>
        <w:t>0.00万元，</w:t>
      </w:r>
      <w:r>
        <w:rPr>
          <w:rFonts w:hint="eastAsia" w:ascii="Times New Roman" w:hAnsi="Times New Roman" w:eastAsia="仿宋_GB2312" w:cs="Times New Roman"/>
          <w:color w:val="auto"/>
          <w:spacing w:val="0"/>
          <w:sz w:val="32"/>
          <w:szCs w:val="32"/>
          <w:highlight w:val="none"/>
          <w:lang w:val="en-US" w:eastAsia="zh-CN"/>
        </w:rPr>
        <w:t>本年支出</w:t>
      </w:r>
      <w:r>
        <w:rPr>
          <w:rFonts w:hint="eastAsia" w:ascii="Times New Roman" w:hAnsi="Times New Roman" w:eastAsia="仿宋_GB2312" w:cs="Times New Roman"/>
          <w:color w:val="auto"/>
          <w:spacing w:val="0"/>
          <w:sz w:val="32"/>
          <w:szCs w:val="32"/>
          <w:highlight w:val="none"/>
          <w:lang w:val="zh-CN" w:eastAsia="zh-CN"/>
        </w:rPr>
        <w:t>21.45万元。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国有资本经营预算财政拨款</w:t>
      </w:r>
      <w:r>
        <w:rPr>
          <w:rFonts w:hint="eastAsia" w:ascii="Times New Roman" w:hAnsi="Times New Roman" w:eastAsia="仿宋_GB2312" w:cs="Times New Roman"/>
          <w:color w:val="auto"/>
          <w:spacing w:val="0"/>
          <w:sz w:val="32"/>
          <w:szCs w:val="32"/>
          <w:highlight w:val="none"/>
          <w:lang w:val="en-US" w:eastAsia="zh-CN"/>
        </w:rPr>
        <w:t>收入支出</w:t>
      </w:r>
      <w:r>
        <w:rPr>
          <w:rFonts w:hint="eastAsia" w:ascii="Times New Roman" w:hAnsi="Times New Roman" w:eastAsia="仿宋_GB2312" w:cs="Times New Roman"/>
          <w:color w:val="auto"/>
          <w:spacing w:val="0"/>
          <w:sz w:val="32"/>
          <w:szCs w:val="32"/>
          <w:highlight w:val="none"/>
          <w:lang w:val="zh-CN" w:eastAsia="zh-CN"/>
        </w:rPr>
        <w:t>与上年相比，增加21.45万元，增长100.00%，主要原因是：</w:t>
      </w:r>
      <w:r>
        <w:rPr>
          <w:rFonts w:hint="eastAsia" w:ascii="Times New Roman" w:hAnsi="Times New Roman" w:eastAsia="仿宋_GB2312" w:cs="Times New Roman"/>
          <w:color w:val="auto"/>
          <w:spacing w:val="0"/>
          <w:sz w:val="32"/>
          <w:szCs w:val="32"/>
          <w:highlight w:val="none"/>
          <w:lang w:val="en-US" w:eastAsia="zh-CN"/>
        </w:rPr>
        <w:t>上年度未安排此科目预算</w:t>
      </w:r>
      <w:r>
        <w:rPr>
          <w:rFonts w:hint="eastAsia" w:ascii="Times New Roman" w:hAnsi="Times New Roman" w:eastAsia="仿宋_GB2312" w:cs="Times New Roman"/>
          <w:color w:val="auto"/>
          <w:spacing w:val="0"/>
          <w:sz w:val="32"/>
          <w:szCs w:val="32"/>
          <w:highlight w:val="none"/>
          <w:lang w:val="zh-CN" w:eastAsia="zh-CN"/>
        </w:rPr>
        <w:t>。与年初预算相比，年初预算数</w:t>
      </w:r>
      <w:r>
        <w:rPr>
          <w:rFonts w:hint="eastAsia" w:ascii="Times New Roman" w:hAnsi="Times New Roman" w:eastAsia="仿宋_GB2312" w:cs="Times New Roman"/>
          <w:color w:val="auto"/>
          <w:spacing w:val="0"/>
          <w:sz w:val="32"/>
          <w:szCs w:val="32"/>
          <w:highlight w:val="none"/>
          <w:lang w:val="en-US" w:eastAsia="zh-CN"/>
        </w:rPr>
        <w:t>29.85</w:t>
      </w:r>
      <w:r>
        <w:rPr>
          <w:rFonts w:hint="eastAsia" w:ascii="Times New Roman" w:hAnsi="Times New Roman" w:eastAsia="仿宋_GB2312" w:cs="Times New Roman"/>
          <w:color w:val="auto"/>
          <w:spacing w:val="0"/>
          <w:sz w:val="32"/>
          <w:szCs w:val="32"/>
          <w:highlight w:val="none"/>
          <w:lang w:val="zh-CN" w:eastAsia="zh-CN"/>
        </w:rPr>
        <w:t>万元，决算数</w:t>
      </w:r>
      <w:r>
        <w:rPr>
          <w:rFonts w:hint="eastAsia" w:ascii="Times New Roman" w:hAnsi="Times New Roman" w:eastAsia="仿宋_GB2312" w:cs="Times New Roman"/>
          <w:color w:val="auto"/>
          <w:spacing w:val="0"/>
          <w:sz w:val="32"/>
          <w:szCs w:val="32"/>
          <w:highlight w:val="none"/>
          <w:lang w:val="en-US" w:eastAsia="zh-CN"/>
        </w:rPr>
        <w:t>21.45</w:t>
      </w:r>
      <w:r>
        <w:rPr>
          <w:rFonts w:hint="eastAsia" w:ascii="Times New Roman" w:hAnsi="Times New Roman" w:eastAsia="仿宋_GB2312" w:cs="Times New Roman"/>
          <w:color w:val="auto"/>
          <w:spacing w:val="0"/>
          <w:sz w:val="32"/>
          <w:szCs w:val="32"/>
          <w:highlight w:val="none"/>
          <w:lang w:val="zh-CN" w:eastAsia="zh-CN"/>
        </w:rPr>
        <w:t>万元，预决算差异率-28.13%，主要原因是：厉行节约,严格控制预算支出。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国有资本经营预算财政拨款支出</w:t>
      </w:r>
      <w:r>
        <w:rPr>
          <w:rFonts w:hint="eastAsia" w:ascii="Times New Roman" w:hAnsi="Times New Roman" w:eastAsia="仿宋_GB2312" w:cs="Times New Roman"/>
          <w:color w:val="auto"/>
          <w:spacing w:val="0"/>
          <w:sz w:val="32"/>
          <w:szCs w:val="32"/>
          <w:highlight w:val="none"/>
          <w:lang w:val="en-US" w:eastAsia="zh-CN"/>
        </w:rPr>
        <w:t>21.45</w:t>
      </w:r>
      <w:r>
        <w:rPr>
          <w:rFonts w:hint="eastAsia" w:ascii="Times New Roman" w:hAnsi="Times New Roman" w:eastAsia="仿宋_GB2312" w:cs="Times New Roman"/>
          <w:color w:val="auto"/>
          <w:spacing w:val="0"/>
          <w:sz w:val="32"/>
          <w:szCs w:val="32"/>
          <w:highlight w:val="none"/>
          <w:lang w:val="zh-CN"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1.国有资本经营预算支出（类）解决历史遗留问题及改革成本支出（款）国有企业退休人员社会化管理补助支出（项）:支出决算数为21.45</w:t>
      </w:r>
      <w:r>
        <w:rPr>
          <w:rFonts w:hint="eastAsia" w:ascii="Times New Roman" w:hAnsi="Times New Roman" w:eastAsia="仿宋_GB2312" w:cs="Times New Roman"/>
          <w:color w:val="auto"/>
          <w:spacing w:val="0"/>
          <w:sz w:val="32"/>
          <w:szCs w:val="32"/>
          <w:highlight w:val="none"/>
          <w:lang w:val="en-US" w:eastAsia="zh-CN"/>
        </w:rPr>
        <w:t>万元</w:t>
      </w:r>
      <w:r>
        <w:rPr>
          <w:rFonts w:hint="eastAsia" w:ascii="Times New Roman" w:hAnsi="Times New Roman" w:eastAsia="仿宋_GB2312" w:cs="Times New Roman"/>
          <w:color w:val="auto"/>
          <w:spacing w:val="0"/>
          <w:sz w:val="32"/>
          <w:szCs w:val="32"/>
          <w:highlight w:val="none"/>
          <w:lang w:val="zh-CN" w:eastAsia="zh-CN"/>
        </w:rPr>
        <w:t>，比上年决算</w:t>
      </w:r>
      <w:r>
        <w:rPr>
          <w:rFonts w:hint="eastAsia" w:ascii="Times New Roman" w:hAnsi="Times New Roman" w:eastAsia="仿宋_GB2312" w:cs="Times New Roman"/>
          <w:color w:val="auto"/>
          <w:spacing w:val="0"/>
          <w:sz w:val="32"/>
          <w:szCs w:val="32"/>
          <w:highlight w:val="none"/>
          <w:lang w:val="en-US" w:eastAsia="zh-CN"/>
        </w:rPr>
        <w:t>增加</w:t>
      </w:r>
      <w:r>
        <w:rPr>
          <w:rFonts w:hint="eastAsia" w:ascii="Times New Roman" w:hAnsi="Times New Roman" w:eastAsia="仿宋_GB2312" w:cs="Times New Roman"/>
          <w:color w:val="auto"/>
          <w:spacing w:val="0"/>
          <w:sz w:val="32"/>
          <w:szCs w:val="32"/>
          <w:highlight w:val="none"/>
          <w:lang w:val="zh-CN" w:eastAsia="zh-CN"/>
        </w:rPr>
        <w:t>21.45</w:t>
      </w:r>
      <w:r>
        <w:rPr>
          <w:rFonts w:hint="eastAsia" w:ascii="Times New Roman" w:hAnsi="Times New Roman" w:eastAsia="仿宋_GB2312" w:cs="Times New Roman"/>
          <w:color w:val="auto"/>
          <w:spacing w:val="0"/>
          <w:sz w:val="32"/>
          <w:szCs w:val="32"/>
          <w:highlight w:val="none"/>
          <w:lang w:val="en-US" w:eastAsia="zh-CN"/>
        </w:rPr>
        <w:t>万元</w:t>
      </w:r>
      <w:r>
        <w:rPr>
          <w:rFonts w:hint="eastAsia" w:ascii="Times New Roman" w:hAnsi="Times New Roman" w:eastAsia="仿宋_GB2312" w:cs="Times New Roman"/>
          <w:color w:val="auto"/>
          <w:spacing w:val="0"/>
          <w:sz w:val="32"/>
          <w:szCs w:val="32"/>
          <w:highlight w:val="none"/>
          <w:lang w:val="zh-CN" w:eastAsia="zh-CN"/>
        </w:rPr>
        <w:t>，</w:t>
      </w:r>
      <w:r>
        <w:rPr>
          <w:rFonts w:hint="eastAsia" w:ascii="Times New Roman" w:hAnsi="Times New Roman" w:eastAsia="仿宋_GB2312" w:cs="Times New Roman"/>
          <w:color w:val="auto"/>
          <w:spacing w:val="0"/>
          <w:sz w:val="32"/>
          <w:szCs w:val="32"/>
          <w:highlight w:val="none"/>
          <w:lang w:val="en-US" w:eastAsia="zh-CN"/>
        </w:rPr>
        <w:t>增长</w:t>
      </w:r>
      <w:r>
        <w:rPr>
          <w:rFonts w:hint="eastAsia" w:ascii="Times New Roman" w:hAnsi="Times New Roman" w:eastAsia="仿宋_GB2312" w:cs="Times New Roman"/>
          <w:color w:val="auto"/>
          <w:spacing w:val="0"/>
          <w:sz w:val="32"/>
          <w:szCs w:val="32"/>
          <w:highlight w:val="none"/>
          <w:lang w:val="zh-CN" w:eastAsia="zh-CN"/>
        </w:rPr>
        <w:t>100%，主要原因是：</w:t>
      </w:r>
      <w:r>
        <w:rPr>
          <w:rFonts w:hint="eastAsia" w:ascii="Times New Roman" w:hAnsi="Times New Roman" w:eastAsia="仿宋_GB2312" w:cs="Times New Roman"/>
          <w:color w:val="auto"/>
          <w:spacing w:val="0"/>
          <w:sz w:val="32"/>
          <w:szCs w:val="32"/>
          <w:highlight w:val="none"/>
          <w:lang w:val="en-US" w:eastAsia="zh-CN"/>
        </w:rPr>
        <w:t>上年度未安排此科目预算</w:t>
      </w:r>
      <w:r>
        <w:rPr>
          <w:rFonts w:hint="eastAsia"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eastAsia="zh-CN"/>
        </w:rPr>
      </w:pPr>
      <w:bookmarkStart w:id="24" w:name="_Toc1235"/>
      <w:bookmarkStart w:id="25" w:name="_Toc7314"/>
      <w:r>
        <w:rPr>
          <w:rFonts w:hint="eastAsia" w:ascii="Times New Roman" w:hAnsi="Times New Roman" w:eastAsia="黑体" w:cs="Times New Roman"/>
          <w:bCs/>
          <w:color w:val="auto"/>
          <w:kern w:val="0"/>
          <w:sz w:val="32"/>
          <w:szCs w:val="32"/>
          <w:highlight w:val="none"/>
          <w:lang w:eastAsia="zh-CN"/>
        </w:rPr>
        <w:t>十、其他重要事项的情况说明</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2"/>
          <w:highlight w:val="none"/>
          <w:lang w:eastAsia="zh-CN"/>
        </w:rPr>
      </w:pPr>
      <w:bookmarkStart w:id="26" w:name="_Toc13105"/>
      <w:bookmarkStart w:id="27" w:name="_Toc14519"/>
      <w:r>
        <w:rPr>
          <w:rFonts w:hint="eastAsia" w:ascii="Times New Roman" w:hAnsi="Times New Roman" w:eastAsia="黑体" w:cs="Times New Roman"/>
          <w:color w:val="auto"/>
          <w:sz w:val="32"/>
          <w:szCs w:val="32"/>
          <w:highlight w:val="none"/>
          <w:lang w:eastAsia="zh-CN"/>
        </w:rPr>
        <w:t>（一）机关运行经费支出情况</w:t>
      </w:r>
      <w:bookmarkEnd w:id="26"/>
      <w:bookmarkEnd w:id="27"/>
    </w:p>
    <w:p>
      <w:pPr>
        <w:keepNext w:val="0"/>
        <w:keepLines w:val="0"/>
        <w:pageBreakBefore w:val="0"/>
        <w:kinsoku/>
        <w:wordWrap/>
        <w:overflowPunct/>
        <w:topLinePunct w:val="0"/>
        <w:bidi w:val="0"/>
        <w:adjustRightInd/>
        <w:snapToGrid/>
        <w:spacing w:line="560" w:lineRule="atLeast"/>
        <w:ind w:firstLine="640" w:firstLineChars="200"/>
        <w:textAlignment w:val="auto"/>
        <w:rPr>
          <w:rFonts w:hint="eastAsia" w:ascii="Times New Roman" w:hAnsi="Times New Roman" w:eastAsia="仿宋_GB2312" w:cs="Times New Roman"/>
          <w:color w:val="auto"/>
          <w:sz w:val="32"/>
          <w:szCs w:val="32"/>
          <w:highlight w:val="none"/>
          <w:lang w:val="zh-CN" w:eastAsia="zh-CN"/>
        </w:rPr>
      </w:pPr>
      <w:bookmarkStart w:id="28" w:name="_Toc26704"/>
      <w:bookmarkStart w:id="29" w:name="_Toc227"/>
      <w:r>
        <w:rPr>
          <w:rFonts w:hint="eastAsia" w:ascii="Times New Roman" w:hAnsi="Times New Roman" w:eastAsia="仿宋_GB2312" w:cs="Times New Roman"/>
          <w:color w:val="auto"/>
          <w:spacing w:val="0"/>
          <w:sz w:val="32"/>
          <w:szCs w:val="32"/>
          <w:highlight w:val="none"/>
          <w:lang w:val="zh-CN" w:eastAsia="zh-CN"/>
        </w:rPr>
        <w:t>2023年度</w:t>
      </w:r>
      <w:r>
        <w:rPr>
          <w:rFonts w:hint="eastAsia" w:ascii="Times New Roman" w:hAnsi="Times New Roman" w:eastAsia="仿宋_GB2312" w:cs="Times New Roman"/>
          <w:color w:val="auto"/>
          <w:spacing w:val="0"/>
          <w:sz w:val="32"/>
          <w:szCs w:val="32"/>
          <w:highlight w:val="none"/>
          <w:lang w:val="en-US" w:eastAsia="zh-CN"/>
        </w:rPr>
        <w:t>库尔勒市萨依巴格街道办事处（行政单位和参照公务员法管理事业单位）机关运行经费支出48.93万元，比上年减少129.91万元，下降72.64%，主要原因是：2022年因下半年疫情原因，支付疫情物资费用及疫情期间食堂费用，保障运转支出增加，本年无疫情物资费用及疫情期间食堂费，经费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zh-CN" w:eastAsia="zh-CN"/>
        </w:rPr>
        <w:t>2023年度政府采购支出总额97.91万元，其中：政府采购货物支出4.69万元、政府采购工程支出88.50万元、政府采购服务支出4.72万元。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zh-CN" w:eastAsia="zh-CN"/>
        </w:rPr>
        <w:t>授予中小企业合同金额97.91万元，占政府采购支出总额的100.00</w:t>
      </w:r>
      <w:r>
        <w:rPr>
          <w:rFonts w:hint="default" w:ascii="Times New Roman" w:hAnsi="Times New Roman" w:eastAsia="仿宋_GB2312" w:cs="Times New Roman"/>
          <w:color w:val="auto"/>
          <w:spacing w:val="0"/>
          <w:sz w:val="32"/>
          <w:szCs w:val="32"/>
          <w:highlight w:val="none"/>
          <w:lang w:val="zh-CN" w:eastAsia="zh-CN"/>
        </w:rPr>
        <w:t>%</w:t>
      </w:r>
      <w:r>
        <w:rPr>
          <w:rFonts w:hint="eastAsia" w:ascii="Times New Roman" w:hAnsi="Times New Roman" w:eastAsia="仿宋_GB2312" w:cs="Times New Roman"/>
          <w:color w:val="auto"/>
          <w:spacing w:val="0"/>
          <w:sz w:val="32"/>
          <w:szCs w:val="32"/>
          <w:highlight w:val="none"/>
          <w:lang w:val="zh-CN" w:eastAsia="zh-CN"/>
        </w:rPr>
        <w:t>，其中：授予小微企业合同金额97.91万元，占政府采购支出总额的100.00</w:t>
      </w:r>
      <w:r>
        <w:rPr>
          <w:rFonts w:hint="default" w:ascii="Times New Roman" w:hAnsi="Times New Roman" w:eastAsia="仿宋_GB2312" w:cs="Times New Roman"/>
          <w:color w:val="auto"/>
          <w:spacing w:val="0"/>
          <w:sz w:val="32"/>
          <w:szCs w:val="32"/>
          <w:highlight w:val="none"/>
          <w:lang w:val="zh-CN" w:eastAsia="zh-CN"/>
        </w:rPr>
        <w:t>%</w:t>
      </w:r>
      <w:r>
        <w:rPr>
          <w:rFonts w:hint="eastAsia" w:ascii="Times New Roman" w:hAnsi="Times New Roman" w:eastAsia="仿宋_GB2312" w:cs="Times New Roman"/>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30" w:name="_Toc8391"/>
      <w:bookmarkStart w:id="31" w:name="_Toc4591"/>
      <w:r>
        <w:rPr>
          <w:rFonts w:hint="eastAsia" w:ascii="Times New Roman" w:hAnsi="Times New Roman" w:eastAsia="黑体" w:cs="Times New Roman"/>
          <w:color w:val="auto"/>
          <w:sz w:val="32"/>
          <w:szCs w:val="30"/>
          <w:highlight w:val="none"/>
          <w:lang w:val="zh-CN" w:eastAsia="zh-CN"/>
        </w:rPr>
        <w:t>（三）国有资产占用情况说明</w:t>
      </w:r>
      <w:bookmarkEnd w:id="30"/>
      <w:bookmarkEnd w:id="31"/>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pacing w:val="0"/>
          <w:sz w:val="32"/>
          <w:szCs w:val="32"/>
          <w:highlight w:val="none"/>
          <w:lang w:val="en-US" w:eastAsia="zh-CN"/>
        </w:rPr>
        <w:t>截至2023</w:t>
      </w:r>
      <w:r>
        <w:rPr>
          <w:rFonts w:hint="eastAsia" w:ascii="Times New Roman" w:hAnsi="Times New Roman" w:eastAsia="仿宋_GB2312" w:cs="Times New Roman"/>
          <w:color w:val="auto"/>
          <w:spacing w:val="0"/>
          <w:sz w:val="32"/>
          <w:szCs w:val="32"/>
          <w:highlight w:val="none"/>
          <w:lang w:val="zh-CN" w:eastAsia="zh-CN"/>
        </w:rPr>
        <w:t>年</w:t>
      </w:r>
      <w:r>
        <w:rPr>
          <w:rFonts w:hint="eastAsia" w:ascii="Times New Roman" w:hAnsi="Times New Roman" w:eastAsia="仿宋_GB2312" w:cs="Times New Roman"/>
          <w:color w:val="auto"/>
          <w:spacing w:val="0"/>
          <w:sz w:val="32"/>
          <w:szCs w:val="32"/>
          <w:highlight w:val="none"/>
          <w:lang w:val="en-US" w:eastAsia="zh-CN"/>
        </w:rPr>
        <w:t>12月31日</w:t>
      </w:r>
      <w:r>
        <w:rPr>
          <w:rFonts w:hint="eastAsia" w:ascii="Times New Roman" w:hAnsi="Times New Roman" w:eastAsia="仿宋_GB2312" w:cs="Times New Roman"/>
          <w:color w:val="auto"/>
          <w:spacing w:val="0"/>
          <w:sz w:val="32"/>
          <w:szCs w:val="32"/>
          <w:highlight w:val="none"/>
          <w:lang w:val="zh-CN" w:eastAsia="zh-CN"/>
        </w:rPr>
        <w:t>，</w:t>
      </w:r>
      <w:r>
        <w:rPr>
          <w:rFonts w:hint="eastAsia" w:ascii="Times New Roman" w:hAnsi="Times New Roman" w:eastAsia="仿宋_GB2312" w:cs="Times New Roman"/>
          <w:color w:val="auto"/>
          <w:spacing w:val="0"/>
          <w:sz w:val="32"/>
          <w:szCs w:val="32"/>
          <w:highlight w:val="none"/>
          <w:lang w:val="en-US" w:eastAsia="zh-CN"/>
        </w:rPr>
        <w:t>固定资产原值</w:t>
      </w:r>
      <w:r>
        <w:rPr>
          <w:rFonts w:hint="eastAsia" w:ascii="Times New Roman" w:hAnsi="Times New Roman" w:eastAsia="仿宋_GB2312" w:cs="Times New Roman"/>
          <w:color w:val="auto"/>
          <w:spacing w:val="0"/>
          <w:sz w:val="32"/>
          <w:szCs w:val="32"/>
          <w:highlight w:val="none"/>
          <w:lang w:val="zh-CN" w:eastAsia="zh-CN"/>
        </w:rPr>
        <w:t>1,229.70</w:t>
      </w:r>
      <w:r>
        <w:rPr>
          <w:rFonts w:hint="eastAsia" w:ascii="Times New Roman" w:hAnsi="Times New Roman" w:eastAsia="仿宋_GB2312" w:cs="Times New Roman"/>
          <w:color w:val="auto"/>
          <w:spacing w:val="0"/>
          <w:sz w:val="32"/>
          <w:szCs w:val="32"/>
          <w:highlight w:val="none"/>
          <w:lang w:val="en-US" w:eastAsia="zh-CN"/>
        </w:rPr>
        <w:t>万元，房</w:t>
      </w:r>
      <w:r>
        <w:rPr>
          <w:rFonts w:hint="eastAsia" w:ascii="Times New Roman" w:hAnsi="Times New Roman" w:eastAsia="仿宋_GB2312" w:cs="Times New Roman"/>
          <w:color w:val="auto"/>
          <w:spacing w:val="0"/>
          <w:sz w:val="32"/>
          <w:szCs w:val="32"/>
          <w:highlight w:val="none"/>
          <w:lang w:val="zh-CN" w:eastAsia="zh-CN"/>
        </w:rPr>
        <w:t>屋627.0平方米，价值34.36万元。车辆11辆，价值94.82万元，其中：副部（省）级及以上领导用车0辆、主要</w:t>
      </w:r>
      <w:r>
        <w:rPr>
          <w:rFonts w:hint="eastAsia" w:ascii="Times New Roman" w:hAnsi="Times New Roman" w:eastAsia="仿宋_GB2312" w:cs="Times New Roman"/>
          <w:color w:val="auto"/>
          <w:spacing w:val="0"/>
          <w:sz w:val="32"/>
          <w:szCs w:val="32"/>
          <w:highlight w:val="none"/>
          <w:lang w:val="en-US" w:eastAsia="zh-CN"/>
        </w:rPr>
        <w:t>负责人</w:t>
      </w:r>
      <w:r>
        <w:rPr>
          <w:rFonts w:hint="eastAsia" w:ascii="Times New Roman" w:hAnsi="Times New Roman" w:eastAsia="仿宋_GB2312" w:cs="Times New Roman"/>
          <w:color w:val="auto"/>
          <w:spacing w:val="0"/>
          <w:sz w:val="32"/>
          <w:szCs w:val="32"/>
          <w:highlight w:val="none"/>
          <w:lang w:val="zh-CN" w:eastAsia="zh-CN"/>
        </w:rPr>
        <w:t>用车0辆、机要通信用车0辆、应急保障用车0辆、执法执勤用车4辆、特种专业技术用车0辆、离退休干部</w:t>
      </w:r>
      <w:r>
        <w:rPr>
          <w:rFonts w:hint="eastAsia" w:ascii="Times New Roman" w:hAnsi="Times New Roman" w:eastAsia="仿宋_GB2312" w:cs="Times New Roman"/>
          <w:color w:val="auto"/>
          <w:spacing w:val="0"/>
          <w:sz w:val="32"/>
          <w:szCs w:val="32"/>
          <w:highlight w:val="none"/>
          <w:lang w:val="en-US" w:eastAsia="zh-CN"/>
        </w:rPr>
        <w:t>服务</w:t>
      </w:r>
      <w:r>
        <w:rPr>
          <w:rFonts w:hint="eastAsia" w:ascii="Times New Roman" w:hAnsi="Times New Roman" w:eastAsia="仿宋_GB2312" w:cs="Times New Roman"/>
          <w:color w:val="auto"/>
          <w:spacing w:val="0"/>
          <w:sz w:val="32"/>
          <w:szCs w:val="32"/>
          <w:highlight w:val="none"/>
          <w:lang w:val="zh-CN" w:eastAsia="zh-CN"/>
        </w:rPr>
        <w:t>用车0辆、其他用车7辆，其他用车主要是：</w:t>
      </w:r>
      <w:r>
        <w:rPr>
          <w:rFonts w:hint="eastAsia" w:ascii="Times New Roman" w:hAnsi="Times New Roman" w:eastAsia="仿宋_GB2312" w:cs="Times New Roman"/>
          <w:color w:val="auto"/>
          <w:spacing w:val="0"/>
          <w:sz w:val="32"/>
          <w:szCs w:val="32"/>
          <w:highlight w:val="none"/>
          <w:lang w:val="en-US" w:eastAsia="zh-CN"/>
        </w:rPr>
        <w:t>警车2辆、面包车3辆，皮卡车1辆，轿车1辆</w:t>
      </w:r>
      <w:r>
        <w:rPr>
          <w:rFonts w:hint="eastAsia" w:ascii="Times New Roman" w:hAnsi="Times New Roman" w:eastAsia="仿宋_GB2312" w:cs="Times New Roman"/>
          <w:color w:val="auto"/>
          <w:spacing w:val="0"/>
          <w:sz w:val="32"/>
          <w:szCs w:val="32"/>
          <w:highlight w:val="none"/>
          <w:lang w:val="zh-CN" w:eastAsia="zh-CN"/>
        </w:rPr>
        <w:t>；单价100万元（含）以上设备（不含车辆）0</w:t>
      </w:r>
      <w:r>
        <w:rPr>
          <w:rFonts w:hint="eastAsia" w:ascii="Times New Roman" w:hAnsi="Times New Roman" w:eastAsia="仿宋_GB2312" w:cs="Times New Roman"/>
          <w:color w:val="auto"/>
          <w:spacing w:val="0"/>
          <w:sz w:val="32"/>
          <w:szCs w:val="32"/>
          <w:highlight w:val="none"/>
          <w:lang w:val="en-US" w:eastAsia="zh-CN"/>
        </w:rPr>
        <w:t>台（</w:t>
      </w:r>
      <w:r>
        <w:rPr>
          <w:rFonts w:hint="eastAsia" w:ascii="Times New Roman" w:hAnsi="Times New Roman" w:eastAsia="仿宋_GB2312" w:cs="Times New Roman"/>
          <w:color w:val="auto"/>
          <w:spacing w:val="0"/>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eastAsia="zh-CN"/>
        </w:rPr>
      </w:pPr>
      <w:bookmarkStart w:id="32" w:name="_Toc435"/>
      <w:bookmarkStart w:id="33" w:name="_Toc11283"/>
      <w:r>
        <w:rPr>
          <w:rFonts w:hint="eastAsia" w:ascii="Times New Roman" w:hAnsi="Times New Roman" w:eastAsia="黑体" w:cs="Times New Roman"/>
          <w:bCs/>
          <w:color w:val="auto"/>
          <w:kern w:val="0"/>
          <w:sz w:val="32"/>
          <w:szCs w:val="32"/>
          <w:highlight w:val="none"/>
          <w:lang w:eastAsia="zh-CN"/>
        </w:rPr>
        <w:t>十</w:t>
      </w:r>
      <w:r>
        <w:rPr>
          <w:rFonts w:hint="eastAsia" w:ascii="Times New Roman" w:hAnsi="Times New Roman" w:eastAsia="黑体" w:cs="Times New Roman"/>
          <w:bCs/>
          <w:color w:val="auto"/>
          <w:kern w:val="0"/>
          <w:sz w:val="32"/>
          <w:szCs w:val="32"/>
          <w:highlight w:val="none"/>
          <w:lang w:val="en-US" w:eastAsia="zh-CN"/>
        </w:rPr>
        <w:t>一</w:t>
      </w:r>
      <w:r>
        <w:rPr>
          <w:rFonts w:hint="eastAsia" w:ascii="Times New Roman" w:hAnsi="Times New Roman" w:eastAsia="黑体" w:cs="Times New Roman"/>
          <w:bCs/>
          <w:color w:val="auto"/>
          <w:kern w:val="0"/>
          <w:sz w:val="32"/>
          <w:szCs w:val="32"/>
          <w:highlight w:val="none"/>
          <w:lang w:eastAsia="zh-CN"/>
        </w:rPr>
        <w:t>、预算绩效的情况说明</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pacing w:val="0"/>
          <w:sz w:val="32"/>
          <w:szCs w:val="32"/>
          <w:highlight w:val="none"/>
          <w:lang w:val="en-US" w:eastAsia="zh-CN"/>
        </w:rPr>
      </w:pPr>
      <w:r>
        <w:rPr>
          <w:rFonts w:hint="eastAsia" w:ascii="Times New Roman" w:hAnsi="Times New Roman" w:eastAsia="仿宋_GB2312" w:cs="Times New Roman"/>
          <w:color w:val="auto"/>
          <w:spacing w:val="0"/>
          <w:sz w:val="32"/>
          <w:szCs w:val="32"/>
          <w:highlight w:val="none"/>
          <w:lang w:val="zh-CN" w:eastAsia="zh-CN"/>
        </w:rPr>
        <w:t>根据预算绩效管理要求，我</w:t>
      </w:r>
      <w:r>
        <w:rPr>
          <w:rFonts w:hint="eastAsia" w:ascii="Times New Roman" w:hAnsi="Times New Roman" w:eastAsia="仿宋_GB2312" w:cs="Times New Roman"/>
          <w:color w:val="auto"/>
          <w:spacing w:val="0"/>
          <w:sz w:val="32"/>
          <w:szCs w:val="32"/>
          <w:highlight w:val="none"/>
          <w:lang w:val="en-US" w:eastAsia="zh-CN"/>
        </w:rPr>
        <w:t>部门</w:t>
      </w:r>
      <w:r>
        <w:rPr>
          <w:rFonts w:hint="eastAsia" w:ascii="Times New Roman" w:hAnsi="Times New Roman" w:eastAsia="仿宋_GB2312" w:cs="Times New Roman"/>
          <w:color w:val="auto"/>
          <w:spacing w:val="0"/>
          <w:sz w:val="32"/>
          <w:szCs w:val="32"/>
          <w:highlight w:val="none"/>
          <w:lang w:val="zh-CN" w:eastAsia="zh-CN"/>
        </w:rPr>
        <w:t>2023年度预算绩效管理整体</w:t>
      </w:r>
      <w:r>
        <w:rPr>
          <w:rFonts w:hint="eastAsia" w:ascii="Times New Roman" w:hAnsi="Times New Roman" w:eastAsia="仿宋_GB2312" w:cs="Times New Roman"/>
          <w:color w:val="auto"/>
          <w:spacing w:val="0"/>
          <w:sz w:val="32"/>
          <w:szCs w:val="32"/>
          <w:highlight w:val="none"/>
          <w:lang w:val="en-US" w:eastAsia="zh-CN"/>
        </w:rPr>
        <w:t>支出</w:t>
      </w:r>
      <w:r>
        <w:rPr>
          <w:rFonts w:hint="eastAsia" w:ascii="Times New Roman" w:hAnsi="Times New Roman" w:eastAsia="仿宋_GB2312" w:cs="Times New Roman"/>
          <w:color w:val="auto"/>
          <w:spacing w:val="0"/>
          <w:sz w:val="32"/>
          <w:szCs w:val="32"/>
          <w:highlight w:val="none"/>
          <w:lang w:val="zh-CN" w:eastAsia="zh-CN"/>
        </w:rPr>
        <w:t>绩效自评表</w:t>
      </w:r>
      <w:r>
        <w:rPr>
          <w:rFonts w:hint="eastAsia" w:ascii="Times New Roman" w:hAnsi="Times New Roman" w:eastAsia="仿宋_GB2312" w:cs="Times New Roman"/>
          <w:color w:val="auto"/>
          <w:spacing w:val="0"/>
          <w:sz w:val="32"/>
          <w:szCs w:val="32"/>
          <w:highlight w:val="none"/>
          <w:lang w:val="en-US" w:eastAsia="zh-CN"/>
        </w:rPr>
        <w:t>1个，全年预算总额</w:t>
      </w:r>
      <w:r>
        <w:rPr>
          <w:rFonts w:hint="eastAsia" w:ascii="Times New Roman" w:hAnsi="Times New Roman" w:eastAsia="仿宋_GB2312" w:cs="Times New Roman"/>
          <w:color w:val="auto"/>
          <w:spacing w:val="0"/>
          <w:sz w:val="32"/>
          <w:szCs w:val="32"/>
          <w:highlight w:val="none"/>
          <w:lang w:val="zh-CN" w:eastAsia="zh-CN"/>
        </w:rPr>
        <w:t>2378</w:t>
      </w:r>
      <w:r>
        <w:rPr>
          <w:rFonts w:hint="eastAsia" w:ascii="Times New Roman" w:hAnsi="Times New Roman" w:eastAsia="仿宋_GB2312" w:cs="Times New Roman"/>
          <w:color w:val="auto"/>
          <w:spacing w:val="0"/>
          <w:sz w:val="32"/>
          <w:szCs w:val="32"/>
          <w:highlight w:val="none"/>
          <w:lang w:val="en-US" w:eastAsia="zh-CN"/>
        </w:rPr>
        <w:t>.</w:t>
      </w:r>
      <w:r>
        <w:rPr>
          <w:rFonts w:hint="eastAsia" w:ascii="Times New Roman" w:hAnsi="Times New Roman" w:eastAsia="仿宋_GB2312" w:cs="Times New Roman"/>
          <w:color w:val="auto"/>
          <w:spacing w:val="0"/>
          <w:sz w:val="32"/>
          <w:szCs w:val="32"/>
          <w:highlight w:val="none"/>
          <w:lang w:val="zh-CN" w:eastAsia="zh-CN"/>
        </w:rPr>
        <w:t>7</w:t>
      </w:r>
      <w:r>
        <w:rPr>
          <w:rFonts w:hint="eastAsia" w:ascii="Times New Roman" w:hAnsi="Times New Roman" w:eastAsia="仿宋_GB2312" w:cs="Times New Roman"/>
          <w:color w:val="auto"/>
          <w:spacing w:val="0"/>
          <w:sz w:val="32"/>
          <w:szCs w:val="32"/>
          <w:highlight w:val="none"/>
          <w:lang w:val="en-US" w:eastAsia="zh-CN"/>
        </w:rPr>
        <w:t>9</w:t>
      </w:r>
      <w:r>
        <w:rPr>
          <w:rFonts w:hint="eastAsia" w:ascii="Times New Roman" w:hAnsi="Times New Roman" w:eastAsia="仿宋_GB2312" w:cs="Times New Roman"/>
          <w:color w:val="auto"/>
          <w:spacing w:val="0"/>
          <w:sz w:val="32"/>
          <w:szCs w:val="32"/>
          <w:highlight w:val="none"/>
          <w:lang w:val="zh-CN" w:eastAsia="zh-CN"/>
        </w:rPr>
        <w:t>万元，</w:t>
      </w:r>
      <w:r>
        <w:rPr>
          <w:rFonts w:hint="eastAsia" w:ascii="Times New Roman" w:hAnsi="Times New Roman" w:eastAsia="仿宋_GB2312" w:cs="Times New Roman"/>
          <w:color w:val="auto"/>
          <w:spacing w:val="0"/>
          <w:sz w:val="32"/>
          <w:szCs w:val="32"/>
          <w:highlight w:val="none"/>
          <w:lang w:val="en-US" w:eastAsia="zh-CN"/>
        </w:rPr>
        <w:t>实际执行总额2378.79</w:t>
      </w:r>
      <w:r>
        <w:rPr>
          <w:rFonts w:hint="eastAsia" w:ascii="Times New Roman" w:hAnsi="Times New Roman" w:eastAsia="仿宋_GB2312" w:cs="Times New Roman"/>
          <w:color w:val="auto"/>
          <w:spacing w:val="0"/>
          <w:sz w:val="32"/>
          <w:szCs w:val="32"/>
          <w:highlight w:val="none"/>
          <w:lang w:val="zh-CN" w:eastAsia="zh-CN"/>
        </w:rPr>
        <w:t>万元</w:t>
      </w:r>
      <w:r>
        <w:rPr>
          <w:rFonts w:hint="eastAsia" w:ascii="Times New Roman" w:hAnsi="Times New Roman" w:eastAsia="仿宋_GB2312" w:cs="Times New Roman"/>
          <w:color w:val="auto"/>
          <w:spacing w:val="0"/>
          <w:sz w:val="32"/>
          <w:szCs w:val="32"/>
          <w:highlight w:val="none"/>
          <w:lang w:val="en-US" w:eastAsia="zh-CN"/>
        </w:rPr>
        <w:t>；</w:t>
      </w:r>
      <w:r>
        <w:rPr>
          <w:rFonts w:hint="eastAsia" w:ascii="Times New Roman" w:hAnsi="Times New Roman" w:eastAsia="仿宋_GB2312" w:cs="Times New Roman"/>
          <w:color w:val="auto"/>
          <w:spacing w:val="0"/>
          <w:sz w:val="32"/>
          <w:szCs w:val="32"/>
          <w:highlight w:val="none"/>
          <w:lang w:val="zh-CN" w:eastAsia="zh-CN"/>
        </w:rPr>
        <w:t>预算绩效评价项目</w:t>
      </w:r>
      <w:r>
        <w:rPr>
          <w:rFonts w:hint="eastAsia" w:ascii="Times New Roman" w:hAnsi="Times New Roman" w:eastAsia="仿宋_GB2312" w:cs="Times New Roman"/>
          <w:color w:val="auto"/>
          <w:spacing w:val="0"/>
          <w:sz w:val="32"/>
          <w:szCs w:val="32"/>
          <w:highlight w:val="none"/>
          <w:lang w:val="en-US" w:eastAsia="zh-CN"/>
        </w:rPr>
        <w:t>7</w:t>
      </w:r>
      <w:r>
        <w:rPr>
          <w:rFonts w:hint="eastAsia" w:ascii="Times New Roman" w:hAnsi="Times New Roman" w:eastAsia="仿宋_GB2312" w:cs="Times New Roman"/>
          <w:color w:val="auto"/>
          <w:spacing w:val="0"/>
          <w:sz w:val="32"/>
          <w:szCs w:val="32"/>
          <w:highlight w:val="none"/>
          <w:lang w:val="zh-CN" w:eastAsia="zh-CN"/>
        </w:rPr>
        <w:t>个，</w:t>
      </w:r>
      <w:r>
        <w:rPr>
          <w:rFonts w:hint="eastAsia" w:ascii="Times New Roman" w:hAnsi="Times New Roman" w:eastAsia="仿宋_GB2312" w:cs="Times New Roman"/>
          <w:color w:val="auto"/>
          <w:spacing w:val="0"/>
          <w:sz w:val="32"/>
          <w:szCs w:val="32"/>
          <w:highlight w:val="none"/>
          <w:lang w:val="en-US" w:eastAsia="zh-CN"/>
        </w:rPr>
        <w:t>全年预算数356.85</w:t>
      </w:r>
      <w:r>
        <w:rPr>
          <w:rFonts w:hint="eastAsia" w:ascii="Times New Roman" w:hAnsi="Times New Roman" w:eastAsia="仿宋_GB2312" w:cs="Times New Roman"/>
          <w:color w:val="auto"/>
          <w:spacing w:val="0"/>
          <w:sz w:val="32"/>
          <w:szCs w:val="32"/>
          <w:highlight w:val="none"/>
          <w:lang w:val="zh-CN" w:eastAsia="zh-CN"/>
        </w:rPr>
        <w:t>万元，</w:t>
      </w:r>
      <w:r>
        <w:rPr>
          <w:rFonts w:hint="eastAsia" w:ascii="Times New Roman" w:hAnsi="Times New Roman" w:eastAsia="仿宋_GB2312" w:cs="Times New Roman"/>
          <w:color w:val="auto"/>
          <w:spacing w:val="0"/>
          <w:sz w:val="32"/>
          <w:szCs w:val="32"/>
          <w:highlight w:val="none"/>
          <w:lang w:val="en-US" w:eastAsia="zh-CN"/>
        </w:rPr>
        <w:t>全年执行数137.24</w:t>
      </w:r>
      <w:r>
        <w:rPr>
          <w:rFonts w:hint="eastAsia" w:ascii="Times New Roman" w:hAnsi="Times New Roman" w:eastAsia="仿宋_GB2312" w:cs="Times New Roman"/>
          <w:color w:val="auto"/>
          <w:spacing w:val="0"/>
          <w:sz w:val="32"/>
          <w:szCs w:val="32"/>
          <w:highlight w:val="none"/>
          <w:lang w:val="zh-CN" w:eastAsia="zh-CN"/>
        </w:rPr>
        <w:t>万元。</w:t>
      </w:r>
      <w:r>
        <w:rPr>
          <w:rFonts w:hint="eastAsia" w:ascii="Times New Roman" w:hAnsi="Times New Roman" w:eastAsia="仿宋_GB2312" w:cs="Times New Roman"/>
          <w:color w:val="auto"/>
          <w:spacing w:val="0"/>
          <w:sz w:val="32"/>
          <w:szCs w:val="32"/>
          <w:highlight w:val="none"/>
          <w:lang w:val="en-US" w:eastAsia="zh-CN"/>
        </w:rPr>
        <w:t>预算绩效管理取得的成效：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下一步改进措施：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Times New Roman" w:hAnsi="Times New Roman" w:eastAsia="仿宋_GB2312" w:cs="Times New Roman"/>
          <w:color w:val="auto"/>
          <w:spacing w:val="0"/>
          <w:sz w:val="32"/>
          <w:szCs w:val="32"/>
          <w:highlight w:val="none"/>
          <w:lang w:val="zh-CN" w:eastAsia="zh-CN"/>
        </w:rPr>
        <w:t>具体项目自评情况附绩效自评表</w:t>
      </w:r>
      <w:r>
        <w:rPr>
          <w:rFonts w:hint="eastAsia" w:ascii="Times New Roman" w:hAnsi="Times New Roman" w:eastAsia="仿宋_GB2312" w:cs="Times New Roman"/>
          <w:color w:val="auto"/>
          <w:spacing w:val="0"/>
          <w:sz w:val="32"/>
          <w:szCs w:val="32"/>
          <w:highlight w:val="none"/>
          <w:lang w:val="en-US" w:eastAsia="zh-CN"/>
        </w:rPr>
        <w:t>及自评报告</w:t>
      </w:r>
      <w:r>
        <w:rPr>
          <w:rFonts w:hint="eastAsia" w:ascii="Times New Roman" w:hAnsi="Times New Roman" w:eastAsia="仿宋_GB2312" w:cs="Times New Roman"/>
          <w:color w:val="auto"/>
          <w:spacing w:val="0"/>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560" w:lineRule="atLeast"/>
        <w:ind w:firstLine="620" w:firstLineChars="200"/>
        <w:jc w:val="left"/>
        <w:textAlignment w:val="auto"/>
        <w:rPr>
          <w:rFonts w:hint="eastAsia" w:ascii="黑体" w:hAnsi="黑体" w:eastAsia="黑体" w:cs="宋体"/>
          <w:bCs/>
          <w:color w:val="auto"/>
          <w:kern w:val="0"/>
          <w:sz w:val="31"/>
          <w:szCs w:val="31"/>
          <w:highlight w:val="none"/>
          <w:lang w:eastAsia="zh-CN"/>
        </w:rPr>
      </w:pPr>
      <w:r>
        <w:rPr>
          <w:rFonts w:hint="eastAsia" w:ascii="黑体" w:hAnsi="黑体" w:eastAsia="黑体" w:cs="宋体"/>
          <w:bCs/>
          <w:color w:val="auto"/>
          <w:kern w:val="0"/>
          <w:sz w:val="31"/>
          <w:szCs w:val="31"/>
          <w:highlight w:val="none"/>
          <w:lang w:eastAsia="zh-CN"/>
        </w:rPr>
        <w:t>十</w:t>
      </w:r>
      <w:r>
        <w:rPr>
          <w:rFonts w:hint="eastAsia" w:ascii="黑体" w:hAnsi="黑体" w:eastAsia="黑体" w:cs="宋体"/>
          <w:bCs/>
          <w:color w:val="auto"/>
          <w:kern w:val="0"/>
          <w:sz w:val="31"/>
          <w:szCs w:val="31"/>
          <w:highlight w:val="none"/>
          <w:lang w:val="en-US" w:eastAsia="zh-CN"/>
        </w:rPr>
        <w:t>二</w:t>
      </w:r>
      <w:r>
        <w:rPr>
          <w:rFonts w:hint="eastAsia" w:ascii="黑体" w:hAnsi="黑体" w:eastAsia="黑体" w:cs="宋体"/>
          <w:bCs/>
          <w:color w:val="auto"/>
          <w:kern w:val="0"/>
          <w:sz w:val="31"/>
          <w:szCs w:val="31"/>
          <w:highlight w:val="none"/>
          <w:lang w:eastAsia="zh-CN"/>
        </w:rPr>
        <w:t>、其他需说明的事项</w:t>
      </w:r>
    </w:p>
    <w:p>
      <w:pPr>
        <w:keepNext w:val="0"/>
        <w:keepLines w:val="0"/>
        <w:pageBreakBefore w:val="0"/>
        <w:widowControl w:val="0"/>
        <w:kinsoku/>
        <w:wordWrap/>
        <w:overflowPunct/>
        <w:topLinePunct w:val="0"/>
        <w:bidi w:val="0"/>
        <w:adjustRightInd/>
        <w:snapToGrid/>
        <w:spacing w:line="560" w:lineRule="atLeas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560" w:lineRule="atLeast"/>
        <w:ind w:firstLine="0" w:firstLineChars="0"/>
        <w:jc w:val="center"/>
        <w:textAlignment w:val="auto"/>
        <w:outlineLvl w:val="0"/>
        <w:rPr>
          <w:rFonts w:hint="eastAsia" w:ascii="黑体" w:hAnsi="黑体" w:eastAsia="黑体"/>
          <w:color w:val="auto"/>
          <w:sz w:val="31"/>
          <w:szCs w:val="31"/>
          <w:highlight w:val="none"/>
        </w:rPr>
      </w:pPr>
      <w:bookmarkStart w:id="34" w:name="_Toc3250"/>
      <w:bookmarkStart w:id="35" w:name="_Toc24143"/>
      <w:r>
        <w:rPr>
          <w:rFonts w:hint="eastAsia" w:ascii="黑体" w:hAnsi="黑体" w:eastAsia="黑体"/>
          <w:color w:val="auto"/>
          <w:sz w:val="32"/>
          <w:szCs w:val="32"/>
          <w:highlight w:val="none"/>
        </w:rPr>
        <w:br w:type="page"/>
      </w:r>
      <w:r>
        <w:rPr>
          <w:rFonts w:hint="eastAsia" w:ascii="黑体" w:hAnsi="黑体" w:eastAsia="黑体"/>
          <w:color w:val="auto"/>
          <w:sz w:val="31"/>
          <w:szCs w:val="31"/>
          <w:highlight w:val="none"/>
        </w:rPr>
        <w:t>第</w:t>
      </w:r>
      <w:r>
        <w:rPr>
          <w:rFonts w:hint="eastAsia" w:ascii="黑体" w:hAnsi="黑体" w:eastAsia="黑体"/>
          <w:color w:val="auto"/>
          <w:sz w:val="31"/>
          <w:szCs w:val="31"/>
          <w:highlight w:val="none"/>
          <w:lang w:val="en-US" w:eastAsia="zh-CN"/>
        </w:rPr>
        <w:t>三</w:t>
      </w:r>
      <w:r>
        <w:rPr>
          <w:rFonts w:hint="eastAsia" w:ascii="黑体" w:hAnsi="黑体" w:eastAsia="黑体"/>
          <w:color w:val="auto"/>
          <w:sz w:val="31"/>
          <w:szCs w:val="31"/>
          <w:highlight w:val="none"/>
        </w:rPr>
        <w:t>部分 专业名词解释</w:t>
      </w:r>
      <w:bookmarkEnd w:id="34"/>
      <w:bookmarkEnd w:id="35"/>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jc w:val="left"/>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一、</w:t>
      </w:r>
      <w:r>
        <w:rPr>
          <w:rFonts w:hint="eastAsia" w:ascii="仿宋_GB2312" w:eastAsia="仿宋_GB2312"/>
          <w:b/>
          <w:bCs/>
          <w:color w:val="auto"/>
          <w:sz w:val="31"/>
          <w:szCs w:val="31"/>
          <w:highlight w:val="none"/>
        </w:rPr>
        <w:t>财政拨款收入：</w:t>
      </w:r>
      <w:r>
        <w:rPr>
          <w:rFonts w:hint="eastAsia" w:ascii="仿宋_GB2312" w:eastAsia="仿宋_GB2312"/>
          <w:color w:val="auto"/>
          <w:sz w:val="31"/>
          <w:szCs w:val="31"/>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jc w:val="left"/>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二、</w:t>
      </w:r>
      <w:r>
        <w:rPr>
          <w:rFonts w:hint="eastAsia" w:ascii="仿宋_GB2312" w:eastAsia="仿宋_GB2312"/>
          <w:b/>
          <w:bCs/>
          <w:color w:val="auto"/>
          <w:sz w:val="31"/>
          <w:szCs w:val="31"/>
          <w:highlight w:val="none"/>
        </w:rPr>
        <w:t>上级补助收入：</w:t>
      </w:r>
      <w:r>
        <w:rPr>
          <w:rFonts w:hint="eastAsia" w:ascii="仿宋_GB2312" w:eastAsia="仿宋_GB2312"/>
          <w:color w:val="auto"/>
          <w:sz w:val="31"/>
          <w:szCs w:val="31"/>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jc w:val="left"/>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三、</w:t>
      </w:r>
      <w:r>
        <w:rPr>
          <w:rFonts w:hint="eastAsia" w:ascii="仿宋_GB2312" w:eastAsia="仿宋_GB2312"/>
          <w:b/>
          <w:bCs/>
          <w:color w:val="auto"/>
          <w:sz w:val="31"/>
          <w:szCs w:val="31"/>
          <w:highlight w:val="none"/>
        </w:rPr>
        <w:t>事业收入：</w:t>
      </w:r>
      <w:r>
        <w:rPr>
          <w:rFonts w:hint="eastAsia" w:ascii="仿宋_GB2312" w:eastAsia="仿宋_GB2312"/>
          <w:color w:val="auto"/>
          <w:sz w:val="31"/>
          <w:szCs w:val="31"/>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jc w:val="left"/>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四、</w:t>
      </w:r>
      <w:r>
        <w:rPr>
          <w:rFonts w:hint="eastAsia" w:ascii="仿宋_GB2312" w:eastAsia="仿宋_GB2312"/>
          <w:b/>
          <w:bCs/>
          <w:color w:val="auto"/>
          <w:sz w:val="31"/>
          <w:szCs w:val="31"/>
          <w:highlight w:val="none"/>
        </w:rPr>
        <w:t>经营收入：</w:t>
      </w:r>
      <w:r>
        <w:rPr>
          <w:rFonts w:hint="eastAsia" w:ascii="仿宋_GB2312" w:eastAsia="仿宋_GB2312"/>
          <w:color w:val="auto"/>
          <w:sz w:val="31"/>
          <w:szCs w:val="31"/>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jc w:val="left"/>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五、</w:t>
      </w:r>
      <w:r>
        <w:rPr>
          <w:rFonts w:hint="eastAsia" w:ascii="仿宋_GB2312" w:eastAsia="仿宋_GB2312"/>
          <w:b/>
          <w:bCs/>
          <w:color w:val="auto"/>
          <w:sz w:val="31"/>
          <w:szCs w:val="31"/>
          <w:highlight w:val="none"/>
        </w:rPr>
        <w:t>附属单位上缴收入：</w:t>
      </w:r>
      <w:r>
        <w:rPr>
          <w:rFonts w:hint="eastAsia" w:ascii="仿宋_GB2312" w:eastAsia="仿宋_GB2312"/>
          <w:color w:val="auto"/>
          <w:sz w:val="31"/>
          <w:szCs w:val="31"/>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jc w:val="left"/>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六、</w:t>
      </w:r>
      <w:r>
        <w:rPr>
          <w:rFonts w:hint="eastAsia" w:ascii="仿宋_GB2312" w:eastAsia="仿宋_GB2312"/>
          <w:b/>
          <w:bCs/>
          <w:color w:val="auto"/>
          <w:sz w:val="31"/>
          <w:szCs w:val="31"/>
          <w:highlight w:val="none"/>
        </w:rPr>
        <w:t>其他收入：</w:t>
      </w:r>
      <w:r>
        <w:rPr>
          <w:rFonts w:hint="eastAsia" w:ascii="仿宋_GB2312" w:eastAsia="仿宋_GB2312"/>
          <w:color w:val="auto"/>
          <w:sz w:val="31"/>
          <w:szCs w:val="31"/>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jc w:val="left"/>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七、</w:t>
      </w:r>
      <w:r>
        <w:rPr>
          <w:rFonts w:hint="eastAsia" w:ascii="仿宋_GB2312" w:eastAsia="仿宋_GB2312"/>
          <w:b/>
          <w:bCs/>
          <w:color w:val="auto"/>
          <w:sz w:val="31"/>
          <w:szCs w:val="31"/>
          <w:highlight w:val="none"/>
          <w:lang w:eastAsia="zh-CN"/>
        </w:rPr>
        <w:t>年初</w:t>
      </w:r>
      <w:r>
        <w:rPr>
          <w:rFonts w:hint="eastAsia" w:ascii="仿宋_GB2312" w:eastAsia="仿宋_GB2312"/>
          <w:b/>
          <w:bCs/>
          <w:color w:val="auto"/>
          <w:sz w:val="31"/>
          <w:szCs w:val="31"/>
          <w:highlight w:val="none"/>
        </w:rPr>
        <w:t>结转和结余：</w:t>
      </w:r>
      <w:r>
        <w:rPr>
          <w:rFonts w:hint="eastAsia" w:ascii="仿宋_GB2312" w:eastAsia="仿宋_GB2312"/>
          <w:color w:val="auto"/>
          <w:sz w:val="31"/>
          <w:szCs w:val="31"/>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jc w:val="left"/>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八、</w:t>
      </w:r>
      <w:r>
        <w:rPr>
          <w:rFonts w:hint="eastAsia" w:ascii="仿宋_GB2312" w:eastAsia="仿宋_GB2312"/>
          <w:b/>
          <w:bCs/>
          <w:color w:val="auto"/>
          <w:sz w:val="31"/>
          <w:szCs w:val="31"/>
          <w:highlight w:val="none"/>
        </w:rPr>
        <w:t>年末结转和结余：</w:t>
      </w:r>
      <w:r>
        <w:rPr>
          <w:rFonts w:hint="eastAsia" w:ascii="仿宋_GB2312" w:eastAsia="仿宋_GB2312"/>
          <w:color w:val="auto"/>
          <w:sz w:val="31"/>
          <w:szCs w:val="31"/>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jc w:val="left"/>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九、</w:t>
      </w:r>
      <w:r>
        <w:rPr>
          <w:rFonts w:hint="eastAsia" w:ascii="仿宋_GB2312" w:eastAsia="仿宋_GB2312"/>
          <w:b/>
          <w:bCs/>
          <w:color w:val="auto"/>
          <w:sz w:val="31"/>
          <w:szCs w:val="31"/>
          <w:highlight w:val="none"/>
        </w:rPr>
        <w:t>基本支出：</w:t>
      </w:r>
      <w:r>
        <w:rPr>
          <w:rFonts w:hint="eastAsia" w:ascii="仿宋_GB2312" w:eastAsia="仿宋_GB2312"/>
          <w:color w:val="auto"/>
          <w:sz w:val="31"/>
          <w:szCs w:val="31"/>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jc w:val="left"/>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十、</w:t>
      </w:r>
      <w:r>
        <w:rPr>
          <w:rFonts w:hint="eastAsia" w:ascii="仿宋_GB2312" w:eastAsia="仿宋_GB2312"/>
          <w:b/>
          <w:bCs/>
          <w:color w:val="auto"/>
          <w:sz w:val="31"/>
          <w:szCs w:val="31"/>
          <w:highlight w:val="none"/>
        </w:rPr>
        <w:t>项目支出：</w:t>
      </w:r>
      <w:r>
        <w:rPr>
          <w:rFonts w:hint="eastAsia" w:ascii="仿宋_GB2312" w:eastAsia="仿宋_GB2312"/>
          <w:color w:val="auto"/>
          <w:sz w:val="31"/>
          <w:szCs w:val="31"/>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十一、</w:t>
      </w:r>
      <w:r>
        <w:rPr>
          <w:rFonts w:hint="eastAsia" w:ascii="仿宋_GB2312" w:eastAsia="仿宋_GB2312"/>
          <w:b/>
          <w:bCs/>
          <w:color w:val="auto"/>
          <w:sz w:val="31"/>
          <w:szCs w:val="31"/>
          <w:highlight w:val="none"/>
        </w:rPr>
        <w:t>经营支出：</w:t>
      </w:r>
      <w:r>
        <w:rPr>
          <w:rFonts w:hint="eastAsia" w:ascii="仿宋_GB2312" w:eastAsia="仿宋_GB2312"/>
          <w:color w:val="auto"/>
          <w:sz w:val="31"/>
          <w:szCs w:val="31"/>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十二、</w:t>
      </w:r>
      <w:r>
        <w:rPr>
          <w:rFonts w:hint="eastAsia" w:ascii="仿宋_GB2312" w:eastAsia="仿宋_GB2312"/>
          <w:b/>
          <w:bCs/>
          <w:color w:val="auto"/>
          <w:sz w:val="31"/>
          <w:szCs w:val="31"/>
          <w:highlight w:val="none"/>
        </w:rPr>
        <w:t>对附属单位补助支出：</w:t>
      </w:r>
      <w:r>
        <w:rPr>
          <w:rFonts w:hint="eastAsia" w:ascii="仿宋_GB2312" w:eastAsia="仿宋_GB2312"/>
          <w:color w:val="auto"/>
          <w:sz w:val="31"/>
          <w:szCs w:val="31"/>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atLeast"/>
        <w:ind w:firstLine="622" w:firstLineChars="200"/>
        <w:textAlignment w:val="auto"/>
        <w:rPr>
          <w:rFonts w:hint="eastAsia" w:ascii="仿宋_GB2312" w:eastAsia="仿宋_GB2312"/>
          <w:color w:val="auto"/>
          <w:sz w:val="31"/>
          <w:szCs w:val="31"/>
          <w:highlight w:val="none"/>
          <w:lang w:eastAsia="zh-CN"/>
        </w:rPr>
      </w:pPr>
      <w:r>
        <w:rPr>
          <w:rFonts w:hint="eastAsia" w:ascii="仿宋_GB2312" w:eastAsia="仿宋_GB2312"/>
          <w:b/>
          <w:bCs/>
          <w:color w:val="auto"/>
          <w:sz w:val="31"/>
          <w:szCs w:val="31"/>
          <w:highlight w:val="none"/>
          <w:lang w:val="en-US" w:eastAsia="zh-CN"/>
        </w:rPr>
        <w:t>十三、</w:t>
      </w:r>
      <w:r>
        <w:rPr>
          <w:rFonts w:hint="eastAsia" w:ascii="仿宋_GB2312" w:eastAsia="仿宋_GB2312"/>
          <w:b/>
          <w:bCs/>
          <w:color w:val="auto"/>
          <w:sz w:val="31"/>
          <w:szCs w:val="31"/>
          <w:highlight w:val="none"/>
        </w:rPr>
        <w:t>“三公”经费：</w:t>
      </w:r>
      <w:r>
        <w:rPr>
          <w:rFonts w:hint="eastAsia" w:ascii="仿宋_GB2312" w:eastAsia="仿宋_GB2312"/>
          <w:color w:val="auto"/>
          <w:sz w:val="31"/>
          <w:szCs w:val="31"/>
          <w:highlight w:val="none"/>
        </w:rPr>
        <w:t>指用财政拨款安排的因公出国（境）费、公务用车购置及运行费和公务接待费。其中，因公出国（境）费反映单位公务出国（境）的</w:t>
      </w:r>
      <w:r>
        <w:rPr>
          <w:rFonts w:hint="eastAsia" w:ascii="仿宋_GB2312" w:eastAsia="仿宋_GB2312"/>
          <w:color w:val="auto"/>
          <w:sz w:val="31"/>
          <w:szCs w:val="31"/>
          <w:highlight w:val="none"/>
          <w:lang w:eastAsia="zh-CN"/>
        </w:rPr>
        <w:t>国际旅费、国外城市间交通费、</w:t>
      </w:r>
      <w:r>
        <w:rPr>
          <w:rFonts w:hint="eastAsia" w:ascii="仿宋_GB2312" w:eastAsia="仿宋_GB2312"/>
          <w:color w:val="auto"/>
          <w:sz w:val="31"/>
          <w:szCs w:val="31"/>
          <w:highlight w:val="none"/>
        </w:rPr>
        <w:t>住宿费、伙食费、培训费、</w:t>
      </w:r>
      <w:r>
        <w:rPr>
          <w:rFonts w:hint="eastAsia" w:ascii="仿宋_GB2312" w:eastAsia="仿宋_GB2312"/>
          <w:color w:val="auto"/>
          <w:sz w:val="31"/>
          <w:szCs w:val="31"/>
          <w:highlight w:val="none"/>
          <w:lang w:eastAsia="zh-CN"/>
        </w:rPr>
        <w:t>公</w:t>
      </w:r>
      <w:r>
        <w:rPr>
          <w:rFonts w:hint="eastAsia" w:ascii="仿宋_GB2312" w:eastAsia="仿宋_GB2312"/>
          <w:color w:val="auto"/>
          <w:sz w:val="31"/>
          <w:szCs w:val="31"/>
          <w:highlight w:val="none"/>
        </w:rPr>
        <w:t>杂费等支出；公务用车购置费</w:t>
      </w:r>
      <w:r>
        <w:rPr>
          <w:rFonts w:hint="eastAsia" w:ascii="仿宋_GB2312" w:eastAsia="仿宋_GB2312"/>
          <w:color w:val="auto"/>
          <w:sz w:val="31"/>
          <w:szCs w:val="31"/>
          <w:highlight w:val="none"/>
          <w:lang w:eastAsia="zh-CN"/>
        </w:rPr>
        <w:t>反映公务用车购置支出（含车辆购置税、牌照费）；</w:t>
      </w:r>
      <w:r>
        <w:rPr>
          <w:rFonts w:hint="eastAsia" w:ascii="仿宋_GB2312" w:eastAsia="仿宋_GB2312"/>
          <w:color w:val="auto"/>
          <w:sz w:val="31"/>
          <w:szCs w:val="31"/>
          <w:highlight w:val="none"/>
        </w:rPr>
        <w:t>公务用车运行</w:t>
      </w:r>
      <w:r>
        <w:rPr>
          <w:rFonts w:hint="eastAsia" w:ascii="仿宋_GB2312" w:eastAsia="仿宋_GB2312"/>
          <w:color w:val="auto"/>
          <w:sz w:val="31"/>
          <w:szCs w:val="31"/>
          <w:highlight w:val="none"/>
          <w:lang w:eastAsia="zh-CN"/>
        </w:rPr>
        <w:t>维护</w:t>
      </w:r>
      <w:r>
        <w:rPr>
          <w:rFonts w:hint="eastAsia" w:ascii="仿宋_GB2312" w:eastAsia="仿宋_GB2312"/>
          <w:color w:val="auto"/>
          <w:sz w:val="31"/>
          <w:szCs w:val="31"/>
          <w:highlight w:val="none"/>
        </w:rPr>
        <w:t>费反映</w:t>
      </w:r>
      <w:r>
        <w:rPr>
          <w:rFonts w:hint="eastAsia" w:ascii="仿宋_GB2312" w:eastAsia="仿宋_GB2312"/>
          <w:color w:val="auto"/>
          <w:sz w:val="31"/>
          <w:szCs w:val="31"/>
          <w:highlight w:val="none"/>
          <w:lang w:eastAsia="zh-CN"/>
        </w:rPr>
        <w:t>单位按规定保留的公务用车燃料费、维修费、</w:t>
      </w:r>
      <w:r>
        <w:rPr>
          <w:rFonts w:hint="eastAsia" w:ascii="仿宋_GB2312" w:eastAsia="仿宋_GB2312"/>
          <w:color w:val="auto"/>
          <w:sz w:val="31"/>
          <w:szCs w:val="31"/>
          <w:highlight w:val="none"/>
        </w:rPr>
        <w:t>过路过桥费、保险费、安全奖励费用等支出</w:t>
      </w:r>
      <w:r>
        <w:rPr>
          <w:rFonts w:hint="eastAsia" w:ascii="仿宋_GB2312" w:eastAsia="仿宋_GB2312"/>
          <w:color w:val="auto"/>
          <w:sz w:val="31"/>
          <w:szCs w:val="31"/>
          <w:highlight w:val="none"/>
          <w:lang w:eastAsia="zh-CN"/>
        </w:rPr>
        <w:t>；</w:t>
      </w:r>
      <w:r>
        <w:rPr>
          <w:rFonts w:hint="eastAsia" w:ascii="仿宋_GB2312" w:eastAsia="仿宋_GB2312"/>
          <w:color w:val="auto"/>
          <w:sz w:val="31"/>
          <w:szCs w:val="31"/>
          <w:highlight w:val="none"/>
        </w:rPr>
        <w:t>公务接待费反映单位按规定开支的各类公务接待（含外宾接待）</w:t>
      </w:r>
      <w:r>
        <w:rPr>
          <w:rFonts w:hint="eastAsia" w:ascii="仿宋_GB2312" w:eastAsia="仿宋_GB2312"/>
          <w:color w:val="auto"/>
          <w:sz w:val="31"/>
          <w:szCs w:val="31"/>
          <w:highlight w:val="none"/>
          <w:lang w:eastAsia="zh-CN"/>
        </w:rPr>
        <w:t>费用</w:t>
      </w:r>
      <w:r>
        <w:rPr>
          <w:rFonts w:hint="eastAsia" w:ascii="仿宋_GB2312" w:eastAsia="仿宋_GB2312"/>
          <w:color w:val="auto"/>
          <w:sz w:val="31"/>
          <w:szCs w:val="31"/>
          <w:highlight w:val="none"/>
        </w:rPr>
        <w:t>。</w:t>
      </w:r>
    </w:p>
    <w:p>
      <w:pPr>
        <w:keepNext w:val="0"/>
        <w:keepLines w:val="0"/>
        <w:pageBreakBefore w:val="0"/>
        <w:widowControl w:val="0"/>
        <w:kinsoku/>
        <w:wordWrap/>
        <w:overflowPunct/>
        <w:topLinePunct w:val="0"/>
        <w:bidi w:val="0"/>
        <w:adjustRightInd/>
        <w:snapToGrid/>
        <w:spacing w:line="560" w:lineRule="atLeast"/>
        <w:ind w:firstLine="622" w:firstLineChars="200"/>
        <w:textAlignment w:val="auto"/>
        <w:rPr>
          <w:rFonts w:hint="eastAsia" w:ascii="仿宋_GB2312" w:eastAsia="仿宋_GB2312"/>
          <w:color w:val="auto"/>
          <w:sz w:val="31"/>
          <w:szCs w:val="31"/>
          <w:highlight w:val="none"/>
        </w:rPr>
      </w:pPr>
      <w:r>
        <w:rPr>
          <w:rFonts w:hint="eastAsia" w:ascii="仿宋_GB2312" w:eastAsia="仿宋_GB2312"/>
          <w:b/>
          <w:bCs/>
          <w:color w:val="auto"/>
          <w:sz w:val="31"/>
          <w:szCs w:val="31"/>
          <w:highlight w:val="none"/>
          <w:lang w:val="en-US" w:eastAsia="zh-CN"/>
        </w:rPr>
        <w:t>十四、</w:t>
      </w:r>
      <w:r>
        <w:rPr>
          <w:rFonts w:hint="eastAsia" w:ascii="仿宋_GB2312" w:eastAsia="仿宋_GB2312"/>
          <w:b/>
          <w:bCs/>
          <w:color w:val="auto"/>
          <w:sz w:val="31"/>
          <w:szCs w:val="31"/>
          <w:highlight w:val="none"/>
        </w:rPr>
        <w:t>机关运行经费：</w:t>
      </w:r>
      <w:r>
        <w:rPr>
          <w:rFonts w:hint="eastAsia" w:ascii="仿宋_GB2312" w:eastAsia="仿宋_GB2312"/>
          <w:color w:val="auto"/>
          <w:sz w:val="31"/>
          <w:szCs w:val="31"/>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1"/>
          <w:szCs w:val="31"/>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560" w:lineRule="atLeast"/>
        <w:ind w:firstLine="620" w:firstLineChars="200"/>
        <w:jc w:val="both"/>
        <w:textAlignment w:val="auto"/>
        <w:outlineLvl w:val="1"/>
        <w:rPr>
          <w:rFonts w:hint="eastAsia" w:ascii="黑体" w:hAnsi="黑体" w:eastAsia="仿宋_GB2312" w:cs="宋体"/>
          <w:bCs/>
          <w:color w:val="auto"/>
          <w:kern w:val="0"/>
          <w:sz w:val="31"/>
          <w:szCs w:val="31"/>
          <w:highlight w:val="none"/>
        </w:rPr>
      </w:pPr>
      <w:bookmarkStart w:id="36" w:name="_Toc6062"/>
      <w:bookmarkStart w:id="37" w:name="_Toc2183"/>
      <w:r>
        <w:rPr>
          <w:rFonts w:hint="eastAsia" w:ascii="黑体" w:hAnsi="黑体" w:eastAsia="仿宋_GB2312" w:cs="宋体"/>
          <w:bCs/>
          <w:color w:val="auto"/>
          <w:kern w:val="0"/>
          <w:sz w:val="31"/>
          <w:szCs w:val="31"/>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560" w:lineRule="atLeast"/>
        <w:ind w:firstLine="620" w:firstLineChars="200"/>
        <w:jc w:val="both"/>
        <w:textAlignment w:val="auto"/>
        <w:outlineLvl w:val="1"/>
        <w:rPr>
          <w:rFonts w:hint="eastAsia" w:ascii="黑体" w:hAnsi="黑体" w:eastAsia="仿宋_GB2312" w:cs="宋体"/>
          <w:bCs/>
          <w:color w:val="auto"/>
          <w:kern w:val="0"/>
          <w:sz w:val="31"/>
          <w:szCs w:val="31"/>
          <w:highlight w:val="none"/>
        </w:rPr>
      </w:pPr>
      <w:bookmarkStart w:id="38" w:name="_Toc30364"/>
      <w:bookmarkStart w:id="39" w:name="_Toc24532"/>
      <w:r>
        <w:rPr>
          <w:rFonts w:hint="eastAsia" w:ascii="黑体" w:hAnsi="黑体" w:eastAsia="仿宋_GB2312" w:cs="宋体"/>
          <w:bCs/>
          <w:color w:val="auto"/>
          <w:kern w:val="0"/>
          <w:sz w:val="31"/>
          <w:szCs w:val="31"/>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atLeast"/>
        <w:ind w:firstLine="620" w:firstLineChars="200"/>
        <w:jc w:val="both"/>
        <w:textAlignment w:val="auto"/>
        <w:outlineLvl w:val="1"/>
        <w:rPr>
          <w:rFonts w:hint="eastAsia" w:ascii="黑体" w:hAnsi="黑体" w:eastAsia="仿宋_GB2312" w:cs="宋体"/>
          <w:bCs/>
          <w:color w:val="auto"/>
          <w:kern w:val="0"/>
          <w:sz w:val="31"/>
          <w:szCs w:val="31"/>
          <w:highlight w:val="none"/>
        </w:rPr>
      </w:pPr>
      <w:bookmarkStart w:id="40" w:name="_Toc21304"/>
      <w:bookmarkStart w:id="41" w:name="_Toc32434"/>
      <w:r>
        <w:rPr>
          <w:rFonts w:hint="eastAsia" w:ascii="黑体" w:hAnsi="黑体" w:eastAsia="仿宋_GB2312" w:cs="宋体"/>
          <w:bCs/>
          <w:color w:val="auto"/>
          <w:kern w:val="0"/>
          <w:sz w:val="31"/>
          <w:szCs w:val="31"/>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60" w:lineRule="atLeast"/>
        <w:ind w:firstLine="620" w:firstLineChars="200"/>
        <w:jc w:val="both"/>
        <w:textAlignment w:val="auto"/>
        <w:outlineLvl w:val="1"/>
        <w:rPr>
          <w:rFonts w:hint="eastAsia" w:ascii="黑体" w:hAnsi="黑体" w:eastAsia="仿宋_GB2312" w:cs="宋体"/>
          <w:bCs/>
          <w:color w:val="auto"/>
          <w:kern w:val="0"/>
          <w:sz w:val="31"/>
          <w:szCs w:val="31"/>
          <w:highlight w:val="none"/>
        </w:rPr>
      </w:pPr>
      <w:bookmarkStart w:id="42" w:name="_Toc28786"/>
      <w:bookmarkStart w:id="43" w:name="_Toc14238"/>
      <w:r>
        <w:rPr>
          <w:rFonts w:hint="eastAsia" w:ascii="黑体" w:hAnsi="黑体" w:eastAsia="仿宋_GB2312" w:cs="宋体"/>
          <w:bCs/>
          <w:color w:val="auto"/>
          <w:kern w:val="0"/>
          <w:sz w:val="31"/>
          <w:szCs w:val="31"/>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560" w:lineRule="atLeast"/>
        <w:ind w:firstLine="620" w:firstLineChars="200"/>
        <w:jc w:val="both"/>
        <w:textAlignment w:val="auto"/>
        <w:outlineLvl w:val="1"/>
        <w:rPr>
          <w:rFonts w:hint="eastAsia" w:ascii="黑体" w:hAnsi="黑体" w:eastAsia="仿宋_GB2312" w:cs="宋体"/>
          <w:bCs/>
          <w:color w:val="auto"/>
          <w:kern w:val="0"/>
          <w:sz w:val="31"/>
          <w:szCs w:val="31"/>
          <w:highlight w:val="none"/>
        </w:rPr>
      </w:pPr>
      <w:bookmarkStart w:id="44" w:name="_Toc14869"/>
      <w:bookmarkStart w:id="45" w:name="_Toc10347"/>
      <w:r>
        <w:rPr>
          <w:rFonts w:hint="eastAsia" w:ascii="黑体" w:hAnsi="黑体" w:eastAsia="仿宋_GB2312" w:cs="宋体"/>
          <w:bCs/>
          <w:color w:val="auto"/>
          <w:kern w:val="0"/>
          <w:sz w:val="31"/>
          <w:szCs w:val="31"/>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atLeast"/>
        <w:ind w:firstLine="620" w:firstLineChars="200"/>
        <w:jc w:val="both"/>
        <w:textAlignment w:val="auto"/>
        <w:outlineLvl w:val="1"/>
        <w:rPr>
          <w:rFonts w:hint="eastAsia" w:ascii="黑体" w:hAnsi="黑体" w:eastAsia="仿宋_GB2312" w:cs="宋体"/>
          <w:bCs/>
          <w:color w:val="auto"/>
          <w:kern w:val="0"/>
          <w:sz w:val="31"/>
          <w:szCs w:val="31"/>
          <w:highlight w:val="none"/>
        </w:rPr>
      </w:pPr>
      <w:bookmarkStart w:id="46" w:name="_Toc8884"/>
      <w:bookmarkStart w:id="47" w:name="_Toc5626"/>
      <w:r>
        <w:rPr>
          <w:rFonts w:hint="eastAsia" w:ascii="黑体" w:hAnsi="黑体" w:eastAsia="仿宋_GB2312" w:cs="宋体"/>
          <w:bCs/>
          <w:color w:val="auto"/>
          <w:kern w:val="0"/>
          <w:sz w:val="31"/>
          <w:szCs w:val="31"/>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60" w:lineRule="atLeast"/>
        <w:ind w:firstLine="620" w:firstLineChars="200"/>
        <w:jc w:val="both"/>
        <w:textAlignment w:val="auto"/>
        <w:outlineLvl w:val="1"/>
        <w:rPr>
          <w:rFonts w:hint="eastAsia" w:ascii="黑体" w:hAnsi="黑体" w:eastAsia="仿宋_GB2312" w:cs="宋体"/>
          <w:bCs/>
          <w:color w:val="auto"/>
          <w:kern w:val="0"/>
          <w:sz w:val="31"/>
          <w:szCs w:val="31"/>
          <w:highlight w:val="none"/>
        </w:rPr>
      </w:pPr>
      <w:r>
        <w:rPr>
          <w:rFonts w:hint="eastAsia" w:ascii="黑体" w:hAnsi="黑体" w:eastAsia="仿宋_GB2312" w:cs="宋体"/>
          <w:bCs/>
          <w:color w:val="auto"/>
          <w:kern w:val="0"/>
          <w:sz w:val="31"/>
          <w:szCs w:val="31"/>
          <w:highlight w:val="none"/>
        </w:rPr>
        <w:t>七、</w:t>
      </w:r>
      <w:bookmarkStart w:id="48" w:name="_Toc32663"/>
      <w:bookmarkStart w:id="49" w:name="_Toc29106"/>
      <w:r>
        <w:rPr>
          <w:rFonts w:hint="eastAsia" w:ascii="黑体" w:hAnsi="黑体" w:eastAsia="仿宋_GB2312" w:cs="宋体"/>
          <w:bCs/>
          <w:color w:val="auto"/>
          <w:kern w:val="0"/>
          <w:sz w:val="31"/>
          <w:szCs w:val="31"/>
          <w:highlight w:val="none"/>
        </w:rPr>
        <w:t>《财政拨款“三公”经费支出决算表》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560" w:lineRule="atLeast"/>
        <w:ind w:firstLine="620" w:firstLineChars="200"/>
        <w:jc w:val="both"/>
        <w:textAlignment w:val="auto"/>
        <w:outlineLvl w:val="1"/>
        <w:rPr>
          <w:rFonts w:hint="eastAsia" w:ascii="黑体" w:hAnsi="黑体" w:eastAsia="仿宋_GB2312" w:cs="宋体"/>
          <w:bCs/>
          <w:color w:val="auto"/>
          <w:kern w:val="0"/>
          <w:sz w:val="31"/>
          <w:szCs w:val="31"/>
          <w:highlight w:val="none"/>
        </w:rPr>
      </w:pPr>
      <w:bookmarkStart w:id="50" w:name="_Toc7643"/>
      <w:bookmarkStart w:id="51" w:name="_Toc5453"/>
      <w:r>
        <w:rPr>
          <w:rFonts w:hint="eastAsia" w:ascii="黑体" w:hAnsi="黑体" w:eastAsia="仿宋_GB2312" w:cs="宋体"/>
          <w:bCs/>
          <w:color w:val="auto"/>
          <w:kern w:val="0"/>
          <w:sz w:val="31"/>
          <w:szCs w:val="31"/>
          <w:highlight w:val="none"/>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560" w:lineRule="atLeast"/>
        <w:ind w:firstLine="620" w:firstLineChars="200"/>
        <w:jc w:val="both"/>
        <w:textAlignment w:val="auto"/>
        <w:outlineLvl w:val="1"/>
        <w:rPr>
          <w:rFonts w:hint="eastAsia" w:ascii="黑体" w:hAnsi="黑体" w:eastAsia="仿宋_GB2312" w:cs="宋体"/>
          <w:bCs/>
          <w:color w:val="auto"/>
          <w:kern w:val="0"/>
          <w:sz w:val="31"/>
          <w:szCs w:val="31"/>
          <w:highlight w:val="none"/>
        </w:rPr>
      </w:pPr>
      <w:r>
        <w:rPr>
          <w:rFonts w:hint="eastAsia" w:ascii="黑体" w:hAnsi="黑体" w:eastAsia="仿宋_GB2312" w:cs="宋体"/>
          <w:bCs/>
          <w:color w:val="auto"/>
          <w:kern w:val="0"/>
          <w:sz w:val="31"/>
          <w:szCs w:val="31"/>
          <w:highlight w:val="none"/>
          <w:lang w:val="en-US" w:eastAsia="zh-CN"/>
        </w:rPr>
        <w:t>九</w:t>
      </w:r>
      <w:r>
        <w:rPr>
          <w:rFonts w:hint="eastAsia" w:ascii="黑体" w:hAnsi="黑体" w:eastAsia="仿宋_GB2312" w:cs="宋体"/>
          <w:bCs/>
          <w:color w:val="auto"/>
          <w:kern w:val="0"/>
          <w:sz w:val="31"/>
          <w:szCs w:val="31"/>
          <w:highlight w:val="none"/>
        </w:rPr>
        <w:t>、《</w:t>
      </w:r>
      <w:r>
        <w:rPr>
          <w:rFonts w:hint="eastAsia" w:ascii="黑体" w:hAnsi="黑体" w:eastAsia="仿宋_GB2312" w:cs="宋体"/>
          <w:bCs/>
          <w:color w:val="auto"/>
          <w:kern w:val="0"/>
          <w:sz w:val="31"/>
          <w:szCs w:val="31"/>
          <w:highlight w:val="none"/>
          <w:lang w:eastAsia="zh-CN"/>
        </w:rPr>
        <w:t>国有资本经营</w:t>
      </w:r>
      <w:r>
        <w:rPr>
          <w:rFonts w:hint="eastAsia" w:ascii="黑体" w:hAnsi="黑体" w:eastAsia="仿宋_GB2312" w:cs="宋体"/>
          <w:bCs/>
          <w:color w:val="auto"/>
          <w:kern w:val="0"/>
          <w:sz w:val="31"/>
          <w:szCs w:val="31"/>
          <w:highlight w:val="none"/>
        </w:rPr>
        <w:t>预算财政拨款收入支出决算表》</w:t>
      </w:r>
    </w:p>
    <w:p>
      <w:pPr>
        <w:keepNext w:val="0"/>
        <w:keepLines w:val="0"/>
        <w:pageBreakBefore w:val="0"/>
        <w:widowControl w:val="0"/>
        <w:kinsoku/>
        <w:wordWrap/>
        <w:overflowPunct/>
        <w:topLinePunct w:val="0"/>
        <w:bidi w:val="0"/>
        <w:adjustRightInd/>
        <w:snapToGrid/>
        <w:spacing w:line="560" w:lineRule="atLeast"/>
        <w:ind w:firstLine="640" w:firstLineChars="200"/>
        <w:textAlignment w:val="auto"/>
        <w:rPr>
          <w:rFonts w:hint="eastAsia" w:ascii="仿宋_GB2312" w:eastAsia="仿宋_GB2312"/>
          <w:color w:val="auto"/>
          <w:sz w:val="32"/>
          <w:szCs w:val="32"/>
          <w:highlight w:val="none"/>
        </w:rPr>
      </w:pPr>
    </w:p>
    <w:p>
      <w:pPr>
        <w:keepNext w:val="0"/>
        <w:keepLines w:val="0"/>
        <w:pageBreakBefore w:val="0"/>
        <w:kinsoku/>
        <w:wordWrap/>
        <w:overflowPunct/>
        <w:topLinePunct w:val="0"/>
        <w:bidi w:val="0"/>
        <w:adjustRightInd/>
        <w:snapToGrid/>
        <w:spacing w:line="560" w:lineRule="atLeas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br w:type="page"/>
      </w:r>
    </w:p>
    <w:p>
      <w:pPr>
        <w:keepNext w:val="0"/>
        <w:keepLines w:val="0"/>
        <w:pageBreakBefore w:val="0"/>
        <w:kinsoku/>
        <w:wordWrap/>
        <w:overflowPunct/>
        <w:topLinePunct w:val="0"/>
        <w:bidi w:val="0"/>
        <w:adjustRightInd/>
        <w:snapToGrid/>
        <w:spacing w:line="560" w:lineRule="atLeast"/>
        <w:textAlignment w:val="auto"/>
        <w:rPr>
          <w:rFonts w:hint="eastAsia" w:ascii="黑体" w:hAnsi="黑体" w:eastAsia="黑体" w:cs="宋体"/>
          <w:bCs/>
          <w:color w:val="auto"/>
          <w:kern w:val="0"/>
          <w:sz w:val="32"/>
          <w:szCs w:val="32"/>
          <w:highlight w:val="none"/>
          <w:lang w:eastAsia="zh-CN"/>
        </w:rPr>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r>
        <w:drawing>
          <wp:inline distT="0" distB="0" distL="114300" distR="114300">
            <wp:extent cx="5272405" cy="6613525"/>
            <wp:effectExtent l="0" t="0" r="4445" b="1587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272405" cy="6613525"/>
                    </a:xfrm>
                    <a:prstGeom prst="rect">
                      <a:avLst/>
                    </a:prstGeom>
                    <a:noFill/>
                    <a:ln>
                      <a:noFill/>
                    </a:ln>
                  </pic:spPr>
                </pic:pic>
              </a:graphicData>
            </a:graphic>
          </wp:inline>
        </w:drawing>
      </w:r>
      <w:r>
        <w:br w:type="page"/>
      </w: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r>
        <w:drawing>
          <wp:inline distT="0" distB="0" distL="114300" distR="114300">
            <wp:extent cx="5271135" cy="7164070"/>
            <wp:effectExtent l="0" t="0" r="5715" b="177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271135" cy="7164070"/>
                    </a:xfrm>
                    <a:prstGeom prst="rect">
                      <a:avLst/>
                    </a:prstGeom>
                    <a:noFill/>
                    <a:ln>
                      <a:noFill/>
                    </a:ln>
                  </pic:spPr>
                </pic:pic>
              </a:graphicData>
            </a:graphic>
          </wp:inline>
        </w:drawing>
      </w:r>
      <w:r>
        <w:br w:type="page"/>
      </w: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r>
        <w:drawing>
          <wp:inline distT="0" distB="0" distL="114300" distR="114300">
            <wp:extent cx="5273675" cy="7937500"/>
            <wp:effectExtent l="0" t="0" r="3175" b="635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tretch>
                      <a:fillRect/>
                    </a:stretch>
                  </pic:blipFill>
                  <pic:spPr>
                    <a:xfrm>
                      <a:off x="0" y="0"/>
                      <a:ext cx="5273675" cy="7937500"/>
                    </a:xfrm>
                    <a:prstGeom prst="rect">
                      <a:avLst/>
                    </a:prstGeom>
                    <a:noFill/>
                    <a:ln>
                      <a:noFill/>
                    </a:ln>
                  </pic:spPr>
                </pic:pic>
              </a:graphicData>
            </a:graphic>
          </wp:inline>
        </w:drawing>
      </w:r>
      <w:r>
        <w:br w:type="page"/>
      </w: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r>
        <w:drawing>
          <wp:inline distT="0" distB="0" distL="114300" distR="114300">
            <wp:extent cx="5273040" cy="5479415"/>
            <wp:effectExtent l="0" t="0" r="3810" b="698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5273040" cy="5479415"/>
                    </a:xfrm>
                    <a:prstGeom prst="rect">
                      <a:avLst/>
                    </a:prstGeom>
                    <a:noFill/>
                    <a:ln>
                      <a:noFill/>
                    </a:ln>
                  </pic:spPr>
                </pic:pic>
              </a:graphicData>
            </a:graphic>
          </wp:inline>
        </w:drawing>
      </w: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r>
        <w:drawing>
          <wp:inline distT="0" distB="0" distL="114300" distR="114300">
            <wp:extent cx="5274310" cy="7963535"/>
            <wp:effectExtent l="0" t="0" r="2540" b="1841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9"/>
                    <a:stretch>
                      <a:fillRect/>
                    </a:stretch>
                  </pic:blipFill>
                  <pic:spPr>
                    <a:xfrm>
                      <a:off x="0" y="0"/>
                      <a:ext cx="5274310" cy="7963535"/>
                    </a:xfrm>
                    <a:prstGeom prst="rect">
                      <a:avLst/>
                    </a:prstGeom>
                    <a:noFill/>
                    <a:ln>
                      <a:noFill/>
                    </a:ln>
                  </pic:spPr>
                </pic:pic>
              </a:graphicData>
            </a:graphic>
          </wp:inline>
        </w:drawing>
      </w: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r>
        <w:drawing>
          <wp:inline distT="0" distB="0" distL="114300" distR="114300">
            <wp:extent cx="5688330" cy="6725285"/>
            <wp:effectExtent l="0" t="0" r="762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688330" cy="6725285"/>
                    </a:xfrm>
                    <a:prstGeom prst="rect">
                      <a:avLst/>
                    </a:prstGeom>
                    <a:noFill/>
                    <a:ln>
                      <a:noFill/>
                    </a:ln>
                  </pic:spPr>
                </pic:pic>
              </a:graphicData>
            </a:graphic>
          </wp:inline>
        </w:drawing>
      </w:r>
      <w:r>
        <w:br w:type="page"/>
      </w: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r>
        <w:drawing>
          <wp:inline distT="0" distB="0" distL="114300" distR="114300">
            <wp:extent cx="5268595" cy="1760220"/>
            <wp:effectExtent l="0" t="0" r="8255" b="1143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1"/>
                    <a:stretch>
                      <a:fillRect/>
                    </a:stretch>
                  </pic:blipFill>
                  <pic:spPr>
                    <a:xfrm>
                      <a:off x="0" y="0"/>
                      <a:ext cx="5268595" cy="1760220"/>
                    </a:xfrm>
                    <a:prstGeom prst="rect">
                      <a:avLst/>
                    </a:prstGeom>
                    <a:noFill/>
                    <a:ln>
                      <a:noFill/>
                    </a:ln>
                  </pic:spPr>
                </pic:pic>
              </a:graphicData>
            </a:graphic>
          </wp:inline>
        </w:drawing>
      </w: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r>
        <w:drawing>
          <wp:inline distT="0" distB="0" distL="114300" distR="114300">
            <wp:extent cx="5266690" cy="1967865"/>
            <wp:effectExtent l="0" t="0" r="10160" b="1333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2"/>
                    <a:stretch>
                      <a:fillRect/>
                    </a:stretch>
                  </pic:blipFill>
                  <pic:spPr>
                    <a:xfrm>
                      <a:off x="0" y="0"/>
                      <a:ext cx="5266690" cy="1967865"/>
                    </a:xfrm>
                    <a:prstGeom prst="rect">
                      <a:avLst/>
                    </a:prstGeom>
                    <a:noFill/>
                    <a:ln>
                      <a:noFill/>
                    </a:ln>
                  </pic:spPr>
                </pic:pic>
              </a:graphicData>
            </a:graphic>
          </wp:inline>
        </w:drawing>
      </w: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r>
        <w:drawing>
          <wp:inline distT="0" distB="0" distL="114300" distR="114300">
            <wp:extent cx="5273675" cy="2105660"/>
            <wp:effectExtent l="0" t="0" r="3175" b="889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3"/>
                    <a:stretch>
                      <a:fillRect/>
                    </a:stretch>
                  </pic:blipFill>
                  <pic:spPr>
                    <a:xfrm>
                      <a:off x="0" y="0"/>
                      <a:ext cx="5273675" cy="2105660"/>
                    </a:xfrm>
                    <a:prstGeom prst="rect">
                      <a:avLst/>
                    </a:prstGeom>
                    <a:noFill/>
                    <a:ln>
                      <a:noFill/>
                    </a:ln>
                  </pic:spPr>
                </pic:pic>
              </a:graphicData>
            </a:graphic>
          </wp:inline>
        </w:drawing>
      </w: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p>
      <w:pPr>
        <w:keepNext w:val="0"/>
        <w:keepLines w:val="0"/>
        <w:pageBreakBefore w:val="0"/>
        <w:kinsoku/>
        <w:wordWrap/>
        <w:overflowPunct/>
        <w:topLinePunct w:val="0"/>
        <w:bidi w:val="0"/>
        <w:adjustRightInd/>
        <w:snapToGrid/>
        <w:spacing w:line="560" w:lineRule="atLeast"/>
        <w:textAlignment w:val="auto"/>
        <w:rPr>
          <w:rFonts w:hint="eastAsia"/>
          <w:lang w:eastAsia="zh-CN"/>
        </w:rPr>
      </w:pPr>
    </w:p>
    <w:sectPr>
      <w:footerReference r:id="rId3" w:type="default"/>
      <w:pgSz w:w="11906" w:h="16838"/>
      <w:pgMar w:top="1928" w:right="1474" w:bottom="1474" w:left="147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1359AD"/>
    <w:rsid w:val="00213C59"/>
    <w:rsid w:val="003210CE"/>
    <w:rsid w:val="00A13C9C"/>
    <w:rsid w:val="00B70D59"/>
    <w:rsid w:val="00E842AC"/>
    <w:rsid w:val="00F52A8D"/>
    <w:rsid w:val="013F7FC5"/>
    <w:rsid w:val="019404F8"/>
    <w:rsid w:val="02BD3108"/>
    <w:rsid w:val="02F435DD"/>
    <w:rsid w:val="02F73D26"/>
    <w:rsid w:val="034D4FEF"/>
    <w:rsid w:val="035D1785"/>
    <w:rsid w:val="036D2656"/>
    <w:rsid w:val="03786B70"/>
    <w:rsid w:val="039F47CE"/>
    <w:rsid w:val="03DF092F"/>
    <w:rsid w:val="03E05CE8"/>
    <w:rsid w:val="03F973EE"/>
    <w:rsid w:val="043E5B56"/>
    <w:rsid w:val="04C04386"/>
    <w:rsid w:val="04C84709"/>
    <w:rsid w:val="04FA68C4"/>
    <w:rsid w:val="0513548B"/>
    <w:rsid w:val="053F5AE6"/>
    <w:rsid w:val="05727727"/>
    <w:rsid w:val="057C0B0F"/>
    <w:rsid w:val="05EF4B48"/>
    <w:rsid w:val="05F76ECA"/>
    <w:rsid w:val="063216FC"/>
    <w:rsid w:val="06477CAA"/>
    <w:rsid w:val="06792773"/>
    <w:rsid w:val="07093795"/>
    <w:rsid w:val="07804730"/>
    <w:rsid w:val="079052BE"/>
    <w:rsid w:val="08145C21"/>
    <w:rsid w:val="08422688"/>
    <w:rsid w:val="08524535"/>
    <w:rsid w:val="085854ED"/>
    <w:rsid w:val="0879188F"/>
    <w:rsid w:val="08A0354D"/>
    <w:rsid w:val="08CD4C49"/>
    <w:rsid w:val="09114954"/>
    <w:rsid w:val="09514760"/>
    <w:rsid w:val="095A5B83"/>
    <w:rsid w:val="096466E3"/>
    <w:rsid w:val="0968304D"/>
    <w:rsid w:val="09AF3D17"/>
    <w:rsid w:val="0A7809B7"/>
    <w:rsid w:val="0A7B4867"/>
    <w:rsid w:val="0A840954"/>
    <w:rsid w:val="0A9928ED"/>
    <w:rsid w:val="0B1939E7"/>
    <w:rsid w:val="0B61769D"/>
    <w:rsid w:val="0B8C3ECC"/>
    <w:rsid w:val="0B9C639D"/>
    <w:rsid w:val="0BB052B2"/>
    <w:rsid w:val="0BD33FFC"/>
    <w:rsid w:val="0BE97AC1"/>
    <w:rsid w:val="0C1C4780"/>
    <w:rsid w:val="0C3613A3"/>
    <w:rsid w:val="0C5E519C"/>
    <w:rsid w:val="0C7227A7"/>
    <w:rsid w:val="0CA52EE8"/>
    <w:rsid w:val="0CBD6988"/>
    <w:rsid w:val="0CD208AC"/>
    <w:rsid w:val="0D25305F"/>
    <w:rsid w:val="0D4903E8"/>
    <w:rsid w:val="0D653892"/>
    <w:rsid w:val="0D7A4A46"/>
    <w:rsid w:val="0E640559"/>
    <w:rsid w:val="0F1113DA"/>
    <w:rsid w:val="0F330684"/>
    <w:rsid w:val="0F7158BD"/>
    <w:rsid w:val="0F78534A"/>
    <w:rsid w:val="0F89358A"/>
    <w:rsid w:val="0F8C6D51"/>
    <w:rsid w:val="105B0B5E"/>
    <w:rsid w:val="112E58D0"/>
    <w:rsid w:val="11731CAC"/>
    <w:rsid w:val="119500A0"/>
    <w:rsid w:val="11C0733B"/>
    <w:rsid w:val="11D50D17"/>
    <w:rsid w:val="12095C70"/>
    <w:rsid w:val="120B3D21"/>
    <w:rsid w:val="120E0809"/>
    <w:rsid w:val="127F665A"/>
    <w:rsid w:val="12F7068C"/>
    <w:rsid w:val="134A742E"/>
    <w:rsid w:val="140D2D06"/>
    <w:rsid w:val="140E53DB"/>
    <w:rsid w:val="141077F8"/>
    <w:rsid w:val="14207DC0"/>
    <w:rsid w:val="14B932DA"/>
    <w:rsid w:val="150A66AF"/>
    <w:rsid w:val="154C1139"/>
    <w:rsid w:val="154E43AC"/>
    <w:rsid w:val="158C5B77"/>
    <w:rsid w:val="159551FA"/>
    <w:rsid w:val="160D1149"/>
    <w:rsid w:val="163563C0"/>
    <w:rsid w:val="164315EF"/>
    <w:rsid w:val="16557DFE"/>
    <w:rsid w:val="167268FB"/>
    <w:rsid w:val="16CF0038"/>
    <w:rsid w:val="16D50C50"/>
    <w:rsid w:val="16E120E1"/>
    <w:rsid w:val="17385A05"/>
    <w:rsid w:val="173B3901"/>
    <w:rsid w:val="176747F9"/>
    <w:rsid w:val="17954A6E"/>
    <w:rsid w:val="179E70CC"/>
    <w:rsid w:val="17B547C4"/>
    <w:rsid w:val="180059E9"/>
    <w:rsid w:val="184510FD"/>
    <w:rsid w:val="18A30DDF"/>
    <w:rsid w:val="190648B0"/>
    <w:rsid w:val="19071D6C"/>
    <w:rsid w:val="193D73A4"/>
    <w:rsid w:val="198C0447"/>
    <w:rsid w:val="19D26CD4"/>
    <w:rsid w:val="19E60D19"/>
    <w:rsid w:val="1A3E3450"/>
    <w:rsid w:val="1AD807E5"/>
    <w:rsid w:val="1B39345B"/>
    <w:rsid w:val="1B3F0074"/>
    <w:rsid w:val="1BFB2A1F"/>
    <w:rsid w:val="1C015D4A"/>
    <w:rsid w:val="1C290ED5"/>
    <w:rsid w:val="1C317E4F"/>
    <w:rsid w:val="1C472464"/>
    <w:rsid w:val="1D22799A"/>
    <w:rsid w:val="1D48150A"/>
    <w:rsid w:val="1D5C1A72"/>
    <w:rsid w:val="1DAF458D"/>
    <w:rsid w:val="1E086ACE"/>
    <w:rsid w:val="1E62130A"/>
    <w:rsid w:val="1E97358B"/>
    <w:rsid w:val="1EAA4A5F"/>
    <w:rsid w:val="1EE869A7"/>
    <w:rsid w:val="1FA15E62"/>
    <w:rsid w:val="1FED69B6"/>
    <w:rsid w:val="205738CF"/>
    <w:rsid w:val="2064678E"/>
    <w:rsid w:val="20DC1AB9"/>
    <w:rsid w:val="20DD6197"/>
    <w:rsid w:val="212631E0"/>
    <w:rsid w:val="2177127E"/>
    <w:rsid w:val="219E57AD"/>
    <w:rsid w:val="21A53757"/>
    <w:rsid w:val="221236C6"/>
    <w:rsid w:val="22D7662C"/>
    <w:rsid w:val="23326B7F"/>
    <w:rsid w:val="233D59B2"/>
    <w:rsid w:val="2380045B"/>
    <w:rsid w:val="23BC04D2"/>
    <w:rsid w:val="23EF1892"/>
    <w:rsid w:val="243F1EC8"/>
    <w:rsid w:val="2483647E"/>
    <w:rsid w:val="24A32D55"/>
    <w:rsid w:val="25292727"/>
    <w:rsid w:val="252E5CA9"/>
    <w:rsid w:val="256F7692"/>
    <w:rsid w:val="25BA2154"/>
    <w:rsid w:val="25C8773F"/>
    <w:rsid w:val="264255CD"/>
    <w:rsid w:val="264A7253"/>
    <w:rsid w:val="26A820BD"/>
    <w:rsid w:val="26A968B1"/>
    <w:rsid w:val="26E87663"/>
    <w:rsid w:val="26F0170C"/>
    <w:rsid w:val="27004B25"/>
    <w:rsid w:val="27201D62"/>
    <w:rsid w:val="27286E73"/>
    <w:rsid w:val="275C7C46"/>
    <w:rsid w:val="27CF2642"/>
    <w:rsid w:val="27E777F5"/>
    <w:rsid w:val="27EA1D4C"/>
    <w:rsid w:val="27EA2E41"/>
    <w:rsid w:val="282459E2"/>
    <w:rsid w:val="283A7FE5"/>
    <w:rsid w:val="285F51FF"/>
    <w:rsid w:val="28DF2665"/>
    <w:rsid w:val="29072599"/>
    <w:rsid w:val="291029F3"/>
    <w:rsid w:val="29780915"/>
    <w:rsid w:val="29CB58F0"/>
    <w:rsid w:val="2A053397"/>
    <w:rsid w:val="2A145E96"/>
    <w:rsid w:val="2A7531D5"/>
    <w:rsid w:val="2ABD240A"/>
    <w:rsid w:val="2AF5378F"/>
    <w:rsid w:val="2B6F4B12"/>
    <w:rsid w:val="2BB94DBF"/>
    <w:rsid w:val="2C2622CD"/>
    <w:rsid w:val="2C6F314E"/>
    <w:rsid w:val="2CC206BE"/>
    <w:rsid w:val="2D1136DF"/>
    <w:rsid w:val="2D20606D"/>
    <w:rsid w:val="2DB87198"/>
    <w:rsid w:val="2DB93C54"/>
    <w:rsid w:val="2DD36FAC"/>
    <w:rsid w:val="2E2117AF"/>
    <w:rsid w:val="2E3D144C"/>
    <w:rsid w:val="2E891204"/>
    <w:rsid w:val="2F387872"/>
    <w:rsid w:val="2F3F0A28"/>
    <w:rsid w:val="2F68629F"/>
    <w:rsid w:val="2FBF7029"/>
    <w:rsid w:val="2FD0187F"/>
    <w:rsid w:val="2FD27414"/>
    <w:rsid w:val="2FFE4BB0"/>
    <w:rsid w:val="300E7B60"/>
    <w:rsid w:val="300F6E18"/>
    <w:rsid w:val="30441D58"/>
    <w:rsid w:val="30862F5F"/>
    <w:rsid w:val="30B24172"/>
    <w:rsid w:val="30C62540"/>
    <w:rsid w:val="31134319"/>
    <w:rsid w:val="314029C9"/>
    <w:rsid w:val="316C1EE3"/>
    <w:rsid w:val="31C63837"/>
    <w:rsid w:val="31C82E39"/>
    <w:rsid w:val="32601BAD"/>
    <w:rsid w:val="329F6389"/>
    <w:rsid w:val="32CF1DE5"/>
    <w:rsid w:val="336E1A52"/>
    <w:rsid w:val="3389023A"/>
    <w:rsid w:val="33CB74FA"/>
    <w:rsid w:val="343642F2"/>
    <w:rsid w:val="343F3010"/>
    <w:rsid w:val="345D0A00"/>
    <w:rsid w:val="34713BFD"/>
    <w:rsid w:val="34C13589"/>
    <w:rsid w:val="351D19C7"/>
    <w:rsid w:val="353369E3"/>
    <w:rsid w:val="354C16EB"/>
    <w:rsid w:val="35671FF7"/>
    <w:rsid w:val="35E00D72"/>
    <w:rsid w:val="36965B9D"/>
    <w:rsid w:val="36C008B5"/>
    <w:rsid w:val="36C549FD"/>
    <w:rsid w:val="375C4451"/>
    <w:rsid w:val="37A43AAB"/>
    <w:rsid w:val="37A755DD"/>
    <w:rsid w:val="37F94FA0"/>
    <w:rsid w:val="380D3381"/>
    <w:rsid w:val="38115B1F"/>
    <w:rsid w:val="382941A8"/>
    <w:rsid w:val="3857587E"/>
    <w:rsid w:val="385E3AC3"/>
    <w:rsid w:val="387D6B9E"/>
    <w:rsid w:val="38B75FF0"/>
    <w:rsid w:val="38D45016"/>
    <w:rsid w:val="38D90432"/>
    <w:rsid w:val="39065727"/>
    <w:rsid w:val="3914510A"/>
    <w:rsid w:val="3926770B"/>
    <w:rsid w:val="398D3668"/>
    <w:rsid w:val="39DA0497"/>
    <w:rsid w:val="39DE629A"/>
    <w:rsid w:val="3A893816"/>
    <w:rsid w:val="3A893B6D"/>
    <w:rsid w:val="3AD1763A"/>
    <w:rsid w:val="3ADD50BB"/>
    <w:rsid w:val="3B6716E3"/>
    <w:rsid w:val="3B6C53F1"/>
    <w:rsid w:val="3B6C6B2D"/>
    <w:rsid w:val="3C242659"/>
    <w:rsid w:val="3C96719C"/>
    <w:rsid w:val="3CA72BE8"/>
    <w:rsid w:val="3CA735CF"/>
    <w:rsid w:val="3CF37F8C"/>
    <w:rsid w:val="3D137554"/>
    <w:rsid w:val="3D5275AC"/>
    <w:rsid w:val="3DCC2473"/>
    <w:rsid w:val="3DEB0883"/>
    <w:rsid w:val="3E2527BF"/>
    <w:rsid w:val="3E731662"/>
    <w:rsid w:val="3E8168DD"/>
    <w:rsid w:val="3EA7725F"/>
    <w:rsid w:val="3EB03713"/>
    <w:rsid w:val="3EBF1A11"/>
    <w:rsid w:val="3EC52607"/>
    <w:rsid w:val="3EEC6CEF"/>
    <w:rsid w:val="3F183429"/>
    <w:rsid w:val="3F3018D0"/>
    <w:rsid w:val="3FB77A1D"/>
    <w:rsid w:val="3FDC3674"/>
    <w:rsid w:val="3FED7F8A"/>
    <w:rsid w:val="40094AEF"/>
    <w:rsid w:val="4024142B"/>
    <w:rsid w:val="405470BD"/>
    <w:rsid w:val="40794A29"/>
    <w:rsid w:val="40834692"/>
    <w:rsid w:val="41431AD5"/>
    <w:rsid w:val="414B3C0F"/>
    <w:rsid w:val="417C1CE7"/>
    <w:rsid w:val="41900018"/>
    <w:rsid w:val="41944406"/>
    <w:rsid w:val="41CE128F"/>
    <w:rsid w:val="41DA6F12"/>
    <w:rsid w:val="42171FB1"/>
    <w:rsid w:val="43255EE8"/>
    <w:rsid w:val="434E6957"/>
    <w:rsid w:val="43BA0E31"/>
    <w:rsid w:val="43C15147"/>
    <w:rsid w:val="43E14DD2"/>
    <w:rsid w:val="43F800E9"/>
    <w:rsid w:val="443A7E4B"/>
    <w:rsid w:val="452F5B3A"/>
    <w:rsid w:val="454E7FD2"/>
    <w:rsid w:val="45A44613"/>
    <w:rsid w:val="46061BDC"/>
    <w:rsid w:val="461404F8"/>
    <w:rsid w:val="46413018"/>
    <w:rsid w:val="464B7E04"/>
    <w:rsid w:val="465427BF"/>
    <w:rsid w:val="468041AA"/>
    <w:rsid w:val="468123C6"/>
    <w:rsid w:val="46901EEE"/>
    <w:rsid w:val="469C74D2"/>
    <w:rsid w:val="47445515"/>
    <w:rsid w:val="474B4782"/>
    <w:rsid w:val="47AD400C"/>
    <w:rsid w:val="47D90D14"/>
    <w:rsid w:val="48387FB0"/>
    <w:rsid w:val="483A6114"/>
    <w:rsid w:val="488727DB"/>
    <w:rsid w:val="48B82268"/>
    <w:rsid w:val="48C354B3"/>
    <w:rsid w:val="48D8709A"/>
    <w:rsid w:val="493D58B5"/>
    <w:rsid w:val="494A7A04"/>
    <w:rsid w:val="49D61A76"/>
    <w:rsid w:val="4A09360C"/>
    <w:rsid w:val="4A0A26D2"/>
    <w:rsid w:val="4A2019A5"/>
    <w:rsid w:val="4A241A0B"/>
    <w:rsid w:val="4A7B2875"/>
    <w:rsid w:val="4A934476"/>
    <w:rsid w:val="4AAA220A"/>
    <w:rsid w:val="4AE12E67"/>
    <w:rsid w:val="4B4C0111"/>
    <w:rsid w:val="4B5B2995"/>
    <w:rsid w:val="4B8553A9"/>
    <w:rsid w:val="4BDB3730"/>
    <w:rsid w:val="4C200F7A"/>
    <w:rsid w:val="4CA00EA7"/>
    <w:rsid w:val="4CD30434"/>
    <w:rsid w:val="4CEE3180"/>
    <w:rsid w:val="4D0F4AF6"/>
    <w:rsid w:val="4DF94F37"/>
    <w:rsid w:val="4E0A1DD5"/>
    <w:rsid w:val="4E3160E5"/>
    <w:rsid w:val="4E4D37AF"/>
    <w:rsid w:val="4E8C6496"/>
    <w:rsid w:val="4EFD18DE"/>
    <w:rsid w:val="4F144236"/>
    <w:rsid w:val="4F54583C"/>
    <w:rsid w:val="4F663C87"/>
    <w:rsid w:val="4F7E29A8"/>
    <w:rsid w:val="4F9E1FFC"/>
    <w:rsid w:val="5030487F"/>
    <w:rsid w:val="50447CC2"/>
    <w:rsid w:val="50874A7C"/>
    <w:rsid w:val="50895EE7"/>
    <w:rsid w:val="50921B9D"/>
    <w:rsid w:val="50BA0169"/>
    <w:rsid w:val="50D16158"/>
    <w:rsid w:val="50DB5F45"/>
    <w:rsid w:val="51025EB1"/>
    <w:rsid w:val="51141503"/>
    <w:rsid w:val="515F7E14"/>
    <w:rsid w:val="518D0ED5"/>
    <w:rsid w:val="51B40FA3"/>
    <w:rsid w:val="525C687F"/>
    <w:rsid w:val="52714313"/>
    <w:rsid w:val="52730375"/>
    <w:rsid w:val="52F647F7"/>
    <w:rsid w:val="52F92565"/>
    <w:rsid w:val="53AD6680"/>
    <w:rsid w:val="53D03877"/>
    <w:rsid w:val="542F73CA"/>
    <w:rsid w:val="5430786D"/>
    <w:rsid w:val="54C811C0"/>
    <w:rsid w:val="556A442D"/>
    <w:rsid w:val="55837795"/>
    <w:rsid w:val="55DA564E"/>
    <w:rsid w:val="5604127D"/>
    <w:rsid w:val="56166703"/>
    <w:rsid w:val="56510474"/>
    <w:rsid w:val="56861525"/>
    <w:rsid w:val="56A93273"/>
    <w:rsid w:val="56BD550C"/>
    <w:rsid w:val="56E07045"/>
    <w:rsid w:val="56FF28AF"/>
    <w:rsid w:val="571774AB"/>
    <w:rsid w:val="57540E7D"/>
    <w:rsid w:val="577B4878"/>
    <w:rsid w:val="57926973"/>
    <w:rsid w:val="58175352"/>
    <w:rsid w:val="581F2200"/>
    <w:rsid w:val="583059FA"/>
    <w:rsid w:val="584A0929"/>
    <w:rsid w:val="58CD2491"/>
    <w:rsid w:val="58DC1FC7"/>
    <w:rsid w:val="591B41B2"/>
    <w:rsid w:val="59254A26"/>
    <w:rsid w:val="59326325"/>
    <w:rsid w:val="59563F13"/>
    <w:rsid w:val="595C505B"/>
    <w:rsid w:val="595E55C3"/>
    <w:rsid w:val="596E7E20"/>
    <w:rsid w:val="5A60780B"/>
    <w:rsid w:val="5AA043E6"/>
    <w:rsid w:val="5AB34579"/>
    <w:rsid w:val="5AFC6609"/>
    <w:rsid w:val="5B113480"/>
    <w:rsid w:val="5BD456CE"/>
    <w:rsid w:val="5C0D1F49"/>
    <w:rsid w:val="5C3B3FBE"/>
    <w:rsid w:val="5CBB0CE2"/>
    <w:rsid w:val="5CC17177"/>
    <w:rsid w:val="5CF306BC"/>
    <w:rsid w:val="5D0330FC"/>
    <w:rsid w:val="5D3F3D64"/>
    <w:rsid w:val="5D824B97"/>
    <w:rsid w:val="5D833043"/>
    <w:rsid w:val="5DB57820"/>
    <w:rsid w:val="5DD92690"/>
    <w:rsid w:val="5DDB1CFD"/>
    <w:rsid w:val="5E1B0C63"/>
    <w:rsid w:val="5E7E6D93"/>
    <w:rsid w:val="5EA30D3F"/>
    <w:rsid w:val="5ED44800"/>
    <w:rsid w:val="5F2E4DAC"/>
    <w:rsid w:val="5F350BDE"/>
    <w:rsid w:val="5F532C38"/>
    <w:rsid w:val="5F61632C"/>
    <w:rsid w:val="5FA17648"/>
    <w:rsid w:val="5FE705CB"/>
    <w:rsid w:val="603D5080"/>
    <w:rsid w:val="609A5079"/>
    <w:rsid w:val="60D0261B"/>
    <w:rsid w:val="618E3791"/>
    <w:rsid w:val="61947DCA"/>
    <w:rsid w:val="61A46A97"/>
    <w:rsid w:val="61BD39DD"/>
    <w:rsid w:val="61D1382F"/>
    <w:rsid w:val="61F114A2"/>
    <w:rsid w:val="62512BB4"/>
    <w:rsid w:val="625D7D1A"/>
    <w:rsid w:val="62AA402D"/>
    <w:rsid w:val="62B71B1D"/>
    <w:rsid w:val="62DD7D21"/>
    <w:rsid w:val="637D586B"/>
    <w:rsid w:val="63A5560B"/>
    <w:rsid w:val="63E9091F"/>
    <w:rsid w:val="63F246A2"/>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DC4182"/>
    <w:rsid w:val="68FB170C"/>
    <w:rsid w:val="691B3D98"/>
    <w:rsid w:val="693748F0"/>
    <w:rsid w:val="69846A0E"/>
    <w:rsid w:val="69AD798C"/>
    <w:rsid w:val="69D005C0"/>
    <w:rsid w:val="69D14E65"/>
    <w:rsid w:val="69D80B96"/>
    <w:rsid w:val="6B68175F"/>
    <w:rsid w:val="6BFD799F"/>
    <w:rsid w:val="6C241F5D"/>
    <w:rsid w:val="6C4A2E5A"/>
    <w:rsid w:val="6C5931C9"/>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DA4CFA"/>
    <w:rsid w:val="7111480F"/>
    <w:rsid w:val="71261F49"/>
    <w:rsid w:val="712E6956"/>
    <w:rsid w:val="71473612"/>
    <w:rsid w:val="71504F32"/>
    <w:rsid w:val="7152309F"/>
    <w:rsid w:val="718F7F65"/>
    <w:rsid w:val="71F13E7A"/>
    <w:rsid w:val="727A665F"/>
    <w:rsid w:val="727B234E"/>
    <w:rsid w:val="72D068C7"/>
    <w:rsid w:val="72E42ED8"/>
    <w:rsid w:val="730A608C"/>
    <w:rsid w:val="735F4CB9"/>
    <w:rsid w:val="73674C62"/>
    <w:rsid w:val="73845865"/>
    <w:rsid w:val="739B6D9E"/>
    <w:rsid w:val="73BC1D76"/>
    <w:rsid w:val="73FB6630"/>
    <w:rsid w:val="748D790E"/>
    <w:rsid w:val="749820CC"/>
    <w:rsid w:val="749B2AEC"/>
    <w:rsid w:val="74CE04EC"/>
    <w:rsid w:val="74E76DCD"/>
    <w:rsid w:val="751D7C0A"/>
    <w:rsid w:val="75722D56"/>
    <w:rsid w:val="75DB5477"/>
    <w:rsid w:val="75FC6AC3"/>
    <w:rsid w:val="7616619B"/>
    <w:rsid w:val="76660D7C"/>
    <w:rsid w:val="766C5968"/>
    <w:rsid w:val="76BE0C8F"/>
    <w:rsid w:val="76CD53B2"/>
    <w:rsid w:val="770719AC"/>
    <w:rsid w:val="775C0789"/>
    <w:rsid w:val="776526CC"/>
    <w:rsid w:val="77A262E1"/>
    <w:rsid w:val="77B13C33"/>
    <w:rsid w:val="77ED6F44"/>
    <w:rsid w:val="77F45548"/>
    <w:rsid w:val="77F5239E"/>
    <w:rsid w:val="784E7CA6"/>
    <w:rsid w:val="78574801"/>
    <w:rsid w:val="7873527F"/>
    <w:rsid w:val="790A6425"/>
    <w:rsid w:val="790E2D96"/>
    <w:rsid w:val="791B54B2"/>
    <w:rsid w:val="794A026E"/>
    <w:rsid w:val="795A0A34"/>
    <w:rsid w:val="797339C3"/>
    <w:rsid w:val="79AE13E6"/>
    <w:rsid w:val="79D57D57"/>
    <w:rsid w:val="79F00650"/>
    <w:rsid w:val="7A6242BF"/>
    <w:rsid w:val="7A794513"/>
    <w:rsid w:val="7A81707C"/>
    <w:rsid w:val="7AE952D2"/>
    <w:rsid w:val="7AF01293"/>
    <w:rsid w:val="7BF140C9"/>
    <w:rsid w:val="7C976D69"/>
    <w:rsid w:val="7CD752DA"/>
    <w:rsid w:val="7CDE40AB"/>
    <w:rsid w:val="7CF057E2"/>
    <w:rsid w:val="7D1548B5"/>
    <w:rsid w:val="7D5B30C0"/>
    <w:rsid w:val="7D8F6AA8"/>
    <w:rsid w:val="7DF84014"/>
    <w:rsid w:val="7E207949"/>
    <w:rsid w:val="7E5C0A47"/>
    <w:rsid w:val="7E670C75"/>
    <w:rsid w:val="7E762C2A"/>
    <w:rsid w:val="7EE24272"/>
    <w:rsid w:val="7EEA6053"/>
    <w:rsid w:val="7F1515F7"/>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16</TotalTime>
  <ScaleCrop>false</ScaleCrop>
  <LinksUpToDate>false</LinksUpToDate>
  <CharactersWithSpaces>20940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2024-11-19T11:06:06Z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