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库尔勒市英下乡人民政府</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负责贯彻落实新时代党的组织路线和以</w:t>
      </w:r>
      <w:bookmarkStart w:id="48" w:name="_GoBack"/>
      <w:bookmarkEnd w:id="48"/>
      <w:r>
        <w:rPr>
          <w:rFonts w:hint="eastAsia" w:ascii="仿宋_GB2312" w:eastAsia="仿宋_GB2312"/>
          <w:color w:val="auto"/>
          <w:sz w:val="32"/>
          <w:szCs w:val="32"/>
          <w:highlight w:val="none"/>
          <w:lang w:val="en-US" w:eastAsia="zh-CN"/>
        </w:rPr>
        <w:t>习近平同志为核心的党中央治疆方略、聚焦服务社会稳定和长治久安总目标，落实党中央、自治区党委、州委和市委关于组织体系、领导班子建设，领导干部队伍、公务员队伍、人才队伍、离退休干部建设的方针政策和决策部署。</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主要职责是：</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执行本级人民代表大会的决议和上级国家行政机关的决定和命令，发布决定和命令。</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执行本行政区域内的经济和社会发展计划、预算，管理本行政区域内的经济、教育、科学、文化、卫生、体育事业、财政、民政、司法行政、计划生育等行政工作。</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保护各种经济组织的合法权益。</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保障少数民族的权利和尊重少数民族的风俗习惯。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办理上级人民政府交办的其他事项。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库尔勒市英下乡人民政府</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16</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本部门</w:t>
      </w:r>
      <w:r>
        <w:rPr>
          <w:rFonts w:hint="eastAsia" w:ascii="仿宋_GB2312" w:hAnsi="黑体" w:eastAsia="仿宋_GB2312" w:cs="宋体"/>
          <w:bCs/>
          <w:color w:val="auto"/>
          <w:kern w:val="0"/>
          <w:sz w:val="32"/>
          <w:szCs w:val="32"/>
          <w:highlight w:val="none"/>
        </w:rPr>
        <w:t>无下属预算单位，下设</w:t>
      </w:r>
      <w:r>
        <w:rPr>
          <w:rFonts w:hint="eastAsia" w:ascii="仿宋_GB2312" w:eastAsia="仿宋_GB2312"/>
          <w:color w:val="auto"/>
          <w:sz w:val="32"/>
          <w:szCs w:val="32"/>
          <w:highlight w:val="none"/>
          <w:lang w:val="en-US" w:eastAsia="zh-CN"/>
        </w:rPr>
        <w:t>6</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仿宋_GB2312"/>
          <w:kern w:val="0"/>
          <w:sz w:val="32"/>
          <w:szCs w:val="32"/>
          <w:lang w:bidi="ar"/>
        </w:rPr>
        <w:t>农业（畜牧业）发展</w:t>
      </w:r>
      <w:r>
        <w:rPr>
          <w:rFonts w:hint="eastAsia" w:ascii="仿宋_GB2312" w:hAnsi="宋体" w:eastAsia="仿宋_GB2312" w:cs="仿宋_GB2312"/>
          <w:kern w:val="0"/>
          <w:sz w:val="32"/>
          <w:szCs w:val="32"/>
          <w:lang w:eastAsia="zh-CN" w:bidi="ar"/>
        </w:rPr>
        <w:t>服务</w:t>
      </w:r>
      <w:r>
        <w:rPr>
          <w:rFonts w:hint="eastAsia" w:ascii="仿宋_GB2312" w:hAnsi="宋体" w:eastAsia="仿宋_GB2312" w:cs="仿宋_GB2312"/>
          <w:kern w:val="0"/>
          <w:sz w:val="32"/>
          <w:szCs w:val="32"/>
          <w:lang w:bidi="ar"/>
        </w:rPr>
        <w:t>中心，文化体育广播电视服务中心，社会保障（民政）服务中心，财政所（农村合作经济经营管理服务站），村镇规划建设发展服务中心（环境保护工作站），人口和计划生育生殖健康服</w:t>
      </w:r>
      <w:r>
        <w:rPr>
          <w:rFonts w:hint="eastAsia" w:ascii="仿宋_GB2312" w:hAnsi="宋体" w:eastAsia="仿宋_GB2312" w:cs="仿宋_GB2312"/>
          <w:color w:val="auto"/>
          <w:kern w:val="0"/>
          <w:sz w:val="32"/>
          <w:szCs w:val="32"/>
          <w:lang w:bidi="ar"/>
        </w:rPr>
        <w:t>务站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8,776.46万元，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8,776.46万元，使用非财政拨款结余0.00万元，年初结转和结余0.00万元。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8,776.46万元，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8,776.46万元，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增加5,128.39万元</w:t>
      </w:r>
      <w:r>
        <w:rPr>
          <w:rFonts w:hint="eastAsia" w:ascii="仿宋_GB2312" w:eastAsia="仿宋_GB2312"/>
          <w:color w:val="auto"/>
          <w:spacing w:val="0"/>
          <w:sz w:val="32"/>
          <w:szCs w:val="32"/>
          <w:highlight w:val="none"/>
          <w:lang w:eastAsia="zh-CN"/>
        </w:rPr>
        <w:t>，增长140.58%，主要原因是：</w:t>
      </w:r>
      <w:r>
        <w:rPr>
          <w:rFonts w:hint="eastAsia" w:ascii="仿宋_GB2312" w:eastAsia="仿宋_GB2312"/>
          <w:sz w:val="32"/>
          <w:szCs w:val="32"/>
          <w:highlight w:val="none"/>
          <w:lang w:val="en-US" w:eastAsia="zh-CN"/>
        </w:rPr>
        <w:t>2023年我乡喀尔巴格村创建自治区乡村振兴示范村相应的乡村振兴及配套项目资金增加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8,776.46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8,776.46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本年支出8,776.46万元，其中：基本支出2,241.62万元，占25.54%；项目支出6,534.84万元，占74.46%；上缴上级支出0.00万元，占0.00%；经营支出0.00万元，占0.00%；对附属单位补助支出0.00万元，占0.00%。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8,776.46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8,776.46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8,776.46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8,776.46</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增加5,128.39万元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增长140.58%,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lang w:val="en-US" w:eastAsia="zh-CN"/>
        </w:rPr>
        <w:t>2023年我乡喀尔巴格村创建自治区乡村振兴示范村相应的乡村振兴及配套项目资金增加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6,206.25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8,776.46</w:t>
      </w:r>
      <w:r>
        <w:rPr>
          <w:rFonts w:hint="eastAsia" w:ascii="仿宋_GB2312" w:eastAsia="仿宋_GB2312"/>
          <w:color w:val="auto"/>
          <w:spacing w:val="0"/>
          <w:sz w:val="32"/>
          <w:szCs w:val="32"/>
          <w:highlight w:val="none"/>
          <w:lang w:eastAsia="zh-CN"/>
        </w:rPr>
        <w:t>万元，预决算差异率41.41%，主要原因是：</w:t>
      </w:r>
      <w:r>
        <w:rPr>
          <w:rFonts w:hint="eastAsia" w:ascii="仿宋_GB2312" w:eastAsia="仿宋_GB2312"/>
          <w:sz w:val="32"/>
          <w:szCs w:val="32"/>
          <w:highlight w:val="none"/>
          <w:lang w:val="en-US" w:eastAsia="zh-CN"/>
        </w:rPr>
        <w:t>2023年我乡喀尔巴格村创建自治区乡村振兴示范村相应的乡村振兴及配套项目资金增加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2023年度一般公共预算财政拨款支出8,758.32万元，占本年支出合计的</w:t>
      </w:r>
      <w:r>
        <w:rPr>
          <w:rFonts w:hint="eastAsia" w:ascii="仿宋_GB2312" w:eastAsia="仿宋_GB2312"/>
          <w:color w:val="auto"/>
          <w:spacing w:val="0"/>
          <w:sz w:val="32"/>
          <w:szCs w:val="32"/>
          <w:highlight w:val="none"/>
          <w:lang w:val="zh-CN" w:eastAsia="zh-CN"/>
        </w:rPr>
        <w:t>99.79%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增加5,127.71万元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增长141.24%,</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lang w:val="en-US" w:eastAsia="zh-CN"/>
        </w:rPr>
        <w:t>2023年我乡喀尔巴格村创建自治区乡村振兴示范村相应的乡村振兴及配套项目资金增加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6,206.19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8,758.32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41.12%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lang w:val="en-US" w:eastAsia="zh-CN"/>
        </w:rPr>
        <w:t>2023年我乡喀尔巴格村创建自治区乡村振兴示范村相应的乡村振兴及配套项目资金增加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1,770.93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20.22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6.83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2.91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127.42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1.45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110.12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6</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节能环保支出（类）</w:t>
      </w:r>
      <w:r>
        <w:rPr>
          <w:rFonts w:hint="eastAsia" w:ascii="仿宋_GB2312" w:hAnsi="Times New Roman" w:eastAsia="仿宋_GB2312" w:cs="Times New Roman"/>
          <w:color w:val="auto"/>
          <w:spacing w:val="0"/>
          <w:kern w:val="2"/>
          <w:sz w:val="32"/>
          <w:szCs w:val="32"/>
          <w:highlight w:val="none"/>
          <w:lang w:val="zh-CN" w:eastAsia="zh-CN" w:bidi="ar-SA"/>
        </w:rPr>
        <w:t>461.62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5.27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7</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5,847.20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66.76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8</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70.10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0.80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9</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361.20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4.12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lang w:eastAsia="zh-CN"/>
        </w:rPr>
        <w:t>）一般公共预算财政拨款支出决算具体情况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1.一般公共服务支出（类）人大事务（款）代表工作（项）:支出决算数为0.20万元，比上年决算增加0.20万元，增长100%，主要原因是：</w:t>
      </w:r>
      <w:r>
        <w:rPr>
          <w:rFonts w:hint="eastAsia" w:eastAsia="仿宋_GB2312" w:cs="Times New Roman"/>
          <w:color w:val="auto"/>
          <w:kern w:val="2"/>
          <w:sz w:val="32"/>
          <w:szCs w:val="32"/>
          <w:highlight w:val="none"/>
          <w:lang w:val="en-US" w:eastAsia="zh-CN" w:bidi="ar-SA"/>
        </w:rPr>
        <w:t>2022年因疫情严峻，无法开展人大代表活动，2023年开展活动次数增加，相应的支出也增加</w:t>
      </w:r>
      <w:r>
        <w:rPr>
          <w:rFonts w:hint="eastAsia" w:eastAsia="仿宋_GB2312" w:cs="Times New Roman"/>
          <w:color w:val="auto"/>
          <w:kern w:val="2"/>
          <w:sz w:val="32"/>
          <w:szCs w:val="32"/>
          <w:highlight w:val="none"/>
          <w:lang w:val="zh-CN" w:eastAsia="zh-CN" w:bidi="ar-SA"/>
        </w:rPr>
        <w:t>。</w:t>
      </w:r>
    </w:p>
    <w:p>
      <w:pPr>
        <w:ind w:firstLine="640" w:firstLineChars="200"/>
        <w:rPr>
          <w:rFonts w:hint="eastAsia" w:eastAsia="仿宋_GB2312" w:cs="Times New Roman"/>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2.一般公共服务支出（类）政府办公厅（室）及相关机构事务（款）行政运行（项）:支出决算数为1,637.04万元，比上年决算增加712.16万元，增长77.00%，主要原因是：</w:t>
      </w:r>
      <w:r>
        <w:rPr>
          <w:rFonts w:hint="eastAsia" w:eastAsia="仿宋_GB2312" w:cs="Times New Roman"/>
          <w:color w:val="auto"/>
          <w:kern w:val="2"/>
          <w:sz w:val="32"/>
          <w:szCs w:val="32"/>
          <w:highlight w:val="none"/>
          <w:lang w:val="en-US" w:eastAsia="zh-CN" w:bidi="ar-SA"/>
        </w:rPr>
        <w:t>2023年度人员经费增加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3.一般公共服务支出（类）政府办公厅（室）及相关机构事务（款）其他政府办公厅（室）及相关机构事务支出（项）:支出决算数为11.11万元，比上年决算减少146.63万元，下降92.96%，主要原因是：</w:t>
      </w:r>
      <w:r>
        <w:rPr>
          <w:rFonts w:hint="eastAsia" w:eastAsia="仿宋_GB2312" w:cs="Times New Roman"/>
          <w:color w:val="auto"/>
          <w:kern w:val="2"/>
          <w:sz w:val="32"/>
          <w:szCs w:val="32"/>
          <w:highlight w:val="none"/>
          <w:lang w:val="en-US" w:eastAsia="zh-CN" w:bidi="ar-SA"/>
        </w:rPr>
        <w:t>2023年因财政资金紧缺，相应的经费资金压缩开支，所以相应的支出减少。</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4.一般公共服务支出（类）纪检监察事务（款）其他纪检监察事务支出（项）:支出决算数为1.87万元，比上年决算增加1.24万元，增长196.83%，主要原因是：</w:t>
      </w:r>
      <w:r>
        <w:rPr>
          <w:rFonts w:hint="eastAsia" w:eastAsia="仿宋_GB2312" w:cs="Times New Roman"/>
          <w:color w:val="auto"/>
          <w:kern w:val="2"/>
          <w:sz w:val="32"/>
          <w:szCs w:val="32"/>
          <w:highlight w:val="none"/>
          <w:lang w:val="en-US" w:eastAsia="zh-CN" w:bidi="ar-SA"/>
        </w:rPr>
        <w:t>2022年纪检工作经费有结余资金，2023年安排支付，所以相应的支出增加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5.一般公共服务支出（类）组织事务（款）其他组织事务支出（项）:支出决算数为109.96万元，比上年决算减少4.02万元，下降3.53%，主要原因是：2023年访惠聚工作人员减少，相应的访惠聚补助也减少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一般公共服务支出（类）统战事务（款）其他统战事务支出（项）:支出决算数为10.75万元，比上年决算减少2.04万元，下降15.95%，主要原因是：2023年6月我部门两个寺管会合并并减少寺管会人员数，相应的支出也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7.国防支出（类）国防动员（款）民兵（项）:支出决算数为0.00万元，比上年决算减少2.45万元，下降100%，主要原因是：</w:t>
      </w:r>
      <w:r>
        <w:rPr>
          <w:rFonts w:hint="eastAsia" w:ascii="Times New Roman" w:hAnsi="Times New Roman" w:eastAsia="仿宋_GB2312" w:cs="Times New Roman"/>
          <w:color w:val="auto"/>
          <w:kern w:val="2"/>
          <w:sz w:val="32"/>
          <w:szCs w:val="32"/>
          <w:highlight w:val="none"/>
          <w:lang w:val="en-US" w:eastAsia="zh-CN" w:bidi="ar-SA"/>
        </w:rPr>
        <w:t>2023年度我镇未安排此项预算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8.教育支出（类）进修及培训（款）培训支出（项）:支出决算数为6.83万元，比上年决算增加4.84万元，增长243.22%，主要原因是：</w:t>
      </w:r>
      <w:r>
        <w:rPr>
          <w:rFonts w:hint="eastAsia" w:eastAsia="仿宋_GB2312" w:cs="Times New Roman"/>
          <w:color w:val="auto"/>
          <w:kern w:val="2"/>
          <w:sz w:val="32"/>
          <w:szCs w:val="32"/>
          <w:highlight w:val="none"/>
          <w:lang w:val="en-US" w:eastAsia="zh-CN" w:bidi="ar-SA"/>
        </w:rPr>
        <w:t>2022年疫情严峻，外出培训及考察少，2023年各级部门安排培训次数增加，相应的培训费也增加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9.文化旅游体育与传媒支出（类）文化和旅游（款）其他文化和旅游支出（项）:支出决算数为2.55万元，比上年决算减少22.05万元，下降89.63%，主要原因是：</w:t>
      </w:r>
      <w:r>
        <w:rPr>
          <w:rFonts w:hint="eastAsia" w:eastAsia="仿宋_GB2312" w:cs="Times New Roman"/>
          <w:color w:val="auto"/>
          <w:kern w:val="2"/>
          <w:sz w:val="32"/>
          <w:szCs w:val="32"/>
          <w:highlight w:val="none"/>
          <w:lang w:val="en-US" w:eastAsia="zh-CN" w:bidi="ar-SA"/>
        </w:rPr>
        <w:t>按照上级相关文件精神，文化站人员及公用经费并入英下乡政府主科目，此科目支出相应减少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10.文化旅游体育与传媒支出（类）其他文化旅游体育与传媒支出（款）其他文化旅游体育与传媒支出（项）:支出决算数为0.36万元，比上年决算增加0.02万元，增长5.88%，主要原因是：</w:t>
      </w:r>
      <w:r>
        <w:rPr>
          <w:rFonts w:hint="eastAsia" w:eastAsia="仿宋_GB2312" w:cs="Times New Roman"/>
          <w:color w:val="auto"/>
          <w:kern w:val="2"/>
          <w:sz w:val="32"/>
          <w:szCs w:val="32"/>
          <w:highlight w:val="none"/>
          <w:lang w:val="en-US" w:eastAsia="zh-CN" w:bidi="ar-SA"/>
        </w:rPr>
        <w:t>2023年文化活动次数增加导致相应的支出增加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11.社会保障和就业支出（类）行政事业单位养老支出（款）行政单位离退休（项）:支出决算数为10.22万元，比上年决算减少2.11万元，下降17.11%，主要原因是：</w:t>
      </w:r>
      <w:r>
        <w:rPr>
          <w:rFonts w:hint="eastAsia" w:eastAsia="仿宋_GB2312" w:cs="Times New Roman"/>
          <w:color w:val="auto"/>
          <w:kern w:val="2"/>
          <w:sz w:val="32"/>
          <w:szCs w:val="32"/>
          <w:highlight w:val="none"/>
          <w:lang w:val="en-US" w:eastAsia="zh-CN" w:bidi="ar-SA"/>
        </w:rPr>
        <w:t>2023年年满医保退休年龄的退休人员没有缴纳基本医疗保险，所以减少相应的支出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12.</w:t>
      </w:r>
      <w:r>
        <w:rPr>
          <w:rFonts w:hint="eastAsia" w:ascii="仿宋_GB2312" w:hAnsi="仿宋_GB2312" w:eastAsia="仿宋_GB2312" w:cs="仿宋_GB2312"/>
          <w:color w:val="auto"/>
          <w:kern w:val="2"/>
          <w:sz w:val="32"/>
          <w:szCs w:val="32"/>
          <w:highlight w:val="none"/>
          <w:lang w:val="en-US" w:eastAsia="zh-CN" w:bidi="ar-SA"/>
        </w:rPr>
        <w:t>社会保障和就业支出（类）行政事业单位养老支出（款）机关事业单位基本养老保险缴费支出（项）:支出决算数为109.75万元，比上年决算增加18.14万元，增长19.80%，主要原因是：</w:t>
      </w:r>
      <w:r>
        <w:rPr>
          <w:rFonts w:hint="eastAsia" w:eastAsia="仿宋_GB2312" w:cs="Times New Roman"/>
          <w:color w:val="auto"/>
          <w:kern w:val="2"/>
          <w:sz w:val="32"/>
          <w:szCs w:val="32"/>
          <w:highlight w:val="none"/>
          <w:lang w:val="en-US" w:eastAsia="zh-CN" w:bidi="ar-SA"/>
        </w:rPr>
        <w:t>2023年人员工资的增加，相应的缴纳养老金基数增加，相应的基本养老保险支出增加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13.社会保障和就业支出（类）行政事业单位养老支出（款）机关事业单位职业年金缴费支出（项）:支出决算数为7.45万元，比上年决算减少0.10万元，下降1.32%，主要原因是：</w:t>
      </w:r>
      <w:r>
        <w:rPr>
          <w:rFonts w:hint="eastAsia" w:eastAsia="仿宋_GB2312" w:cs="Times New Roman"/>
          <w:color w:val="auto"/>
          <w:kern w:val="2"/>
          <w:sz w:val="32"/>
          <w:szCs w:val="32"/>
          <w:highlight w:val="none"/>
          <w:lang w:val="en-US" w:eastAsia="zh-CN" w:bidi="ar-SA"/>
        </w:rPr>
        <w:t>2023年退休人员的缴纳地职业年金基数减少，相应的支出减少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14.社会保障和就业支出（类）就业补助（款）公益性岗位补贴（项）:支出决算数为0.00万元，比上年决算减少495.96万元，下降100%，主要原因是：</w:t>
      </w:r>
      <w:r>
        <w:rPr>
          <w:rFonts w:hint="eastAsia" w:eastAsia="仿宋_GB2312" w:cs="Times New Roman"/>
          <w:color w:val="auto"/>
          <w:kern w:val="2"/>
          <w:sz w:val="32"/>
          <w:szCs w:val="32"/>
          <w:highlight w:val="none"/>
          <w:lang w:val="en-US" w:eastAsia="zh-CN" w:bidi="ar-SA"/>
        </w:rPr>
        <w:t>2023年我乡对公益性岗位人员进行优化，公益性岗位人员减少，此款项支出相应减少。</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15.卫生健康支出（类）公共卫生（款）突发公共卫生事件应急处理（项）:支出决算数为54.00万元，比上年决算增加12.00万元，增长28.57%，主要原因是：</w:t>
      </w:r>
      <w:r>
        <w:rPr>
          <w:rFonts w:hint="eastAsia" w:eastAsia="仿宋_GB2312" w:cs="Times New Roman"/>
          <w:color w:val="auto"/>
          <w:kern w:val="2"/>
          <w:sz w:val="32"/>
          <w:szCs w:val="32"/>
          <w:highlight w:val="none"/>
          <w:lang w:val="en-US" w:eastAsia="zh-CN" w:bidi="ar-SA"/>
        </w:rPr>
        <w:t>2022年因新冠疫情形势需要，上级划拨我镇隔离点餐费，2023年疫情结束，支付2022年隔离点餐费欠款所以相应的支出增加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16.卫生健康支出（类）计划生育事务（款）其他计划生育事务支出（项）:支出决算数为0.00万元，比上年决算减少20.92万元，下降100%，主要原因是：</w:t>
      </w:r>
      <w:r>
        <w:rPr>
          <w:rFonts w:hint="eastAsia" w:eastAsia="仿宋_GB2312" w:cs="Times New Roman"/>
          <w:color w:val="auto"/>
          <w:kern w:val="2"/>
          <w:sz w:val="32"/>
          <w:szCs w:val="32"/>
          <w:highlight w:val="none"/>
          <w:lang w:val="en-US" w:eastAsia="zh-CN" w:bidi="ar-SA"/>
        </w:rPr>
        <w:t>按照上级相关文件精神，计划生育办公室人员及公用经费并入英下乡政府主科目，此科目支出相应减少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17.卫生健康支出（类）行政事业单位医疗（款）行政单位医疗（项）:支出决算数为47.84万元，比上年决算减少0.16万元，下降0.33%，主要原因是：2</w:t>
      </w:r>
      <w:r>
        <w:rPr>
          <w:rFonts w:hint="eastAsia" w:eastAsia="仿宋_GB2312" w:cs="Times New Roman"/>
          <w:color w:val="auto"/>
          <w:kern w:val="2"/>
          <w:sz w:val="32"/>
          <w:szCs w:val="32"/>
          <w:highlight w:val="none"/>
          <w:lang w:val="en-US" w:eastAsia="zh-CN" w:bidi="ar-SA"/>
        </w:rPr>
        <w:t>023年退休两人，减少在职人员基本医疗保险基数，相应的行政单位医疗支出也减少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18.</w:t>
      </w:r>
      <w:r>
        <w:rPr>
          <w:rFonts w:hint="eastAsia" w:ascii="仿宋_GB2312" w:hAnsi="仿宋_GB2312" w:eastAsia="仿宋_GB2312" w:cs="仿宋_GB2312"/>
          <w:color w:val="auto"/>
          <w:kern w:val="2"/>
          <w:sz w:val="32"/>
          <w:szCs w:val="32"/>
          <w:highlight w:val="none"/>
          <w:lang w:val="en-US" w:eastAsia="zh-CN" w:bidi="ar-SA"/>
        </w:rPr>
        <w:t>卫生健康支出（类）行政事业单位医疗（款）公务员医疗补助（项）:支出决算数为8.29万元，比上年决算增加8.29万元，增长100%，主要原因是：2022年公务员医疗补助科目合并到行政单位医疗原因，2023年单独列此项科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19.节能环保支出（类）环境保护管理事务（款）其他环境保护管理事务支出（项）:支出决算数为0.00万元，比上年决算减少44.19万元，下降100%，主要原因是：</w:t>
      </w:r>
      <w:r>
        <w:rPr>
          <w:rFonts w:hint="eastAsia" w:eastAsia="仿宋_GB2312" w:cs="Times New Roman"/>
          <w:color w:val="auto"/>
          <w:kern w:val="2"/>
          <w:sz w:val="32"/>
          <w:szCs w:val="32"/>
          <w:highlight w:val="none"/>
          <w:lang w:val="en-US" w:eastAsia="zh-CN" w:bidi="ar-SA"/>
        </w:rPr>
        <w:t>按照上级相关文件精神，规划所和国土所人员及公用经费并入英下乡政府主科目，此科目支出相应减少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20.节能环保支出（类）自然生态保护（款）生态保护（项）:支出决算数为0.00万元，比上年决算减少359.60万元，下降100%，主要原因是：2023年我乡未填列此项预算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21.节能环保支出（类）自然生态保护（款）农村环境保护（项）:支出决算数为461.62万元，比上年决算增加421.62万元，增长1054.05%，主要原因是：</w:t>
      </w:r>
      <w:r>
        <w:rPr>
          <w:rFonts w:hint="eastAsia" w:ascii="仿宋_GB2312" w:eastAsia="仿宋_GB2312"/>
          <w:sz w:val="32"/>
          <w:szCs w:val="32"/>
          <w:highlight w:val="none"/>
          <w:lang w:val="en-US" w:eastAsia="zh-CN"/>
        </w:rPr>
        <w:t>2023年我乡喀尔巴格村创建自治区乡村振兴示范村相应的乡村振兴及配套项目资金增加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22.节能环保支出（类）自然生态保护（款）草原生态修复治理（项）:支出决算数为0.00万元，比上年决算减少178.78万元，下降100%，主要原因是：2023年我乡未填列此项预算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23.农林水支出（类）农业农村（款）事业运行（项）:支出决算数为0.00万元，比上年决算减少158.36万元，下降100%，主要原因是：</w:t>
      </w:r>
      <w:r>
        <w:rPr>
          <w:rFonts w:hint="eastAsia" w:eastAsia="仿宋_GB2312" w:cs="Times New Roman"/>
          <w:color w:val="auto"/>
          <w:kern w:val="2"/>
          <w:sz w:val="32"/>
          <w:szCs w:val="32"/>
          <w:highlight w:val="none"/>
          <w:lang w:val="en-US" w:eastAsia="zh-CN" w:bidi="ar-SA"/>
        </w:rPr>
        <w:t>按照上级相关文件精神，农业发展中心人员及公用经费并入英下乡政府主科目，此科目支出相应减少。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24.农林水支出（类）巩固脱贫攻坚成果衔接乡村振兴（款）农村基础设施建设（项）:支出决算数为204.00万元，比上年决算增加204.00万元，增长100%，主要原因是：2</w:t>
      </w:r>
      <w:r>
        <w:rPr>
          <w:rFonts w:hint="eastAsia" w:ascii="仿宋_GB2312" w:eastAsia="仿宋_GB2312"/>
          <w:sz w:val="32"/>
          <w:szCs w:val="32"/>
          <w:highlight w:val="none"/>
          <w:lang w:val="en-US" w:eastAsia="zh-CN"/>
        </w:rPr>
        <w:t>023年我乡喀尔巴格村创建自治区乡村振兴示范村相应的乡村振兴及配套项目资金增加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25.</w:t>
      </w:r>
      <w:r>
        <w:rPr>
          <w:rFonts w:hint="eastAsia" w:ascii="仿宋_GB2312" w:hAnsi="仿宋_GB2312" w:eastAsia="仿宋_GB2312" w:cs="仿宋_GB2312"/>
          <w:color w:val="auto"/>
          <w:kern w:val="2"/>
          <w:sz w:val="32"/>
          <w:szCs w:val="32"/>
          <w:highlight w:val="none"/>
          <w:lang w:val="en-US" w:eastAsia="zh-CN" w:bidi="ar-SA"/>
        </w:rPr>
        <w:t>农林水支出（类）巩固脱贫攻坚成果衔接乡村振兴（款）生产发展（项）:支出决算数为5,137.49万元，比上年决算增加4,798.49万元，增长1415.48%，主要原因是：2</w:t>
      </w:r>
      <w:r>
        <w:rPr>
          <w:rFonts w:hint="eastAsia" w:ascii="仿宋_GB2312" w:eastAsia="仿宋_GB2312"/>
          <w:sz w:val="32"/>
          <w:szCs w:val="32"/>
          <w:highlight w:val="none"/>
          <w:lang w:val="en-US" w:eastAsia="zh-CN"/>
        </w:rPr>
        <w:t>023年我乡喀尔巴格村创建自治区乡村振兴示范村相应的乡村振兴及配套项目资金增加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26.</w:t>
      </w:r>
      <w:r>
        <w:rPr>
          <w:rFonts w:hint="eastAsia" w:ascii="仿宋_GB2312" w:hAnsi="仿宋_GB2312" w:eastAsia="仿宋_GB2312" w:cs="仿宋_GB2312"/>
          <w:color w:val="auto"/>
          <w:kern w:val="2"/>
          <w:sz w:val="32"/>
          <w:szCs w:val="32"/>
          <w:highlight w:val="none"/>
          <w:lang w:val="en-US" w:eastAsia="zh-CN" w:bidi="ar-SA"/>
        </w:rPr>
        <w:t>农林水支出（类）巩固脱贫攻坚成果衔接乡村振兴（款）其他巩固脱贫攻坚成果衔接乡村振兴支出（项）:支出决算数为25.32万元，比上年决算增加25.32万元，增长100%，主要原因是：</w:t>
      </w:r>
      <w:r>
        <w:rPr>
          <w:rFonts w:hint="eastAsia" w:ascii="仿宋_GB2312" w:eastAsia="仿宋_GB2312"/>
          <w:sz w:val="32"/>
          <w:szCs w:val="32"/>
          <w:highlight w:val="none"/>
          <w:lang w:val="en-US" w:eastAsia="zh-CN"/>
        </w:rPr>
        <w:t>2023年我乡喀尔巴格村创建自治区乡村振兴示范村相应的乡村振兴及配套项目资金增加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27.</w:t>
      </w:r>
      <w:r>
        <w:rPr>
          <w:rFonts w:hint="eastAsia" w:ascii="仿宋_GB2312" w:hAnsi="仿宋_GB2312" w:eastAsia="仿宋_GB2312" w:cs="仿宋_GB2312"/>
          <w:color w:val="auto"/>
          <w:kern w:val="2"/>
          <w:sz w:val="32"/>
          <w:szCs w:val="32"/>
          <w:highlight w:val="none"/>
          <w:lang w:val="en-US" w:eastAsia="zh-CN" w:bidi="ar-SA"/>
        </w:rPr>
        <w:t>农林水支出（类）农村综合改革（款）对村级公益事业建设的补助（项）:支出决算数为1.37万元，比上年决算减少98.63万元，下降98.63%，主要原因是：2023年此项目减少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28.</w:t>
      </w:r>
      <w:r>
        <w:rPr>
          <w:rFonts w:hint="eastAsia" w:ascii="Times New Roman" w:hAnsi="Times New Roman" w:eastAsia="仿宋_GB2312" w:cs="Times New Roman"/>
          <w:color w:val="auto"/>
          <w:kern w:val="2"/>
          <w:sz w:val="32"/>
          <w:szCs w:val="32"/>
          <w:highlight w:val="none"/>
          <w:lang w:val="en-US" w:eastAsia="zh-CN" w:bidi="ar-SA"/>
        </w:rPr>
        <w:t>农林水支出（类）农村综合改革（款）对村民委员会和村党支部的补助（项）:支出决算数为128.01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，比上年决算减少26.98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下降17.41%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2023年度按照上级相关要求，村干部2023年12月工资通过“一卡通”系统发放，导致此项目的减少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29.</w:t>
      </w:r>
      <w:r>
        <w:rPr>
          <w:rFonts w:hint="eastAsia" w:ascii="仿宋_GB2312" w:hAnsi="仿宋_GB2312" w:eastAsia="仿宋_GB2312" w:cs="仿宋_GB2312"/>
          <w:color w:val="auto"/>
          <w:kern w:val="2"/>
          <w:sz w:val="32"/>
          <w:szCs w:val="32"/>
          <w:highlight w:val="none"/>
          <w:lang w:val="en-US" w:eastAsia="zh-CN" w:bidi="ar-SA"/>
        </w:rPr>
        <w:t>农林水支出（类）目标价格补贴（款）棉花目标价格补贴（项）:支出决算数为153.04万元，比上年决算增加153.04万元，增长100%，主要原因是：</w:t>
      </w:r>
      <w:r>
        <w:rPr>
          <w:rFonts w:hint="eastAsia" w:eastAsia="仿宋_GB2312" w:cs="Times New Roman"/>
          <w:color w:val="auto"/>
          <w:kern w:val="2"/>
          <w:sz w:val="32"/>
          <w:szCs w:val="32"/>
          <w:highlight w:val="none"/>
          <w:lang w:val="en-US" w:eastAsia="zh-CN" w:bidi="ar-SA"/>
        </w:rPr>
        <w:t>2023年度按照上级文件要求</w:t>
      </w:r>
      <w:r>
        <w:rPr>
          <w:rFonts w:hint="eastAsia" w:ascii="Times New Roman" w:hAnsi="Times New Roman" w:eastAsia="仿宋_GB2312" w:cs="Times New Roman"/>
          <w:color w:val="auto"/>
          <w:kern w:val="2"/>
          <w:sz w:val="32"/>
          <w:szCs w:val="32"/>
          <w:highlight w:val="none"/>
          <w:lang w:val="en-US" w:eastAsia="zh-CN" w:bidi="ar-SA"/>
        </w:rPr>
        <w:t>棉花目标价格补贴</w:t>
      </w:r>
      <w:r>
        <w:rPr>
          <w:rFonts w:hint="eastAsia" w:eastAsia="仿宋_GB2312" w:cs="Times New Roman"/>
          <w:color w:val="auto"/>
          <w:kern w:val="2"/>
          <w:sz w:val="32"/>
          <w:szCs w:val="32"/>
          <w:highlight w:val="none"/>
          <w:lang w:val="en-US" w:eastAsia="zh-CN" w:bidi="ar-SA"/>
        </w:rPr>
        <w:t>列入2023年度追加预算，2022年度未列入追加预算，此款项相应增加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30.</w:t>
      </w:r>
      <w:r>
        <w:rPr>
          <w:rFonts w:hint="eastAsia" w:ascii="仿宋_GB2312" w:hAnsi="仿宋_GB2312" w:eastAsia="仿宋_GB2312" w:cs="仿宋_GB2312"/>
          <w:color w:val="auto"/>
          <w:kern w:val="2"/>
          <w:sz w:val="32"/>
          <w:szCs w:val="32"/>
          <w:highlight w:val="none"/>
          <w:lang w:val="en-US" w:eastAsia="zh-CN" w:bidi="ar-SA"/>
        </w:rPr>
        <w:t>农林水支出（类）其他农林水支出（款）其他农林水支出（项）:支出决算数为197.97万元，比上年决算增加113.50万元，增长134.37%，主要原因是：2</w:t>
      </w:r>
      <w:r>
        <w:rPr>
          <w:rFonts w:hint="eastAsia" w:ascii="仿宋_GB2312" w:eastAsia="仿宋_GB2312"/>
          <w:sz w:val="32"/>
          <w:szCs w:val="32"/>
          <w:highlight w:val="none"/>
          <w:lang w:val="en-US" w:eastAsia="zh-CN"/>
        </w:rPr>
        <w:t>023年我乡喀尔巴格村创建自治区乡村振兴示范村相应的乡村振兴及配套项目资金增加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31.</w:t>
      </w:r>
      <w:r>
        <w:rPr>
          <w:rFonts w:hint="eastAsia" w:ascii="仿宋_GB2312" w:hAnsi="仿宋_GB2312" w:eastAsia="仿宋_GB2312" w:cs="仿宋_GB2312"/>
          <w:color w:val="auto"/>
          <w:kern w:val="2"/>
          <w:sz w:val="32"/>
          <w:szCs w:val="32"/>
          <w:highlight w:val="none"/>
          <w:lang w:val="en-US" w:eastAsia="zh-CN" w:bidi="ar-SA"/>
        </w:rPr>
        <w:t>住房保障支出（类）住房改革支出（款）住房公积金（项）:支出决算数为70.10万元，比上年决算减少40.01万元，下降36.34%，主要原因是：2023年我部门在职在编两人退休，临聘人员也减少，相应的支出也减少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32.其他支出（类）其他支出（款）其他支出（项）:支出决算数为361.20万元，比上年决算增加257.85万元，增长249.49%，主要原因是：2023年支付了我乡支付了基建投资项目进度款，相应的支付也增加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pacing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2,241.62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2,055.84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其他工资福利支出、退休费、抚恤金、生活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185.78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咨询费、手续费、水费、电费、邮电费、取暖费、物业管理费、差旅费、维修（护）费、租赁费、培训费、专用材料费、劳务费、委托业务费、工会经费、福利费、公务用车运行维护费、办公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“三公”经费支出10.26万元，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增加0.97万元，</w:t>
      </w:r>
      <w:r>
        <w:rPr>
          <w:rFonts w:hint="eastAsia" w:ascii="仿宋_GB2312" w:eastAsia="仿宋_GB2312"/>
          <w:color w:val="auto"/>
          <w:spacing w:val="0"/>
          <w:sz w:val="32"/>
          <w:szCs w:val="32"/>
          <w:highlight w:val="none"/>
          <w:lang w:val="en-US" w:eastAsia="zh-CN"/>
        </w:rPr>
        <w:t>增长10.44%,</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2023年车辆维修支出增加</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本年无因公出国（境）费支出，与上年相比无变动</w:t>
      </w:r>
      <w:r>
        <w:rPr>
          <w:rFonts w:hint="eastAsia" w:ascii="仿宋_GB2312" w:eastAsia="仿宋_GB2312"/>
          <w:color w:val="auto"/>
          <w:sz w:val="32"/>
          <w:szCs w:val="32"/>
          <w:highlight w:val="none"/>
          <w:lang w:val="zh-CN" w:eastAsia="zh-CN"/>
        </w:rPr>
        <w:t>；公务用车购置及运行维护费支出10.26万元，占100.00%，比上年增加0.97万元，</w:t>
      </w:r>
      <w:r>
        <w:rPr>
          <w:rFonts w:hint="eastAsia" w:ascii="仿宋_GB2312" w:eastAsia="仿宋_GB2312"/>
          <w:color w:val="auto"/>
          <w:spacing w:val="0"/>
          <w:sz w:val="32"/>
          <w:szCs w:val="32"/>
          <w:highlight w:val="none"/>
          <w:lang w:val="en-US" w:eastAsia="zh-CN"/>
        </w:rPr>
        <w:t>增长10.44%,</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2023年车辆维修支出增加</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方正仿宋_GBK" w:hAnsi="方正仿宋_GBK" w:eastAsia="方正仿宋_GBK" w:cs="方正仿宋_GBK"/>
          <w:sz w:val="31"/>
          <w:szCs w:val="31"/>
          <w:lang w:val="en-US" w:eastAsia="zh-CN"/>
        </w:rPr>
        <w:t>我部门无公务接待费支出。</w:t>
      </w: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本年未安排因公出国（境）费支出</w:t>
      </w:r>
      <w:r>
        <w:rPr>
          <w:rFonts w:hint="eastAsia" w:ascii="仿宋_GB2312" w:eastAsia="仿宋_GB2312"/>
          <w:color w:val="auto"/>
          <w:sz w:val="32"/>
          <w:szCs w:val="32"/>
          <w:highlight w:val="none"/>
          <w:lang w:val="zh-CN" w:eastAsia="zh-CN"/>
        </w:rPr>
        <w:t>。部门全年安排的因公出国（境）团组0个，因公出国（境）0人次。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公务用车购置及运行维护费10.26万元，其中：公务用车购置费0.00万元，公务用车运行维护费10.26万元。公务用车运行维护费开支内容包括</w:t>
      </w:r>
      <w:r>
        <w:rPr>
          <w:rFonts w:hint="eastAsia" w:ascii="仿宋_GB2312" w:eastAsia="仿宋_GB2312"/>
          <w:sz w:val="32"/>
          <w:szCs w:val="32"/>
          <w:lang w:eastAsia="zh-CN"/>
        </w:rPr>
        <w:t>车辆保险费，燃料费级车辆保险费</w:t>
      </w:r>
      <w:r>
        <w:rPr>
          <w:rFonts w:hint="eastAsia" w:ascii="仿宋_GB2312" w:eastAsia="仿宋_GB2312"/>
          <w:color w:val="auto"/>
          <w:sz w:val="32"/>
          <w:szCs w:val="32"/>
          <w:highlight w:val="none"/>
          <w:lang w:val="zh-CN" w:eastAsia="zh-CN"/>
        </w:rPr>
        <w:t>。公务用车购置数0辆，公务用车保有量7辆。国有资产占用情况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7辆，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rPr>
        <w:t>固定资产车辆与公务用车保有量无差异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lang w:val="en-US" w:eastAsia="zh-CN"/>
        </w:rPr>
        <w:t>本单位</w:t>
      </w:r>
      <w:r>
        <w:rPr>
          <w:rFonts w:hint="eastAsia" w:ascii="仿宋_GB2312" w:eastAsia="仿宋_GB2312"/>
          <w:sz w:val="32"/>
          <w:szCs w:val="32"/>
        </w:rPr>
        <w:t>未安排因公出国（境）费支出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预算数10.26万元，决算数10.26万元，预决算差异率0.00%，主要原因是：</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预算数10.26万元，决算数10.26万元，预决算差异率0.00%，主要原因是：</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总计18.00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本年收入18.00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总计18.00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本年支出18.00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ind w:firstLine="640" w:firstLineChars="200"/>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与上年相比，增加0.55万元</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rPr>
        <w:t>增长3.15%</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eastAsia" w:eastAsia="仿宋_GB2312" w:cs="Times New Roman"/>
          <w:color w:val="auto"/>
          <w:sz w:val="32"/>
          <w:szCs w:val="32"/>
          <w:highlight w:val="none"/>
          <w:lang w:val="en-US" w:eastAsia="zh-CN"/>
        </w:rPr>
        <w:t>2023年预算安排</w:t>
      </w:r>
      <w:r>
        <w:rPr>
          <w:rFonts w:hint="eastAsia" w:ascii="仿宋_GB2312" w:eastAsia="仿宋_GB2312"/>
          <w:sz w:val="32"/>
          <w:szCs w:val="32"/>
          <w:highlight w:val="none"/>
          <w:lang w:val="en-US" w:eastAsia="zh-CN"/>
        </w:rPr>
        <w:t>农民工拖欠工资</w:t>
      </w:r>
      <w:r>
        <w:rPr>
          <w:rFonts w:hint="eastAsia" w:ascii="Times New Roman" w:hAnsi="Times New Roman" w:eastAsia="仿宋_GB2312" w:cs="Times New Roman"/>
          <w:color w:val="auto"/>
          <w:sz w:val="32"/>
          <w:szCs w:val="32"/>
          <w:highlight w:val="none"/>
          <w:lang w:val="zh-CN"/>
        </w:rPr>
        <w:t>。与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0.00</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18.00</w:t>
      </w:r>
      <w:r>
        <w:rPr>
          <w:rFonts w:hint="eastAsia" w:ascii="Times New Roman" w:hAnsi="Times New Roman" w:eastAsia="仿宋_GB2312" w:cs="Times New Roman"/>
          <w:color w:val="auto"/>
          <w:sz w:val="32"/>
          <w:szCs w:val="32"/>
          <w:highlight w:val="none"/>
          <w:lang w:val="zh-CN"/>
        </w:rPr>
        <w:t>万元，预决算差异率100.00%</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2023年年初预算未安排此项预算资金，年终追加支付</w:t>
      </w:r>
      <w:r>
        <w:rPr>
          <w:rFonts w:hint="eastAsia" w:ascii="仿宋_GB2312" w:eastAsia="仿宋_GB2312"/>
          <w:sz w:val="32"/>
          <w:szCs w:val="32"/>
          <w:highlight w:val="none"/>
          <w:lang w:val="en-US" w:eastAsia="zh-CN"/>
        </w:rPr>
        <w:t>农民工拖欠工资，所以相应的支出也增加</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18.00</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1.城乡社区支出（类）国有土地使用权出让收入安排的支出（款）其他国有土地使用权出让收入安排的支出（项）:支出决算数为18.00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eastAsia="仿宋_GB2312" w:cs="Times New Roman"/>
          <w:color w:val="auto"/>
          <w:sz w:val="32"/>
          <w:szCs w:val="32"/>
          <w:highlight w:val="none"/>
          <w:lang w:val="en-US" w:eastAsia="zh-CN"/>
        </w:rPr>
        <w:t>0.55</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eastAsia="仿宋_GB2312" w:cs="Times New Roman"/>
          <w:color w:val="auto"/>
          <w:sz w:val="32"/>
          <w:szCs w:val="32"/>
          <w:highlight w:val="none"/>
          <w:lang w:val="en-US" w:eastAsia="zh-CN"/>
        </w:rPr>
        <w:t>3.15</w:t>
      </w:r>
      <w:r>
        <w:rPr>
          <w:rFonts w:hint="eastAsia" w:ascii="Times New Roman" w:hAnsi="Times New Roman" w:eastAsia="仿宋_GB2312" w:cs="Times New Roman"/>
          <w:color w:val="auto"/>
          <w:sz w:val="32"/>
          <w:szCs w:val="32"/>
          <w:highlight w:val="none"/>
          <w:lang w:val="zh-CN"/>
        </w:rPr>
        <w:t>%，主要原因是：</w:t>
      </w:r>
      <w:r>
        <w:rPr>
          <w:rFonts w:hint="eastAsia" w:ascii="仿宋_GB2312" w:eastAsia="仿宋_GB2312"/>
          <w:sz w:val="32"/>
          <w:szCs w:val="32"/>
          <w:highlight w:val="none"/>
          <w:lang w:val="en-US" w:eastAsia="zh-CN"/>
        </w:rPr>
        <w:t>2023年度支付疫情期间欠款，增加相应的支出</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2023年度国有资本经营预算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eastAsia="zh-CN"/>
        </w:rPr>
        <w:t>收入</w:t>
      </w:r>
      <w:r>
        <w:rPr>
          <w:rFonts w:hint="eastAsia" w:ascii="Times New Roman" w:hAnsi="Times New Roman" w:eastAsia="仿宋_GB2312" w:cs="Times New Roman"/>
          <w:color w:val="auto"/>
          <w:sz w:val="32"/>
          <w:szCs w:val="32"/>
          <w:highlight w:val="none"/>
          <w:lang w:val="en-US" w:eastAsia="zh-CN"/>
        </w:rPr>
        <w:t>总计0.13</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其中：年初结转和结余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本年收入</w:t>
      </w:r>
      <w:r>
        <w:rPr>
          <w:rFonts w:hint="eastAsia" w:ascii="Times New Roman" w:hAnsi="Times New Roman" w:eastAsia="仿宋_GB2312" w:cs="Times New Roman"/>
          <w:color w:val="auto"/>
          <w:sz w:val="32"/>
          <w:szCs w:val="32"/>
          <w:highlight w:val="none"/>
          <w:lang w:val="zh-CN" w:eastAsia="zh-CN"/>
        </w:rPr>
        <w:t>0.13万元。国有资本经营预算财政拨款支出</w:t>
      </w:r>
      <w:r>
        <w:rPr>
          <w:rFonts w:hint="eastAsia" w:ascii="Times New Roman" w:hAnsi="Times New Roman" w:eastAsia="仿宋_GB2312" w:cs="Times New Roman"/>
          <w:color w:val="auto"/>
          <w:sz w:val="32"/>
          <w:szCs w:val="32"/>
          <w:highlight w:val="none"/>
          <w:lang w:val="en-US" w:eastAsia="zh-CN"/>
        </w:rPr>
        <w:t>总计0.13</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其中：年末结转和结余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本年支出</w:t>
      </w:r>
      <w:r>
        <w:rPr>
          <w:rFonts w:hint="eastAsia" w:ascii="Times New Roman" w:hAnsi="Times New Roman" w:eastAsia="仿宋_GB2312" w:cs="Times New Roman"/>
          <w:color w:val="auto"/>
          <w:sz w:val="32"/>
          <w:szCs w:val="32"/>
          <w:highlight w:val="none"/>
          <w:lang w:val="zh-CN" w:eastAsia="zh-CN"/>
        </w:rPr>
        <w:t>0.13万元。</w:t>
      </w:r>
    </w:p>
    <w:p>
      <w:pPr>
        <w:ind w:firstLine="640" w:firstLineChars="200"/>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国有资本经营预算财政拨款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eastAsia="zh-CN"/>
        </w:rPr>
        <w:t>与上年相比，增加0.13万元</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增长100.00%</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kern w:val="2"/>
          <w:sz w:val="32"/>
          <w:szCs w:val="32"/>
          <w:highlight w:val="none"/>
          <w:lang w:val="en-US" w:eastAsia="zh-CN" w:bidi="ar-SA"/>
        </w:rPr>
        <w:t>2022年预算未安排此项目，本年有此项目</w:t>
      </w:r>
      <w:r>
        <w:rPr>
          <w:rFonts w:hint="eastAsia" w:ascii="Times New Roman" w:hAnsi="Times New Roman" w:eastAsia="仿宋_GB2312" w:cs="Times New Roman"/>
          <w:color w:val="auto"/>
          <w:sz w:val="32"/>
          <w:szCs w:val="32"/>
          <w:highlight w:val="none"/>
          <w:lang w:val="zh-CN" w:eastAsia="zh-CN"/>
        </w:rPr>
        <w:t>。与年初预算相比，年初预算数</w:t>
      </w:r>
      <w:r>
        <w:rPr>
          <w:rFonts w:hint="eastAsia" w:ascii="Times New Roman" w:hAnsi="Times New Roman" w:eastAsia="仿宋_GB2312" w:cs="Times New Roman"/>
          <w:color w:val="auto"/>
          <w:sz w:val="32"/>
          <w:szCs w:val="32"/>
          <w:highlight w:val="none"/>
          <w:lang w:val="en-US" w:eastAsia="zh-CN"/>
        </w:rPr>
        <w:t>0.05</w:t>
      </w:r>
      <w:r>
        <w:rPr>
          <w:rFonts w:hint="eastAsia" w:ascii="Times New Roman" w:hAnsi="Times New Roman" w:eastAsia="仿宋_GB2312" w:cs="Times New Roman"/>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en-US" w:eastAsia="zh-CN"/>
        </w:rPr>
        <w:t>0.13</w:t>
      </w:r>
      <w:r>
        <w:rPr>
          <w:rFonts w:hint="eastAsia" w:ascii="Times New Roman" w:hAnsi="Times New Roman" w:eastAsia="仿宋_GB2312" w:cs="Times New Roman"/>
          <w:color w:val="auto"/>
          <w:sz w:val="32"/>
          <w:szCs w:val="32"/>
          <w:highlight w:val="none"/>
          <w:lang w:val="zh-CN" w:eastAsia="zh-CN"/>
        </w:rPr>
        <w:t>万元，预决算差异率</w:t>
      </w:r>
      <w:r>
        <w:rPr>
          <w:rFonts w:hint="eastAsia" w:eastAsia="仿宋_GB2312" w:cs="Times New Roman"/>
          <w:color w:val="auto"/>
          <w:sz w:val="32"/>
          <w:szCs w:val="32"/>
          <w:highlight w:val="none"/>
          <w:lang w:val="en-US" w:eastAsia="zh-CN"/>
        </w:rPr>
        <w:t>160</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2023年支付2022年国企退休人员社会化补助</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Times New Roman" w:hAnsi="Times New Roman" w:eastAsia="仿宋_GB2312" w:cs="Times New Roman"/>
          <w:color w:val="auto"/>
          <w:sz w:val="32"/>
          <w:szCs w:val="32"/>
          <w:highlight w:val="none"/>
          <w:lang w:val="zh-CN" w:eastAsia="zh-CN"/>
        </w:rPr>
        <w:t>国有资本经营预算财政拨款支出</w:t>
      </w:r>
      <w:r>
        <w:rPr>
          <w:rFonts w:hint="eastAsia" w:ascii="Times New Roman" w:hAnsi="Times New Roman" w:eastAsia="仿宋_GB2312" w:cs="Times New Roman"/>
          <w:color w:val="auto"/>
          <w:sz w:val="32"/>
          <w:szCs w:val="32"/>
          <w:highlight w:val="none"/>
          <w:lang w:val="en-US" w:eastAsia="zh-CN"/>
        </w:rPr>
        <w:t>0.13</w:t>
      </w:r>
      <w:r>
        <w:rPr>
          <w:rFonts w:hint="eastAsia" w:ascii="Times New Roman" w:hAnsi="Times New Roman" w:eastAsia="仿宋_GB2312" w:cs="Times New Roman"/>
          <w:color w:val="auto"/>
          <w:sz w:val="32"/>
          <w:szCs w:val="32"/>
          <w:highlight w:val="none"/>
          <w:lang w:val="zh-CN" w:eastAsia="zh-CN"/>
        </w:rPr>
        <w:t>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1.国有资本经营预算支出（类）解决历史遗留问题及改革成本支出（款）国有企业退休人员社会化管理补助支出（项）:支出决算数为0.13</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eastAsia="仿宋_GB2312" w:cs="Times New Roman"/>
          <w:color w:val="auto"/>
          <w:kern w:val="2"/>
          <w:sz w:val="30"/>
          <w:szCs w:val="30"/>
          <w:highlight w:val="none"/>
          <w:lang w:val="en-US" w:eastAsia="zh-CN" w:bidi="ar-SA"/>
        </w:rPr>
        <w:t>增加</w:t>
      </w:r>
      <w:r>
        <w:rPr>
          <w:rFonts w:hint="eastAsia" w:ascii="仿宋_GB2312" w:hAnsi="仿宋_GB2312" w:eastAsia="仿宋_GB2312" w:cs="仿宋_GB2312"/>
          <w:color w:val="auto"/>
          <w:kern w:val="0"/>
          <w:sz w:val="32"/>
          <w:szCs w:val="32"/>
          <w:highlight w:val="none"/>
        </w:rPr>
        <w:t>0.13</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eastAsia="仿宋_GB2312" w:cs="Times New Roman"/>
          <w:color w:val="auto"/>
          <w:kern w:val="2"/>
          <w:sz w:val="30"/>
          <w:szCs w:val="30"/>
          <w:highlight w:val="none"/>
          <w:lang w:val="en-US" w:eastAsia="zh-CN" w:bidi="ar-SA"/>
        </w:rPr>
        <w:t>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eastAsia="仿宋_GB2312" w:cs="Times New Roman"/>
          <w:color w:val="auto"/>
          <w:sz w:val="32"/>
          <w:szCs w:val="32"/>
          <w:highlight w:val="none"/>
          <w:lang w:val="en-US" w:eastAsia="zh-CN"/>
        </w:rPr>
        <w:t>2022年未支付此项预算资金</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库尔勒市英下乡人民政府（行政单位和参照公务员法管理事业单位）机关运行经费支出185.78万元，</w:t>
      </w:r>
      <w:r>
        <w:rPr>
          <w:rFonts w:hint="eastAsia" w:ascii="Times New Roman" w:hAnsi="Times New Roman" w:eastAsia="仿宋_GB2312" w:cs="Times New Roman"/>
          <w:color w:val="auto"/>
          <w:sz w:val="32"/>
          <w:szCs w:val="32"/>
          <w:highlight w:val="none"/>
          <w:lang w:val="zh-CN" w:eastAsia="zh-CN"/>
        </w:rPr>
        <w:t>比上年减少101.89万元，下降35.42%，主要原因是：</w:t>
      </w:r>
      <w:r>
        <w:rPr>
          <w:rFonts w:hint="eastAsia" w:eastAsia="仿宋_GB2312" w:cs="Times New Roman"/>
          <w:color w:val="auto"/>
          <w:sz w:val="32"/>
          <w:szCs w:val="32"/>
          <w:highlight w:val="none"/>
          <w:lang w:val="en-US" w:eastAsia="zh-CN"/>
        </w:rPr>
        <w:t>2023年两人退休，相应的工资，津补贴及社保医保支出减少；因疫情，财政资金紧张，厉行节约，减少不必要的开支，所以减少机关运行经费</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1,987.01万元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其中：政府采购货物支出341.51万元、政府采购工程支出1,629.97万元、政府采购服务支出15.53万元。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授予中小企业合同金额1,987.01万元，占政府采购支出总额的100.00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，其中：授予小微企业合同金额1,550.57万元，占政府采购支出总额的78.04</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3,044.65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屋19,055.18平方米，价值1,621.92万元。车辆7辆，价值81.24万元，其中：副部（省）级及以上领导用车0辆、主要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用车0辆、机要通信用车0辆、应急保障用车0辆、执法执勤用车6辆、特种专业技术用车0辆、离退休干部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zh-CN" w:eastAsia="zh-CN"/>
        </w:rPr>
        <w:t>政法委拨的执勤车辆</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spacing w:line="56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pacing w:val="0"/>
          <w:sz w:val="32"/>
          <w:szCs w:val="32"/>
          <w:highlight w:val="none"/>
          <w:lang w:eastAsia="zh-CN"/>
        </w:rPr>
        <w:t>8,776.46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pacing w:val="0"/>
          <w:sz w:val="32"/>
          <w:szCs w:val="32"/>
          <w:highlight w:val="none"/>
          <w:lang w:eastAsia="zh-CN"/>
        </w:rPr>
        <w:t>8,776.46</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18</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全年预算数1607.58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全年执行数961.09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spacing w:line="560" w:lineRule="exact"/>
        <w:ind w:firstLine="640" w:firstLineChars="200"/>
        <w:rPr>
          <w:rFonts w:hint="eastAsia" w:ascii="仿宋_GB2312" w:hAnsi="Calibri" w:eastAsia="仿宋_GB2312" w:cs="Times New Roman"/>
          <w:kern w:val="2"/>
          <w:sz w:val="32"/>
          <w:szCs w:val="32"/>
          <w:lang w:val="en-US" w:eastAsia="zh-CN" w:bidi="ar-SA"/>
        </w:rPr>
      </w:pPr>
      <w:r>
        <w:rPr>
          <w:rFonts w:hint="eastAsia" w:ascii="仿宋_GB2312" w:eastAsia="仿宋_GB2312"/>
          <w:color w:val="auto"/>
          <w:sz w:val="32"/>
          <w:szCs w:val="32"/>
          <w:highlight w:val="none"/>
          <w:lang w:eastAsia="zh-CN"/>
        </w:rPr>
        <w:t>预算绩效管理取得的成效：一是</w:t>
      </w:r>
      <w:r>
        <w:rPr>
          <w:rFonts w:hint="eastAsia" w:ascii="仿宋_GB2312" w:hAnsi="Calibri" w:eastAsia="仿宋_GB2312" w:cs="Times New Roman"/>
          <w:color w:val="auto"/>
          <w:kern w:val="2"/>
          <w:sz w:val="32"/>
          <w:szCs w:val="32"/>
          <w:highlight w:val="none"/>
          <w:lang w:val="en-US" w:eastAsia="zh-CN" w:bidi="ar-SA"/>
        </w:rPr>
        <w:t>我部门严格按照年初预算以及单位年度</w:t>
      </w:r>
      <w:r>
        <w:rPr>
          <w:rFonts w:hint="eastAsia" w:ascii="仿宋_GB2312" w:hAnsi="Calibri" w:eastAsia="仿宋_GB2312" w:cs="Times New Roman"/>
          <w:color w:val="auto"/>
          <w:kern w:val="2"/>
          <w:sz w:val="32"/>
          <w:szCs w:val="32"/>
          <w:lang w:val="en-US" w:eastAsia="zh-CN" w:bidi="ar-SA"/>
        </w:rPr>
        <w:t>工作计划执行预算，严格按照相关规定进行资金管理，做到专款专用、科学管理，每笔开支都</w:t>
      </w:r>
      <w:r>
        <w:rPr>
          <w:rFonts w:hint="eastAsia" w:ascii="仿宋_GB2312" w:hAnsi="Calibri" w:eastAsia="仿宋_GB2312" w:cs="Times New Roman"/>
          <w:kern w:val="2"/>
          <w:sz w:val="32"/>
          <w:szCs w:val="32"/>
          <w:lang w:val="en-US" w:eastAsia="zh-CN" w:bidi="ar-SA"/>
        </w:rPr>
        <w:t>有相关经办人员签字，做到程序规范，开支合理，勤俭节约，最大限度的提高项目经费的使用效率，保证了项目的顺利进行；</w:t>
      </w:r>
    </w:p>
    <w:p>
      <w:pPr>
        <w:numPr>
          <w:ilvl w:val="0"/>
          <w:numId w:val="0"/>
        </w:numPr>
        <w:spacing w:line="560" w:lineRule="exac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二是我单位通过对绩效的进展和效果进行持续的监控，发现并纠正绩效目标实现过程中的各种偏差，以确保本单位绩效目标实现。对单位年初所确定的整体绩效指标、年度预期目标进行3个不同时期，3个不同阶段地监控，对部门整体前期、中期、后期都有清晰地了解。</w:t>
      </w:r>
    </w:p>
    <w:p>
      <w:pPr>
        <w:numPr>
          <w:ilvl w:val="0"/>
          <w:numId w:val="0"/>
        </w:numPr>
        <w:spacing w:line="560" w:lineRule="exact"/>
        <w:ind w:firstLine="640" w:firstLineChars="20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发现的问题及原因：一、项目绩效目标完成情况与项目资金支出进度存在脱节情况；二、填报内容过于简单，对绩效目标偏差问题缺乏有效分析，无法监控绩效目标的实现程度，还有待进一步提升预算单位整体绩效管理理念。</w:t>
      </w:r>
    </w:p>
    <w:p>
      <w:pPr>
        <w:ind w:firstLine="640" w:firstLineChars="200"/>
        <w:rPr>
          <w:rFonts w:hint="eastAsia" w:ascii="仿宋_GB2312" w:eastAsia="仿宋_GB2312"/>
          <w:sz w:val="32"/>
          <w:szCs w:val="32"/>
        </w:rPr>
      </w:pPr>
      <w:r>
        <w:rPr>
          <w:rFonts w:hint="eastAsia" w:ascii="仿宋_GB2312" w:hAnsi="Calibri" w:eastAsia="仿宋_GB2312" w:cs="Times New Roman"/>
          <w:kern w:val="2"/>
          <w:sz w:val="32"/>
          <w:szCs w:val="32"/>
          <w:lang w:val="en-US" w:eastAsia="zh-CN" w:bidi="ar-SA"/>
        </w:rPr>
        <w:t>下一步改进措施：一、强化项目单位对资金绩效实现情况的责任约束，对专项资金偏离预算绩效目标的支出，及时采取有效措施予以纠正，让资金管理人、使用人皆知“自家的钱怎么花的，花得怎么样，存在什么责任，进一步规范专项资金使用绩效；二、加强财政资金使用效益跟踪“回头看”，针对资金绩效运行状况，及时预控、查找资金使用和管理过程中的薄弱环节，提出纠偏措施；通过预算绩效监控管理，根据每季度的预算绩效监控结果，及时调整项目预算，收回闲置资金，尽量减少财政资金沉淀闲置。进一步加强财政资金统筹安排，提高财政资金使用效益，实现财政支出的科学化精细化管理，</w:t>
      </w:r>
      <w:r>
        <w:rPr>
          <w:rFonts w:hint="eastAsia" w:ascii="仿宋_GB2312" w:eastAsia="仿宋_GB2312"/>
          <w:sz w:val="32"/>
          <w:szCs w:val="32"/>
        </w:rPr>
        <w:t>具体项目自评情况附项目支出绩效自评表。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615940" cy="8465820"/>
            <wp:effectExtent l="0" t="0" r="381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615940" cy="846582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471795" cy="8907780"/>
            <wp:effectExtent l="0" t="0" r="14605"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5471795" cy="890778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71135" cy="9232900"/>
            <wp:effectExtent l="0" t="0" r="5715" b="635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7"/>
                    <a:stretch>
                      <a:fillRect/>
                    </a:stretch>
                  </pic:blipFill>
                  <pic:spPr>
                    <a:xfrm>
                      <a:off x="0" y="0"/>
                      <a:ext cx="5271135" cy="92329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anchor distT="0" distB="0" distL="114300" distR="114300" simplePos="0" relativeHeight="251659264" behindDoc="0" locked="0" layoutInCell="1" allowOverlap="1">
            <wp:simplePos x="0" y="0"/>
            <wp:positionH relativeFrom="column">
              <wp:posOffset>-164465</wp:posOffset>
            </wp:positionH>
            <wp:positionV relativeFrom="paragraph">
              <wp:posOffset>89535</wp:posOffset>
            </wp:positionV>
            <wp:extent cx="5353685" cy="8440420"/>
            <wp:effectExtent l="0" t="0" r="18415" b="1778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353685" cy="844042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anchor distT="0" distB="0" distL="114300" distR="114300" simplePos="0" relativeHeight="251661312" behindDoc="0" locked="0" layoutInCell="1" allowOverlap="1">
            <wp:simplePos x="0" y="0"/>
            <wp:positionH relativeFrom="column">
              <wp:posOffset>0</wp:posOffset>
            </wp:positionH>
            <wp:positionV relativeFrom="paragraph">
              <wp:posOffset>-90805</wp:posOffset>
            </wp:positionV>
            <wp:extent cx="5273040" cy="9396730"/>
            <wp:effectExtent l="0" t="0" r="3810" b="13970"/>
            <wp:wrapSquare wrapText="bothSides"/>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9"/>
                    <a:stretch>
                      <a:fillRect/>
                    </a:stretch>
                  </pic:blipFill>
                  <pic:spPr>
                    <a:xfrm>
                      <a:off x="0" y="0"/>
                      <a:ext cx="5273040" cy="939673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anchor distT="0" distB="0" distL="114300" distR="114300" simplePos="0" relativeHeight="251660288" behindDoc="0" locked="0" layoutInCell="1" allowOverlap="1">
            <wp:simplePos x="0" y="0"/>
            <wp:positionH relativeFrom="column">
              <wp:posOffset>0</wp:posOffset>
            </wp:positionH>
            <wp:positionV relativeFrom="paragraph">
              <wp:posOffset>-878840</wp:posOffset>
            </wp:positionV>
            <wp:extent cx="5267960" cy="7892415"/>
            <wp:effectExtent l="0" t="0" r="8890" b="13335"/>
            <wp:wrapSquare wrapText="bothSides"/>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0"/>
                    <a:stretch>
                      <a:fillRect/>
                    </a:stretch>
                  </pic:blipFill>
                  <pic:spPr>
                    <a:xfrm>
                      <a:off x="0" y="0"/>
                      <a:ext cx="5267960" cy="789241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71135" cy="3124200"/>
            <wp:effectExtent l="0" t="0" r="5715"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5271135" cy="31242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71135" cy="3086735"/>
            <wp:effectExtent l="0" t="0" r="5715" b="1841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5271135" cy="308673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69230" cy="3507105"/>
            <wp:effectExtent l="0" t="0" r="7620" b="1714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5269230" cy="350710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58BA69"/>
    <w:multiLevelType w:val="singleLevel"/>
    <w:tmpl w:val="A558BA69"/>
    <w:lvl w:ilvl="0" w:tentative="0">
      <w:start w:val="1"/>
      <w:numFmt w:val="decimal"/>
      <w:suff w:val="nothing"/>
      <w:lvlText w:val="%1、"/>
      <w:lvlJc w:val="left"/>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abstractNum w:abstractNumId="2">
    <w:nsid w:val="69E77EF5"/>
    <w:multiLevelType w:val="multilevel"/>
    <w:tmpl w:val="69E77EF5"/>
    <w:lvl w:ilvl="0" w:tentative="0">
      <w:start w:val="1"/>
      <w:numFmt w:val="chineseCounting"/>
      <w:pStyle w:val="2"/>
      <w:suff w:val="nothing"/>
      <w:lvlText w:val="%1、"/>
      <w:lvlJc w:val="left"/>
      <w:pPr>
        <w:tabs>
          <w:tab w:val="left" w:pos="851"/>
        </w:tabs>
        <w:ind w:left="851" w:firstLine="0"/>
      </w:pPr>
      <w:rPr>
        <w:rFonts w:hint="eastAsia" w:eastAsia="黑体"/>
        <w:sz w:val="32"/>
        <w:lang w:val="en-US"/>
      </w:rPr>
    </w:lvl>
    <w:lvl w:ilvl="1" w:tentative="0">
      <w:start w:val="1"/>
      <w:numFmt w:val="chineseCounting"/>
      <w:suff w:val="nothing"/>
      <w:lvlText w:val="（%2）"/>
      <w:lvlJc w:val="left"/>
      <w:pPr>
        <w:ind w:left="851" w:firstLine="0"/>
      </w:pPr>
      <w:rPr>
        <w:rFonts w:hint="eastAsia"/>
      </w:rPr>
    </w:lvl>
    <w:lvl w:ilvl="2" w:tentative="0">
      <w:start w:val="1"/>
      <w:numFmt w:val="decimal"/>
      <w:suff w:val="nothing"/>
      <w:lvlText w:val="%3．"/>
      <w:lvlJc w:val="left"/>
      <w:pPr>
        <w:ind w:left="851" w:firstLine="400"/>
      </w:pPr>
      <w:rPr>
        <w:rFonts w:hint="eastAsia"/>
      </w:rPr>
    </w:lvl>
    <w:lvl w:ilvl="3" w:tentative="0">
      <w:start w:val="1"/>
      <w:numFmt w:val="decimal"/>
      <w:suff w:val="nothing"/>
      <w:lvlText w:val="（%4）"/>
      <w:lvlJc w:val="left"/>
      <w:pPr>
        <w:ind w:left="851" w:firstLine="402"/>
      </w:pPr>
      <w:rPr>
        <w:rFonts w:hint="eastAsia"/>
      </w:rPr>
    </w:lvl>
    <w:lvl w:ilvl="4" w:tentative="0">
      <w:start w:val="1"/>
      <w:numFmt w:val="decimalEnclosedCircleChinese"/>
      <w:suff w:val="nothing"/>
      <w:lvlText w:val="%5"/>
      <w:lvlJc w:val="left"/>
      <w:pPr>
        <w:ind w:left="851" w:firstLine="402"/>
      </w:pPr>
      <w:rPr>
        <w:rFonts w:hint="eastAsia"/>
      </w:rPr>
    </w:lvl>
    <w:lvl w:ilvl="5" w:tentative="0">
      <w:start w:val="1"/>
      <w:numFmt w:val="decimal"/>
      <w:suff w:val="nothing"/>
      <w:lvlText w:val="%6）"/>
      <w:lvlJc w:val="left"/>
      <w:pPr>
        <w:ind w:left="851" w:firstLine="402"/>
      </w:pPr>
      <w:rPr>
        <w:rFonts w:hint="eastAsia"/>
      </w:rPr>
    </w:lvl>
    <w:lvl w:ilvl="6" w:tentative="0">
      <w:start w:val="1"/>
      <w:numFmt w:val="lowerLetter"/>
      <w:suff w:val="nothing"/>
      <w:lvlText w:val="%7．"/>
      <w:lvlJc w:val="left"/>
      <w:pPr>
        <w:ind w:left="851" w:firstLine="402"/>
      </w:pPr>
      <w:rPr>
        <w:rFonts w:hint="eastAsia"/>
      </w:rPr>
    </w:lvl>
    <w:lvl w:ilvl="7" w:tentative="0">
      <w:start w:val="1"/>
      <w:numFmt w:val="lowerLetter"/>
      <w:suff w:val="nothing"/>
      <w:lvlText w:val="%8）"/>
      <w:lvlJc w:val="left"/>
      <w:pPr>
        <w:ind w:left="851" w:firstLine="402"/>
      </w:pPr>
      <w:rPr>
        <w:rFonts w:hint="eastAsia"/>
      </w:rPr>
    </w:lvl>
    <w:lvl w:ilvl="8" w:tentative="0">
      <w:start w:val="1"/>
      <w:numFmt w:val="lowerRoman"/>
      <w:suff w:val="nothing"/>
      <w:lvlText w:val="%9 "/>
      <w:lvlJc w:val="left"/>
      <w:pPr>
        <w:ind w:left="851" w:firstLine="402"/>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jZDkzNDQ4NTc2YzZkMWRmMjYwMjhkYzI4NjdmYTYifQ=="/>
    <w:docVar w:name="KSO_WPS_MARK_KEY" w:val="41ee2a61-2d54-4f93-83be-afdb9a40d732"/>
  </w:docVars>
  <w:rsids>
    <w:rsidRoot w:val="00172A27"/>
    <w:rsid w:val="00213C59"/>
    <w:rsid w:val="003210CE"/>
    <w:rsid w:val="00897BE7"/>
    <w:rsid w:val="00B70D59"/>
    <w:rsid w:val="00F52A8D"/>
    <w:rsid w:val="019404F8"/>
    <w:rsid w:val="01ED22F2"/>
    <w:rsid w:val="02BD3108"/>
    <w:rsid w:val="02F73D26"/>
    <w:rsid w:val="031459CE"/>
    <w:rsid w:val="03463D41"/>
    <w:rsid w:val="034D4FEF"/>
    <w:rsid w:val="035D1785"/>
    <w:rsid w:val="039F47CE"/>
    <w:rsid w:val="03E05CE8"/>
    <w:rsid w:val="03E17FE5"/>
    <w:rsid w:val="03F973EE"/>
    <w:rsid w:val="043E5B56"/>
    <w:rsid w:val="04953789"/>
    <w:rsid w:val="04C04386"/>
    <w:rsid w:val="04D96608"/>
    <w:rsid w:val="04F8404B"/>
    <w:rsid w:val="04FA68C4"/>
    <w:rsid w:val="0535364C"/>
    <w:rsid w:val="053F5AE6"/>
    <w:rsid w:val="057C0B0F"/>
    <w:rsid w:val="05EF4B48"/>
    <w:rsid w:val="05F76ECA"/>
    <w:rsid w:val="06792773"/>
    <w:rsid w:val="06CC0D15"/>
    <w:rsid w:val="07093795"/>
    <w:rsid w:val="07577FC5"/>
    <w:rsid w:val="07804730"/>
    <w:rsid w:val="079052BE"/>
    <w:rsid w:val="079F1DB2"/>
    <w:rsid w:val="08145C21"/>
    <w:rsid w:val="08422688"/>
    <w:rsid w:val="085854ED"/>
    <w:rsid w:val="0879188F"/>
    <w:rsid w:val="087D5EC8"/>
    <w:rsid w:val="08993A9C"/>
    <w:rsid w:val="08A0354D"/>
    <w:rsid w:val="08CD4C49"/>
    <w:rsid w:val="09114954"/>
    <w:rsid w:val="095A5B83"/>
    <w:rsid w:val="096466E3"/>
    <w:rsid w:val="0968304D"/>
    <w:rsid w:val="09AF3D17"/>
    <w:rsid w:val="09FE1C54"/>
    <w:rsid w:val="0A7809B7"/>
    <w:rsid w:val="0A7B4867"/>
    <w:rsid w:val="0A840954"/>
    <w:rsid w:val="0A9928ED"/>
    <w:rsid w:val="0B61769D"/>
    <w:rsid w:val="0B8C3ECC"/>
    <w:rsid w:val="0B9C639D"/>
    <w:rsid w:val="0BB052B2"/>
    <w:rsid w:val="0BCB580A"/>
    <w:rsid w:val="0BD33FFC"/>
    <w:rsid w:val="0BE8453E"/>
    <w:rsid w:val="0BE97AC1"/>
    <w:rsid w:val="0C04358C"/>
    <w:rsid w:val="0C1C4780"/>
    <w:rsid w:val="0C3613A3"/>
    <w:rsid w:val="0C5E519C"/>
    <w:rsid w:val="0C7227A7"/>
    <w:rsid w:val="0CA52EE8"/>
    <w:rsid w:val="0CBD6988"/>
    <w:rsid w:val="0CC1673C"/>
    <w:rsid w:val="0CD208AC"/>
    <w:rsid w:val="0D4903E8"/>
    <w:rsid w:val="0D7A4A46"/>
    <w:rsid w:val="0E640559"/>
    <w:rsid w:val="0E8A515C"/>
    <w:rsid w:val="0F1113DA"/>
    <w:rsid w:val="0F78534A"/>
    <w:rsid w:val="0F89358A"/>
    <w:rsid w:val="0F8C6D51"/>
    <w:rsid w:val="105B0B5E"/>
    <w:rsid w:val="10F06046"/>
    <w:rsid w:val="112E58D0"/>
    <w:rsid w:val="11731CAC"/>
    <w:rsid w:val="119500A0"/>
    <w:rsid w:val="11C0733B"/>
    <w:rsid w:val="11D4688F"/>
    <w:rsid w:val="11D50D17"/>
    <w:rsid w:val="120E0809"/>
    <w:rsid w:val="1265423E"/>
    <w:rsid w:val="127F665A"/>
    <w:rsid w:val="12F7068C"/>
    <w:rsid w:val="13511DA5"/>
    <w:rsid w:val="136604C5"/>
    <w:rsid w:val="140828E4"/>
    <w:rsid w:val="14207DC0"/>
    <w:rsid w:val="14B932DA"/>
    <w:rsid w:val="14D2740B"/>
    <w:rsid w:val="150A66AF"/>
    <w:rsid w:val="150B1592"/>
    <w:rsid w:val="15374E15"/>
    <w:rsid w:val="154431E4"/>
    <w:rsid w:val="154C1139"/>
    <w:rsid w:val="158C5B77"/>
    <w:rsid w:val="160D1149"/>
    <w:rsid w:val="163563C0"/>
    <w:rsid w:val="164315EF"/>
    <w:rsid w:val="16557DFE"/>
    <w:rsid w:val="167268FB"/>
    <w:rsid w:val="16737E60"/>
    <w:rsid w:val="16770D0A"/>
    <w:rsid w:val="16D50C50"/>
    <w:rsid w:val="16E120E1"/>
    <w:rsid w:val="16E61754"/>
    <w:rsid w:val="17385A05"/>
    <w:rsid w:val="173B3901"/>
    <w:rsid w:val="176747F9"/>
    <w:rsid w:val="17954A6E"/>
    <w:rsid w:val="17E07B9B"/>
    <w:rsid w:val="180059E9"/>
    <w:rsid w:val="184510FD"/>
    <w:rsid w:val="18471295"/>
    <w:rsid w:val="190648B0"/>
    <w:rsid w:val="19071D6C"/>
    <w:rsid w:val="19241438"/>
    <w:rsid w:val="1935201D"/>
    <w:rsid w:val="19D26CD4"/>
    <w:rsid w:val="19E06E5D"/>
    <w:rsid w:val="19E60D19"/>
    <w:rsid w:val="1A3E3450"/>
    <w:rsid w:val="1AD807E5"/>
    <w:rsid w:val="1B39345B"/>
    <w:rsid w:val="1B834B04"/>
    <w:rsid w:val="1BA6156C"/>
    <w:rsid w:val="1BFB2A1F"/>
    <w:rsid w:val="1C015D4A"/>
    <w:rsid w:val="1C290ED5"/>
    <w:rsid w:val="1C317E4F"/>
    <w:rsid w:val="1C472464"/>
    <w:rsid w:val="1D22799A"/>
    <w:rsid w:val="1D5C1A72"/>
    <w:rsid w:val="1DAF458D"/>
    <w:rsid w:val="1DD0531B"/>
    <w:rsid w:val="1DEF14F1"/>
    <w:rsid w:val="1E086ACE"/>
    <w:rsid w:val="1E62130A"/>
    <w:rsid w:val="1E97358B"/>
    <w:rsid w:val="1EAA4A5F"/>
    <w:rsid w:val="1EE869A7"/>
    <w:rsid w:val="1F3152D9"/>
    <w:rsid w:val="1FA15E62"/>
    <w:rsid w:val="1FED69B6"/>
    <w:rsid w:val="2002667F"/>
    <w:rsid w:val="2064678E"/>
    <w:rsid w:val="20DC1AB9"/>
    <w:rsid w:val="20DD6197"/>
    <w:rsid w:val="212631E0"/>
    <w:rsid w:val="218D48F0"/>
    <w:rsid w:val="21A53757"/>
    <w:rsid w:val="221236C6"/>
    <w:rsid w:val="22486CF8"/>
    <w:rsid w:val="22D7662C"/>
    <w:rsid w:val="233000CF"/>
    <w:rsid w:val="23326B7F"/>
    <w:rsid w:val="237A2680"/>
    <w:rsid w:val="2380045B"/>
    <w:rsid w:val="23BC04D2"/>
    <w:rsid w:val="23EF1892"/>
    <w:rsid w:val="2483647E"/>
    <w:rsid w:val="24890CD4"/>
    <w:rsid w:val="24A32D55"/>
    <w:rsid w:val="24D17AC2"/>
    <w:rsid w:val="25292727"/>
    <w:rsid w:val="252E5CA9"/>
    <w:rsid w:val="25631B28"/>
    <w:rsid w:val="256F7692"/>
    <w:rsid w:val="25BA2154"/>
    <w:rsid w:val="25BD2A5F"/>
    <w:rsid w:val="25C8773F"/>
    <w:rsid w:val="264A7253"/>
    <w:rsid w:val="26F0170C"/>
    <w:rsid w:val="27201D62"/>
    <w:rsid w:val="27286E73"/>
    <w:rsid w:val="27CF2642"/>
    <w:rsid w:val="27E777F5"/>
    <w:rsid w:val="27EA1D4C"/>
    <w:rsid w:val="27EA2E41"/>
    <w:rsid w:val="280B6CCE"/>
    <w:rsid w:val="282459E2"/>
    <w:rsid w:val="283A7FE5"/>
    <w:rsid w:val="285F51FF"/>
    <w:rsid w:val="28DF2665"/>
    <w:rsid w:val="29072599"/>
    <w:rsid w:val="291029F3"/>
    <w:rsid w:val="29CB58F0"/>
    <w:rsid w:val="2A053397"/>
    <w:rsid w:val="2A107D4D"/>
    <w:rsid w:val="2A145E96"/>
    <w:rsid w:val="2A2131BB"/>
    <w:rsid w:val="2AF5378F"/>
    <w:rsid w:val="2BB94DBF"/>
    <w:rsid w:val="2BC129D3"/>
    <w:rsid w:val="2BD12EC2"/>
    <w:rsid w:val="2C6F314E"/>
    <w:rsid w:val="2CC206BE"/>
    <w:rsid w:val="2D1136DF"/>
    <w:rsid w:val="2D20606D"/>
    <w:rsid w:val="2DB87198"/>
    <w:rsid w:val="2DB93C54"/>
    <w:rsid w:val="2DDA47FD"/>
    <w:rsid w:val="2E3D144C"/>
    <w:rsid w:val="2E891204"/>
    <w:rsid w:val="2F3F0A28"/>
    <w:rsid w:val="2F491D3E"/>
    <w:rsid w:val="2FBF7029"/>
    <w:rsid w:val="2FD0187F"/>
    <w:rsid w:val="2FD27414"/>
    <w:rsid w:val="2FFE4BB0"/>
    <w:rsid w:val="300E7B60"/>
    <w:rsid w:val="300F6E18"/>
    <w:rsid w:val="30862F5F"/>
    <w:rsid w:val="312215C3"/>
    <w:rsid w:val="313D0E04"/>
    <w:rsid w:val="314029C9"/>
    <w:rsid w:val="31C63837"/>
    <w:rsid w:val="31C82E39"/>
    <w:rsid w:val="32601BAD"/>
    <w:rsid w:val="329F6389"/>
    <w:rsid w:val="331E0F32"/>
    <w:rsid w:val="3389023A"/>
    <w:rsid w:val="3390372F"/>
    <w:rsid w:val="33CB74FA"/>
    <w:rsid w:val="33E156B0"/>
    <w:rsid w:val="342B1C75"/>
    <w:rsid w:val="343642F2"/>
    <w:rsid w:val="343F3010"/>
    <w:rsid w:val="345D0A00"/>
    <w:rsid w:val="34713BFD"/>
    <w:rsid w:val="34C13589"/>
    <w:rsid w:val="353369E3"/>
    <w:rsid w:val="3589141A"/>
    <w:rsid w:val="35B21E0B"/>
    <w:rsid w:val="35E00D72"/>
    <w:rsid w:val="36965B9D"/>
    <w:rsid w:val="36A5256B"/>
    <w:rsid w:val="36C549FD"/>
    <w:rsid w:val="378564CA"/>
    <w:rsid w:val="37A755DD"/>
    <w:rsid w:val="37F94FA0"/>
    <w:rsid w:val="380D3381"/>
    <w:rsid w:val="38115B1F"/>
    <w:rsid w:val="385E3AC3"/>
    <w:rsid w:val="387D6B9E"/>
    <w:rsid w:val="38B75FF0"/>
    <w:rsid w:val="38D45016"/>
    <w:rsid w:val="38D90432"/>
    <w:rsid w:val="3914510A"/>
    <w:rsid w:val="3926770B"/>
    <w:rsid w:val="39670CA0"/>
    <w:rsid w:val="398D3668"/>
    <w:rsid w:val="39DA0497"/>
    <w:rsid w:val="39EB4074"/>
    <w:rsid w:val="39FF1450"/>
    <w:rsid w:val="3A865552"/>
    <w:rsid w:val="3A893816"/>
    <w:rsid w:val="3A893B6D"/>
    <w:rsid w:val="3AD1763A"/>
    <w:rsid w:val="3B6716E3"/>
    <w:rsid w:val="3B6C6B2D"/>
    <w:rsid w:val="3BB104DF"/>
    <w:rsid w:val="3C0F2779"/>
    <w:rsid w:val="3C242659"/>
    <w:rsid w:val="3C96719C"/>
    <w:rsid w:val="3CA72BE8"/>
    <w:rsid w:val="3CC66F5A"/>
    <w:rsid w:val="3CF37F8C"/>
    <w:rsid w:val="3D137554"/>
    <w:rsid w:val="3D5275AC"/>
    <w:rsid w:val="3D776C15"/>
    <w:rsid w:val="3DCC2473"/>
    <w:rsid w:val="3DE13A7D"/>
    <w:rsid w:val="3DEB0883"/>
    <w:rsid w:val="3E2527BF"/>
    <w:rsid w:val="3E731662"/>
    <w:rsid w:val="3E8168DD"/>
    <w:rsid w:val="3EA7725F"/>
    <w:rsid w:val="3EB03713"/>
    <w:rsid w:val="3EBF1A11"/>
    <w:rsid w:val="3EC52607"/>
    <w:rsid w:val="3EEC6CEF"/>
    <w:rsid w:val="3F183429"/>
    <w:rsid w:val="3F620D12"/>
    <w:rsid w:val="3FB77A1D"/>
    <w:rsid w:val="3FDC3674"/>
    <w:rsid w:val="3FED7F8A"/>
    <w:rsid w:val="40094AEF"/>
    <w:rsid w:val="403F0359"/>
    <w:rsid w:val="405470BD"/>
    <w:rsid w:val="40794A29"/>
    <w:rsid w:val="40834692"/>
    <w:rsid w:val="408D184D"/>
    <w:rsid w:val="41431AD5"/>
    <w:rsid w:val="414B3C0F"/>
    <w:rsid w:val="417C1CE7"/>
    <w:rsid w:val="41900018"/>
    <w:rsid w:val="41944406"/>
    <w:rsid w:val="41CE128F"/>
    <w:rsid w:val="41DA6F12"/>
    <w:rsid w:val="42171FB1"/>
    <w:rsid w:val="434E6957"/>
    <w:rsid w:val="43BA0E31"/>
    <w:rsid w:val="43C15147"/>
    <w:rsid w:val="43E14DD2"/>
    <w:rsid w:val="43EE2CDB"/>
    <w:rsid w:val="43F800E9"/>
    <w:rsid w:val="443A7E4B"/>
    <w:rsid w:val="452F5B3A"/>
    <w:rsid w:val="454E7FD2"/>
    <w:rsid w:val="45A81C53"/>
    <w:rsid w:val="46061BDC"/>
    <w:rsid w:val="460F3EBF"/>
    <w:rsid w:val="461404F8"/>
    <w:rsid w:val="46413018"/>
    <w:rsid w:val="464B7E04"/>
    <w:rsid w:val="468041AA"/>
    <w:rsid w:val="468123C6"/>
    <w:rsid w:val="46901EEE"/>
    <w:rsid w:val="469C74D2"/>
    <w:rsid w:val="47445515"/>
    <w:rsid w:val="474B4782"/>
    <w:rsid w:val="478F649A"/>
    <w:rsid w:val="47D7665B"/>
    <w:rsid w:val="47D90D14"/>
    <w:rsid w:val="48387FB0"/>
    <w:rsid w:val="483A6114"/>
    <w:rsid w:val="488727DB"/>
    <w:rsid w:val="48961E45"/>
    <w:rsid w:val="48B82268"/>
    <w:rsid w:val="48C354B3"/>
    <w:rsid w:val="493D58B5"/>
    <w:rsid w:val="494A7A04"/>
    <w:rsid w:val="49901BEE"/>
    <w:rsid w:val="49B36C22"/>
    <w:rsid w:val="4A0A26D2"/>
    <w:rsid w:val="4A2019A5"/>
    <w:rsid w:val="4A241A0B"/>
    <w:rsid w:val="4A7B2875"/>
    <w:rsid w:val="4A934476"/>
    <w:rsid w:val="4AAA220A"/>
    <w:rsid w:val="4AE12E67"/>
    <w:rsid w:val="4B4C0111"/>
    <w:rsid w:val="4B7324F9"/>
    <w:rsid w:val="4B8553A9"/>
    <w:rsid w:val="4BDB3730"/>
    <w:rsid w:val="4C200F7A"/>
    <w:rsid w:val="4C61006C"/>
    <w:rsid w:val="4C6F050E"/>
    <w:rsid w:val="4CEE3180"/>
    <w:rsid w:val="4CF907DC"/>
    <w:rsid w:val="4D0F4AF6"/>
    <w:rsid w:val="4DA740D4"/>
    <w:rsid w:val="4DAF091C"/>
    <w:rsid w:val="4DF94F37"/>
    <w:rsid w:val="4E0A1DD5"/>
    <w:rsid w:val="4E3160E5"/>
    <w:rsid w:val="4E4D37AF"/>
    <w:rsid w:val="4E8B49A7"/>
    <w:rsid w:val="4E8C6496"/>
    <w:rsid w:val="4EE53317"/>
    <w:rsid w:val="4EFD18DE"/>
    <w:rsid w:val="4F144236"/>
    <w:rsid w:val="4F663C87"/>
    <w:rsid w:val="4F7E29A8"/>
    <w:rsid w:val="4F9E1FFC"/>
    <w:rsid w:val="4FA765D2"/>
    <w:rsid w:val="4FE905C5"/>
    <w:rsid w:val="50447CC2"/>
    <w:rsid w:val="50874A7C"/>
    <w:rsid w:val="50895EE7"/>
    <w:rsid w:val="50921B9D"/>
    <w:rsid w:val="50A3155B"/>
    <w:rsid w:val="50C83E6B"/>
    <w:rsid w:val="50D16158"/>
    <w:rsid w:val="50DB5F45"/>
    <w:rsid w:val="51025EB1"/>
    <w:rsid w:val="51141503"/>
    <w:rsid w:val="518D0ED5"/>
    <w:rsid w:val="51B31CE6"/>
    <w:rsid w:val="525C687F"/>
    <w:rsid w:val="52D95986"/>
    <w:rsid w:val="52F647F7"/>
    <w:rsid w:val="52F92565"/>
    <w:rsid w:val="53D03877"/>
    <w:rsid w:val="54280E3B"/>
    <w:rsid w:val="542F73CA"/>
    <w:rsid w:val="5430786D"/>
    <w:rsid w:val="545A1D2A"/>
    <w:rsid w:val="54C811C0"/>
    <w:rsid w:val="554B2F4C"/>
    <w:rsid w:val="556A442D"/>
    <w:rsid w:val="55DA564E"/>
    <w:rsid w:val="55E70E5F"/>
    <w:rsid w:val="55E816A3"/>
    <w:rsid w:val="5604127D"/>
    <w:rsid w:val="56166703"/>
    <w:rsid w:val="56510474"/>
    <w:rsid w:val="56861525"/>
    <w:rsid w:val="56A93273"/>
    <w:rsid w:val="56BD550C"/>
    <w:rsid w:val="56E07045"/>
    <w:rsid w:val="56F50AA3"/>
    <w:rsid w:val="56F52014"/>
    <w:rsid w:val="56FF28AF"/>
    <w:rsid w:val="57540E7D"/>
    <w:rsid w:val="575E5E0B"/>
    <w:rsid w:val="577B4878"/>
    <w:rsid w:val="57926973"/>
    <w:rsid w:val="579327F9"/>
    <w:rsid w:val="58175352"/>
    <w:rsid w:val="581F2200"/>
    <w:rsid w:val="583059FA"/>
    <w:rsid w:val="58327B80"/>
    <w:rsid w:val="584A0929"/>
    <w:rsid w:val="585951DC"/>
    <w:rsid w:val="586D0166"/>
    <w:rsid w:val="58CD2491"/>
    <w:rsid w:val="591B41B2"/>
    <w:rsid w:val="59254A26"/>
    <w:rsid w:val="59326325"/>
    <w:rsid w:val="594F65F7"/>
    <w:rsid w:val="595C505B"/>
    <w:rsid w:val="595E55C3"/>
    <w:rsid w:val="596E7E20"/>
    <w:rsid w:val="59F751C3"/>
    <w:rsid w:val="5A5F4374"/>
    <w:rsid w:val="5A60780B"/>
    <w:rsid w:val="5AB34579"/>
    <w:rsid w:val="5ADD6A72"/>
    <w:rsid w:val="5AFC6609"/>
    <w:rsid w:val="5B113480"/>
    <w:rsid w:val="5BD456CE"/>
    <w:rsid w:val="5C0D1F49"/>
    <w:rsid w:val="5C9C18B0"/>
    <w:rsid w:val="5CBB0CE2"/>
    <w:rsid w:val="5CC17177"/>
    <w:rsid w:val="5CF306BC"/>
    <w:rsid w:val="5D3F3D64"/>
    <w:rsid w:val="5D5850AB"/>
    <w:rsid w:val="5D641365"/>
    <w:rsid w:val="5D833043"/>
    <w:rsid w:val="5DD92690"/>
    <w:rsid w:val="5DDB1CFD"/>
    <w:rsid w:val="5E767EDE"/>
    <w:rsid w:val="5E7E6D93"/>
    <w:rsid w:val="5ED44800"/>
    <w:rsid w:val="5F350BDE"/>
    <w:rsid w:val="5F4920D3"/>
    <w:rsid w:val="5F61632C"/>
    <w:rsid w:val="5FA17648"/>
    <w:rsid w:val="5FE705CB"/>
    <w:rsid w:val="5FEC23BD"/>
    <w:rsid w:val="603D5080"/>
    <w:rsid w:val="60D0261B"/>
    <w:rsid w:val="618E3791"/>
    <w:rsid w:val="61947DCA"/>
    <w:rsid w:val="61A46A97"/>
    <w:rsid w:val="61D1382F"/>
    <w:rsid w:val="61F114A2"/>
    <w:rsid w:val="622B0ABA"/>
    <w:rsid w:val="62512BB4"/>
    <w:rsid w:val="625D7D1A"/>
    <w:rsid w:val="62DD7D21"/>
    <w:rsid w:val="63590770"/>
    <w:rsid w:val="63691DC0"/>
    <w:rsid w:val="637D586B"/>
    <w:rsid w:val="63A5560B"/>
    <w:rsid w:val="63AC6E33"/>
    <w:rsid w:val="63E9091F"/>
    <w:rsid w:val="64322AF9"/>
    <w:rsid w:val="64D6010D"/>
    <w:rsid w:val="64D66BFE"/>
    <w:rsid w:val="64D82665"/>
    <w:rsid w:val="64E47C96"/>
    <w:rsid w:val="651E5741"/>
    <w:rsid w:val="65722431"/>
    <w:rsid w:val="658A4877"/>
    <w:rsid w:val="65A00902"/>
    <w:rsid w:val="65AC6EDD"/>
    <w:rsid w:val="65D97752"/>
    <w:rsid w:val="66085536"/>
    <w:rsid w:val="66105BF7"/>
    <w:rsid w:val="66150023"/>
    <w:rsid w:val="6628010D"/>
    <w:rsid w:val="669B4528"/>
    <w:rsid w:val="66CC12D7"/>
    <w:rsid w:val="67134CEF"/>
    <w:rsid w:val="67177D85"/>
    <w:rsid w:val="671F1ABD"/>
    <w:rsid w:val="67521A59"/>
    <w:rsid w:val="67C304AB"/>
    <w:rsid w:val="6814255B"/>
    <w:rsid w:val="683F0658"/>
    <w:rsid w:val="689C6793"/>
    <w:rsid w:val="68DB0208"/>
    <w:rsid w:val="68FB170C"/>
    <w:rsid w:val="691B3D98"/>
    <w:rsid w:val="693748F0"/>
    <w:rsid w:val="69846A0E"/>
    <w:rsid w:val="69AA1366"/>
    <w:rsid w:val="69AD798C"/>
    <w:rsid w:val="69D005C0"/>
    <w:rsid w:val="69D80B96"/>
    <w:rsid w:val="6A781B51"/>
    <w:rsid w:val="6B68175F"/>
    <w:rsid w:val="6B78435A"/>
    <w:rsid w:val="6BFB7968"/>
    <w:rsid w:val="6BFD799F"/>
    <w:rsid w:val="6C4A2E5A"/>
    <w:rsid w:val="6C8138D0"/>
    <w:rsid w:val="6CDD521A"/>
    <w:rsid w:val="6CE76507"/>
    <w:rsid w:val="6CEF0725"/>
    <w:rsid w:val="6D4B2604"/>
    <w:rsid w:val="6D8030E4"/>
    <w:rsid w:val="6E0E35C4"/>
    <w:rsid w:val="6E0F7A08"/>
    <w:rsid w:val="6E3947F5"/>
    <w:rsid w:val="6E6E3938"/>
    <w:rsid w:val="6E9C74ED"/>
    <w:rsid w:val="6EE56716"/>
    <w:rsid w:val="6EF72976"/>
    <w:rsid w:val="6F795A80"/>
    <w:rsid w:val="6F7C1D2E"/>
    <w:rsid w:val="6F8E0407"/>
    <w:rsid w:val="6FDD069F"/>
    <w:rsid w:val="701B6D67"/>
    <w:rsid w:val="702B4D16"/>
    <w:rsid w:val="70750ADA"/>
    <w:rsid w:val="70AA6621"/>
    <w:rsid w:val="7111480F"/>
    <w:rsid w:val="71261F49"/>
    <w:rsid w:val="712E6956"/>
    <w:rsid w:val="71473612"/>
    <w:rsid w:val="71504F32"/>
    <w:rsid w:val="7152309F"/>
    <w:rsid w:val="718F7F65"/>
    <w:rsid w:val="71A565BD"/>
    <w:rsid w:val="727B234E"/>
    <w:rsid w:val="72D068C7"/>
    <w:rsid w:val="72E42ED8"/>
    <w:rsid w:val="730D41B0"/>
    <w:rsid w:val="735F4CB9"/>
    <w:rsid w:val="73674C62"/>
    <w:rsid w:val="73845865"/>
    <w:rsid w:val="739B6D9E"/>
    <w:rsid w:val="73BC1D76"/>
    <w:rsid w:val="73FB6630"/>
    <w:rsid w:val="741C1633"/>
    <w:rsid w:val="748D790E"/>
    <w:rsid w:val="749820CC"/>
    <w:rsid w:val="74CE04EC"/>
    <w:rsid w:val="74E66828"/>
    <w:rsid w:val="74E76DCD"/>
    <w:rsid w:val="751D7C0A"/>
    <w:rsid w:val="75565FA1"/>
    <w:rsid w:val="75722D56"/>
    <w:rsid w:val="75731F16"/>
    <w:rsid w:val="75DB5477"/>
    <w:rsid w:val="75FC6AC3"/>
    <w:rsid w:val="7616619B"/>
    <w:rsid w:val="76660D7C"/>
    <w:rsid w:val="766C5968"/>
    <w:rsid w:val="76BE0C8F"/>
    <w:rsid w:val="76CD53B2"/>
    <w:rsid w:val="770719AC"/>
    <w:rsid w:val="776526CC"/>
    <w:rsid w:val="77A262E1"/>
    <w:rsid w:val="77B13C33"/>
    <w:rsid w:val="77CF121F"/>
    <w:rsid w:val="77DF044B"/>
    <w:rsid w:val="77ED6F44"/>
    <w:rsid w:val="77F45548"/>
    <w:rsid w:val="784E7CA6"/>
    <w:rsid w:val="78574801"/>
    <w:rsid w:val="7873527F"/>
    <w:rsid w:val="78C8409E"/>
    <w:rsid w:val="790A6425"/>
    <w:rsid w:val="790E2D96"/>
    <w:rsid w:val="791B54B2"/>
    <w:rsid w:val="795A0A34"/>
    <w:rsid w:val="797339C3"/>
    <w:rsid w:val="79C86EBB"/>
    <w:rsid w:val="79CD61C0"/>
    <w:rsid w:val="79D57D57"/>
    <w:rsid w:val="79F00650"/>
    <w:rsid w:val="7A3C691B"/>
    <w:rsid w:val="7A6242BF"/>
    <w:rsid w:val="7A794513"/>
    <w:rsid w:val="7AE952D2"/>
    <w:rsid w:val="7C7248A0"/>
    <w:rsid w:val="7C976D69"/>
    <w:rsid w:val="7CD752DA"/>
    <w:rsid w:val="7CDE40AB"/>
    <w:rsid w:val="7CF057E2"/>
    <w:rsid w:val="7D1548B5"/>
    <w:rsid w:val="7D19417E"/>
    <w:rsid w:val="7DE81FDD"/>
    <w:rsid w:val="7DF84014"/>
    <w:rsid w:val="7E1237C8"/>
    <w:rsid w:val="7E207949"/>
    <w:rsid w:val="7E5C0A47"/>
    <w:rsid w:val="7E670C75"/>
    <w:rsid w:val="7EE24272"/>
    <w:rsid w:val="7EEA6053"/>
    <w:rsid w:val="7EF30715"/>
    <w:rsid w:val="7F487C04"/>
    <w:rsid w:val="7FB45F21"/>
    <w:rsid w:val="7FB6352A"/>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numPr>
        <w:ilvl w:val="0"/>
        <w:numId w:val="1"/>
      </w:numPr>
      <w:tabs>
        <w:tab w:val="left" w:pos="0"/>
      </w:tabs>
      <w:spacing w:line="576" w:lineRule="auto"/>
      <w:outlineLvl w:val="0"/>
    </w:pPr>
    <w:rPr>
      <w:b/>
      <w:kern w:val="44"/>
      <w:sz w:val="4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emf"/><Relationship Id="rId7" Type="http://schemas.openxmlformats.org/officeDocument/2006/relationships/image" Target="media/image3.png"/><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emf"/><Relationship Id="rId12" Type="http://schemas.openxmlformats.org/officeDocument/2006/relationships/image" Target="media/image8.emf"/><Relationship Id="rId11" Type="http://schemas.openxmlformats.org/officeDocument/2006/relationships/image" Target="media/image7.emf"/><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9045</Words>
  <Characters>10439</Characters>
  <Lines>0</Lines>
  <Paragraphs>0</Paragraphs>
  <TotalTime>15</TotalTime>
  <ScaleCrop>false</ScaleCrop>
  <LinksUpToDate>false</LinksUpToDate>
  <CharactersWithSpaces>10451</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2025-03-26T10:02:23Z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D624B15633CD43C8BF9435464A96BF70</vt:lpwstr>
  </property>
</Properties>
</file>