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黑体"/>
          <w:sz w:val="32"/>
          <w:szCs w:val="32"/>
        </w:rPr>
      </w:pPr>
    </w:p>
    <w:p>
      <w:pPr>
        <w:jc w:val="center"/>
        <w:rPr>
          <w:rFonts w:eastAsia="方正小标宋_GBK"/>
          <w:sz w:val="44"/>
          <w:szCs w:val="44"/>
        </w:rPr>
      </w:pPr>
    </w:p>
    <w:p>
      <w:pPr>
        <w:jc w:val="center"/>
        <w:rPr>
          <w:rFonts w:hint="default" w:ascii="方正小标宋_GBK" w:hAnsi="宋体" w:eastAsia="方正小标宋_GBK"/>
          <w:sz w:val="40"/>
          <w:szCs w:val="40"/>
        </w:rPr>
      </w:pPr>
      <w:r>
        <w:rPr>
          <w:rFonts w:hint="default" w:ascii="方正小标宋_GBK" w:hAnsi="宋体" w:eastAsia="方正小标宋_GBK"/>
          <w:sz w:val="40"/>
          <w:szCs w:val="40"/>
        </w:rPr>
        <w:t>库尔勒市自然资源局</w:t>
      </w:r>
    </w:p>
    <w:p>
      <w:pPr>
        <w:jc w:val="center"/>
        <w:rPr>
          <w:rFonts w:hint="default" w:ascii="方正小标宋_GBK" w:hAnsi="宋体" w:eastAsia="方正小标宋_GBK"/>
          <w:sz w:val="40"/>
          <w:szCs w:val="40"/>
        </w:rPr>
      </w:pPr>
      <w:r>
        <w:rPr>
          <w:rFonts w:hint="default" w:ascii="方正小标宋_GBK" w:hAnsi="宋体" w:eastAsia="方正小标宋_GBK"/>
          <w:sz w:val="40"/>
          <w:szCs w:val="40"/>
        </w:rPr>
        <w:t xml:space="preserve"> 2023年度部门决算</w:t>
      </w:r>
    </w:p>
    <w:p>
      <w:pPr>
        <w:jc w:val="center"/>
        <w:rPr>
          <w:rFonts w:eastAsia="方正小标宋_GBK"/>
          <w:sz w:val="40"/>
          <w:szCs w:val="40"/>
        </w:rPr>
      </w:pPr>
      <w:r>
        <w:rPr>
          <w:rFonts w:hint="default" w:ascii="方正小标宋_GBK" w:hAnsi="宋体" w:eastAsia="方正小标宋_GBK"/>
          <w:sz w:val="40"/>
          <w:szCs w:val="40"/>
        </w:rPr>
        <w:t>公开说明</w:t>
      </w:r>
    </w:p>
    <w:p>
      <w:pPr>
        <w:rPr>
          <w:rFonts w:eastAsia="方正小标宋_GBK"/>
          <w:sz w:val="44"/>
          <w:szCs w:val="44"/>
        </w:rPr>
      </w:pPr>
      <w:r>
        <w:rPr>
          <w:rFonts w:eastAsia="方正小标宋_GBK"/>
          <w:sz w:val="44"/>
          <w:szCs w:val="44"/>
        </w:rPr>
        <w:br w:type="page"/>
      </w:r>
    </w:p>
    <w:p>
      <w:pPr>
        <w:jc w:val="center"/>
        <w:rPr>
          <w:rFonts w:hint="default" w:ascii="Times New Roman" w:hAnsi="Times New Roman" w:eastAsia="方正仿宋_GBK" w:cs="Times New Roman"/>
          <w:b/>
          <w:kern w:val="0"/>
          <w:sz w:val="36"/>
          <w:szCs w:val="36"/>
        </w:rPr>
      </w:pPr>
      <w:r>
        <w:rPr>
          <w:rFonts w:hint="default" w:ascii="Times New Roman" w:hAnsi="Times New Roman" w:eastAsia="方正仿宋_GBK" w:cs="Times New Roman"/>
          <w:b/>
          <w:kern w:val="0"/>
          <w:sz w:val="36"/>
          <w:szCs w:val="36"/>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_Toc32314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 xml:space="preserve">第一部分 </w:t>
      </w:r>
      <w:r>
        <w:rPr>
          <w:rFonts w:hint="eastAsia" w:ascii="方正仿宋_GBK" w:hAnsi="方正仿宋_GBK" w:eastAsia="方正仿宋_GBK" w:cs="方正仿宋_GBK"/>
          <w:b/>
          <w:bCs/>
          <w:color w:val="auto"/>
          <w:sz w:val="32"/>
          <w:szCs w:val="32"/>
          <w:highlight w:val="none"/>
          <w:lang w:eastAsia="zh-CN"/>
        </w:rPr>
        <w:t>单位</w:t>
      </w:r>
      <w:r>
        <w:rPr>
          <w:rFonts w:hint="eastAsia" w:ascii="方正仿宋_GBK" w:hAnsi="方正仿宋_GBK" w:eastAsia="方正仿宋_GBK" w:cs="方正仿宋_GBK"/>
          <w:b/>
          <w:bCs/>
          <w:color w:val="auto"/>
          <w:sz w:val="32"/>
          <w:szCs w:val="32"/>
          <w:highlight w:val="none"/>
        </w:rPr>
        <w:t>概况</w:t>
      </w:r>
      <w:r>
        <w:rPr>
          <w:rFonts w:hint="eastAsia" w:ascii="方正仿宋_GBK" w:hAnsi="方正仿宋_GBK" w:eastAsia="方正仿宋_GBK" w:cs="方正仿宋_GBK"/>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_Toc30567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一、主要职能</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_Toc2151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二、机构设置</w:t>
      </w:r>
      <w:r>
        <w:rPr>
          <w:rFonts w:hint="eastAsia" w:ascii="方正仿宋_GBK" w:hAnsi="方正仿宋_GBK" w:eastAsia="方正仿宋_GBK" w:cs="方正仿宋_GBK"/>
          <w:bCs/>
          <w:color w:val="auto"/>
          <w:kern w:val="0"/>
          <w:sz w:val="32"/>
          <w:szCs w:val="32"/>
          <w:highlight w:val="none"/>
          <w:lang w:eastAsia="zh-CN"/>
        </w:rPr>
        <w:t>及人员</w:t>
      </w:r>
      <w:r>
        <w:rPr>
          <w:rFonts w:hint="eastAsia" w:ascii="方正仿宋_GBK" w:hAnsi="方正仿宋_GBK" w:eastAsia="方正仿宋_GBK" w:cs="方正仿宋_GBK"/>
          <w:bCs/>
          <w:color w:val="auto"/>
          <w:kern w:val="0"/>
          <w:sz w:val="32"/>
          <w:szCs w:val="32"/>
          <w:highlight w:val="none"/>
        </w:rPr>
        <w:t>情况</w:t>
      </w:r>
      <w:r>
        <w:rPr>
          <w:rFonts w:hint="eastAsia" w:ascii="方正仿宋_GBK" w:hAnsi="方正仿宋_GBK" w:eastAsia="方正仿宋_GBK" w:cs="方正仿宋_GBK"/>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_Toc29374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第二部分 部门决算情况说明</w:t>
      </w:r>
      <w:r>
        <w:rPr>
          <w:rFonts w:hint="eastAsia" w:ascii="方正仿宋_GBK" w:hAnsi="方正仿宋_GBK" w:eastAsia="方正仿宋_GBK" w:cs="方正仿宋_GBK"/>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_Toc25314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一、收入支出决算总体情况说明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_Toc12142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二、</w:t>
      </w:r>
      <w:r>
        <w:rPr>
          <w:rFonts w:hint="eastAsia" w:ascii="方正仿宋_GBK" w:hAnsi="方正仿宋_GBK" w:eastAsia="方正仿宋_GBK" w:cs="方正仿宋_GBK"/>
          <w:bCs/>
          <w:color w:val="auto"/>
          <w:kern w:val="0"/>
          <w:sz w:val="32"/>
          <w:szCs w:val="32"/>
          <w:highlight w:val="none"/>
        </w:rPr>
        <w:t>收入</w:t>
      </w:r>
      <w:r>
        <w:rPr>
          <w:rFonts w:hint="eastAsia" w:ascii="方正仿宋_GBK" w:hAnsi="方正仿宋_GBK" w:eastAsia="方正仿宋_GBK" w:cs="方正仿宋_GBK"/>
          <w:bCs/>
          <w:color w:val="auto"/>
          <w:kern w:val="0"/>
          <w:sz w:val="32"/>
          <w:szCs w:val="32"/>
          <w:highlight w:val="none"/>
          <w:lang w:eastAsia="zh-CN"/>
        </w:rPr>
        <w:t>决算</w:t>
      </w:r>
      <w:r>
        <w:rPr>
          <w:rFonts w:hint="eastAsia" w:ascii="方正仿宋_GBK" w:hAnsi="方正仿宋_GBK" w:eastAsia="方正仿宋_GBK" w:cs="方正仿宋_GBK"/>
          <w:bCs/>
          <w:color w:val="auto"/>
          <w:kern w:val="0"/>
          <w:sz w:val="32"/>
          <w:szCs w:val="32"/>
          <w:highlight w:val="none"/>
        </w:rPr>
        <w:t>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_Toc13201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三、支出决算情况说明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_Toc26564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四、财政拨款收入支出决算总体情况说明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_Toc20360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五、一般公共预算财政拨款支出决算情况说明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_Toc30870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六、一般公共预算财政拨款基本支出决算情况说明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_Toc21518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七</w:t>
      </w:r>
      <w:r>
        <w:rPr>
          <w:rFonts w:hint="eastAsia" w:ascii="方正仿宋_GBK" w:hAnsi="方正仿宋_GBK" w:eastAsia="方正仿宋_GBK" w:cs="方正仿宋_GBK"/>
          <w:bCs/>
          <w:color w:val="auto"/>
          <w:kern w:val="0"/>
          <w:sz w:val="32"/>
          <w:szCs w:val="32"/>
          <w:highlight w:val="none"/>
        </w:rPr>
        <w:t>、</w:t>
      </w:r>
      <w:r>
        <w:rPr>
          <w:rFonts w:hint="eastAsia" w:ascii="方正仿宋_GBK" w:hAnsi="方正仿宋_GBK" w:eastAsia="方正仿宋_GBK" w:cs="方正仿宋_GBK"/>
          <w:bCs/>
          <w:color w:val="auto"/>
          <w:kern w:val="0"/>
          <w:sz w:val="32"/>
          <w:szCs w:val="32"/>
          <w:highlight w:val="none"/>
          <w:lang w:eastAsia="zh-CN"/>
        </w:rPr>
        <w:t>财政拨款</w:t>
      </w:r>
      <w:r>
        <w:rPr>
          <w:rFonts w:hint="eastAsia" w:ascii="方正仿宋_GBK" w:hAnsi="方正仿宋_GBK" w:eastAsia="方正仿宋_GBK" w:cs="方正仿宋_GBK"/>
          <w:bCs/>
          <w:color w:val="auto"/>
          <w:kern w:val="0"/>
          <w:sz w:val="32"/>
          <w:szCs w:val="32"/>
          <w:highlight w:val="none"/>
        </w:rPr>
        <w:t>“三公”经费支出</w:t>
      </w:r>
      <w:r>
        <w:rPr>
          <w:rFonts w:hint="eastAsia" w:ascii="方正仿宋_GBK" w:hAnsi="方正仿宋_GBK" w:eastAsia="方正仿宋_GBK" w:cs="方正仿宋_GBK"/>
          <w:bCs/>
          <w:color w:val="auto"/>
          <w:kern w:val="0"/>
          <w:sz w:val="32"/>
          <w:szCs w:val="32"/>
          <w:highlight w:val="none"/>
          <w:lang w:eastAsia="zh-CN"/>
        </w:rPr>
        <w:t>决算</w:t>
      </w:r>
      <w:r>
        <w:rPr>
          <w:rFonts w:hint="eastAsia" w:ascii="方正仿宋_GBK" w:hAnsi="方正仿宋_GBK" w:eastAsia="方正仿宋_GBK" w:cs="方正仿宋_GBK"/>
          <w:bCs/>
          <w:color w:val="auto"/>
          <w:kern w:val="0"/>
          <w:sz w:val="32"/>
          <w:szCs w:val="32"/>
          <w:highlight w:val="none"/>
        </w:rPr>
        <w:t>情况</w:t>
      </w:r>
      <w:r>
        <w:rPr>
          <w:rFonts w:hint="eastAsia" w:ascii="方正仿宋_GBK" w:hAnsi="方正仿宋_GBK" w:eastAsia="方正仿宋_GBK" w:cs="方正仿宋_GBK"/>
          <w:bCs/>
          <w:color w:val="auto"/>
          <w:kern w:val="0"/>
          <w:sz w:val="32"/>
          <w:szCs w:val="32"/>
          <w:highlight w:val="none"/>
          <w:lang w:eastAsia="zh-CN"/>
        </w:rPr>
        <w:t>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_Toc5810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八、</w:t>
      </w:r>
      <w:r>
        <w:rPr>
          <w:rFonts w:hint="eastAsia" w:ascii="方正仿宋_GBK" w:hAnsi="方正仿宋_GBK" w:eastAsia="方正仿宋_GBK" w:cs="方正仿宋_GBK"/>
          <w:bCs/>
          <w:color w:val="auto"/>
          <w:kern w:val="0"/>
          <w:sz w:val="32"/>
          <w:szCs w:val="32"/>
          <w:highlight w:val="none"/>
          <w:lang w:eastAsia="zh-CN"/>
        </w:rPr>
        <w:t>政府性基金预算财政拨款收入支出决算情况说明</w:t>
      </w:r>
      <w:r>
        <w:rPr>
          <w:rFonts w:hint="eastAsia" w:ascii="方正仿宋_GBK" w:hAnsi="方正仿宋_GBK" w:eastAsia="方正仿宋_GBK" w:cs="方正仿宋_GBK"/>
          <w:color w:val="auto"/>
          <w:sz w:val="32"/>
          <w:szCs w:val="32"/>
          <w:highlight w:val="none"/>
        </w:rPr>
        <w:fldChar w:fldCharType="end"/>
      </w:r>
    </w:p>
    <w:p>
      <w:pPr>
        <w:rPr>
          <w:rFonts w:hint="eastAsia" w:ascii="方正仿宋_GBK" w:hAnsi="方正仿宋_GBK" w:eastAsia="方正仿宋_GBK" w:cs="方正仿宋_GBK"/>
          <w:color w:val="auto"/>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_Toc5810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九</w:t>
      </w:r>
      <w:r>
        <w:rPr>
          <w:rFonts w:hint="eastAsia" w:ascii="方正仿宋_GBK" w:hAnsi="方正仿宋_GBK" w:eastAsia="方正仿宋_GBK" w:cs="方正仿宋_GBK"/>
          <w:bCs/>
          <w:color w:val="auto"/>
          <w:kern w:val="0"/>
          <w:sz w:val="32"/>
          <w:szCs w:val="32"/>
          <w:highlight w:val="none"/>
          <w:lang w:eastAsia="zh-CN"/>
        </w:rPr>
        <w:t>、国有资本经营预算财政拨款收入支出决算情况说明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_Toc1235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十</w:t>
      </w:r>
      <w:r>
        <w:rPr>
          <w:rFonts w:hint="eastAsia" w:ascii="方正仿宋_GBK" w:hAnsi="方正仿宋_GBK" w:eastAsia="方正仿宋_GBK" w:cs="方正仿宋_GBK"/>
          <w:bCs/>
          <w:color w:val="auto"/>
          <w:kern w:val="0"/>
          <w:sz w:val="32"/>
          <w:szCs w:val="32"/>
          <w:highlight w:val="none"/>
        </w:rPr>
        <w:t>、其他重要事项的情况</w:t>
      </w:r>
      <w:r>
        <w:rPr>
          <w:rFonts w:hint="eastAsia" w:ascii="方正仿宋_GBK" w:hAnsi="方正仿宋_GBK" w:eastAsia="方正仿宋_GBK" w:cs="方正仿宋_GBK"/>
          <w:bCs/>
          <w:color w:val="auto"/>
          <w:kern w:val="0"/>
          <w:sz w:val="32"/>
          <w:szCs w:val="32"/>
          <w:highlight w:val="none"/>
          <w:lang w:eastAsia="zh-CN"/>
        </w:rPr>
        <w:t>说明</w:t>
      </w:r>
      <w:r>
        <w:rPr>
          <w:rFonts w:hint="eastAsia" w:ascii="方正仿宋_GBK" w:hAnsi="方正仿宋_GBK" w:eastAsia="方正仿宋_GBK" w:cs="方正仿宋_GBK"/>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_Toc14519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（一）</w:t>
      </w:r>
      <w:r>
        <w:rPr>
          <w:rFonts w:hint="eastAsia" w:ascii="方正仿宋_GBK" w:hAnsi="方正仿宋_GBK" w:eastAsia="方正仿宋_GBK" w:cs="方正仿宋_GBK"/>
          <w:color w:val="auto"/>
          <w:sz w:val="32"/>
          <w:szCs w:val="32"/>
          <w:highlight w:val="none"/>
        </w:rPr>
        <w:t>机关运行经费支出情况</w:t>
      </w:r>
      <w:r>
        <w:rPr>
          <w:rFonts w:hint="eastAsia" w:ascii="方正仿宋_GBK" w:hAnsi="方正仿宋_GBK" w:eastAsia="方正仿宋_GBK" w:cs="方正仿宋_GBK"/>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_Toc227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（二）政府采购情况</w:t>
      </w:r>
      <w:r>
        <w:rPr>
          <w:rFonts w:hint="eastAsia" w:ascii="方正仿宋_GBK" w:hAnsi="方正仿宋_GBK" w:eastAsia="方正仿宋_GBK" w:cs="方正仿宋_GBK"/>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_Toc8391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color w:val="auto"/>
          <w:sz w:val="32"/>
          <w:szCs w:val="32"/>
          <w:highlight w:val="none"/>
          <w:lang w:eastAsia="zh-CN"/>
        </w:rPr>
        <w:t>（三）国有资产占用情况说明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_Toc11283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eastAsia="zh-CN"/>
        </w:rPr>
        <w:t>十</w:t>
      </w:r>
      <w:r>
        <w:rPr>
          <w:rFonts w:hint="eastAsia" w:ascii="方正仿宋_GBK" w:hAnsi="方正仿宋_GBK" w:eastAsia="方正仿宋_GBK" w:cs="方正仿宋_GBK"/>
          <w:bCs/>
          <w:color w:val="auto"/>
          <w:kern w:val="0"/>
          <w:sz w:val="32"/>
          <w:szCs w:val="32"/>
          <w:highlight w:val="none"/>
          <w:lang w:val="en-US" w:eastAsia="zh-CN"/>
        </w:rPr>
        <w:t>一</w:t>
      </w:r>
      <w:r>
        <w:rPr>
          <w:rFonts w:hint="eastAsia" w:ascii="方正仿宋_GBK" w:hAnsi="方正仿宋_GBK" w:eastAsia="方正仿宋_GBK" w:cs="方正仿宋_GBK"/>
          <w:bCs/>
          <w:color w:val="auto"/>
          <w:kern w:val="0"/>
          <w:sz w:val="32"/>
          <w:szCs w:val="32"/>
          <w:highlight w:val="none"/>
          <w:lang w:eastAsia="zh-CN"/>
        </w:rPr>
        <w:t>、预算绩效的情况说明</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_Toc3250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第三部分 专业名词解释</w:t>
      </w:r>
      <w:r>
        <w:rPr>
          <w:rFonts w:hint="eastAsia" w:ascii="方正仿宋_GBK" w:hAnsi="方正仿宋_GBK" w:eastAsia="方正仿宋_GBK" w:cs="方正仿宋_GBK"/>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fldChar w:fldCharType="begin"/>
      </w:r>
      <w:r>
        <w:rPr>
          <w:rFonts w:hint="eastAsia" w:ascii="方正仿宋_GBK" w:hAnsi="方正仿宋_GBK" w:eastAsia="方正仿宋_GBK" w:cs="方正仿宋_GBK"/>
          <w:b/>
          <w:bCs/>
          <w:color w:val="auto"/>
          <w:sz w:val="32"/>
          <w:szCs w:val="32"/>
          <w:highlight w:val="none"/>
        </w:rPr>
        <w:instrText xml:space="preserve"> HYPERLINK \l _Toc22784 </w:instrText>
      </w:r>
      <w:r>
        <w:rPr>
          <w:rFonts w:hint="eastAsia" w:ascii="方正仿宋_GBK" w:hAnsi="方正仿宋_GBK" w:eastAsia="方正仿宋_GBK" w:cs="方正仿宋_GBK"/>
          <w:b/>
          <w:bCs/>
          <w:color w:val="auto"/>
          <w:sz w:val="32"/>
          <w:szCs w:val="32"/>
          <w:highlight w:val="none"/>
        </w:rPr>
        <w:fldChar w:fldCharType="separate"/>
      </w:r>
      <w:r>
        <w:rPr>
          <w:rFonts w:hint="eastAsia" w:ascii="方正仿宋_GBK" w:hAnsi="方正仿宋_GBK" w:eastAsia="方正仿宋_GBK" w:cs="方正仿宋_GBK"/>
          <w:b/>
          <w:bCs/>
          <w:color w:val="auto"/>
          <w:sz w:val="32"/>
          <w:szCs w:val="32"/>
          <w:highlight w:val="none"/>
        </w:rPr>
        <w:t>第四部分 部门决算报表（见附表）</w:t>
      </w:r>
      <w:r>
        <w:rPr>
          <w:rFonts w:hint="eastAsia" w:ascii="方正仿宋_GBK" w:hAnsi="方正仿宋_GBK" w:eastAsia="方正仿宋_GBK" w:cs="方正仿宋_GBK"/>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_Toc2183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一、《收入支出决算总表》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_Toc24532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二、《收入决算表》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_Toc32434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三、《支出决算表》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_Toc28786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四、《财政拨款收入支出决算总表》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_Toc14869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五、《一般公共预算财政拨款支出决算表》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_Toc8884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六、《一般公共预算财政拨款基本支出决算表》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fldChar w:fldCharType="begin"/>
      </w:r>
      <w:r>
        <w:rPr>
          <w:rFonts w:hint="eastAsia" w:ascii="方正仿宋_GBK" w:hAnsi="方正仿宋_GBK" w:eastAsia="方正仿宋_GBK" w:cs="方正仿宋_GBK"/>
          <w:color w:val="auto"/>
          <w:sz w:val="32"/>
          <w:szCs w:val="32"/>
          <w:highlight w:val="none"/>
        </w:rPr>
        <w:instrText xml:space="preserve"> HYPERLINK \l _Toc29106 </w:instrText>
      </w:r>
      <w:r>
        <w:rPr>
          <w:rFonts w:hint="eastAsia" w:ascii="方正仿宋_GBK" w:hAnsi="方正仿宋_GBK" w:eastAsia="方正仿宋_GBK" w:cs="方正仿宋_GBK"/>
          <w:color w:val="auto"/>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rPr>
        <w:t>七、《财政拨款“三公”经费支出决算表》</w:t>
      </w:r>
      <w:r>
        <w:rPr>
          <w:rFonts w:hint="eastAsia" w:ascii="方正仿宋_GBK" w:hAnsi="方正仿宋_GBK" w:eastAsia="方正仿宋_GBK" w:cs="方正仿宋_GBK"/>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方正仿宋_GBK" w:hAnsi="方正仿宋_GBK" w:eastAsia="方正仿宋_GBK" w:cs="方正仿宋_GBK"/>
          <w:bCs/>
          <w:color w:val="auto"/>
          <w:kern w:val="0"/>
          <w:sz w:val="32"/>
          <w:szCs w:val="32"/>
          <w:highlight w:val="none"/>
        </w:rPr>
      </w:pPr>
      <w:r>
        <w:rPr>
          <w:rFonts w:hint="eastAsia" w:ascii="方正仿宋_GBK" w:hAnsi="方正仿宋_GBK" w:eastAsia="方正仿宋_GBK" w:cs="方正仿宋_GBK"/>
          <w:bCs/>
          <w:color w:val="auto"/>
          <w:kern w:val="0"/>
          <w:sz w:val="32"/>
          <w:szCs w:val="32"/>
          <w:highlight w:val="none"/>
        </w:rPr>
        <w:fldChar w:fldCharType="begin"/>
      </w:r>
      <w:r>
        <w:rPr>
          <w:rFonts w:hint="eastAsia" w:ascii="方正仿宋_GBK" w:hAnsi="方正仿宋_GBK" w:eastAsia="方正仿宋_GBK" w:cs="方正仿宋_GBK"/>
          <w:bCs/>
          <w:color w:val="auto"/>
          <w:kern w:val="0"/>
          <w:sz w:val="32"/>
          <w:szCs w:val="32"/>
          <w:highlight w:val="none"/>
        </w:rPr>
        <w:instrText xml:space="preserve"> HYPERLINK \l _Toc7643 </w:instrText>
      </w:r>
      <w:r>
        <w:rPr>
          <w:rFonts w:hint="eastAsia" w:ascii="方正仿宋_GBK" w:hAnsi="方正仿宋_GBK" w:eastAsia="方正仿宋_GBK" w:cs="方正仿宋_GBK"/>
          <w:bCs/>
          <w:color w:val="auto"/>
          <w:kern w:val="0"/>
          <w:sz w:val="32"/>
          <w:szCs w:val="32"/>
          <w:highlight w:val="none"/>
        </w:rPr>
        <w:fldChar w:fldCharType="separate"/>
      </w:r>
      <w:r>
        <w:rPr>
          <w:rFonts w:hint="eastAsia" w:ascii="方正仿宋_GBK" w:hAnsi="方正仿宋_GBK" w:eastAsia="方正仿宋_GBK" w:cs="方正仿宋_GBK"/>
          <w:bCs/>
          <w:color w:val="auto"/>
          <w:kern w:val="0"/>
          <w:sz w:val="32"/>
          <w:szCs w:val="32"/>
          <w:highlight w:val="none"/>
          <w:lang w:val="en-US" w:eastAsia="zh-CN"/>
        </w:rPr>
        <w:t>八、</w:t>
      </w:r>
      <w:r>
        <w:rPr>
          <w:rFonts w:hint="eastAsia" w:ascii="方正仿宋_GBK" w:hAnsi="方正仿宋_GBK" w:eastAsia="方正仿宋_GBK" w:cs="方正仿宋_GBK"/>
          <w:bCs/>
          <w:color w:val="auto"/>
          <w:kern w:val="0"/>
          <w:sz w:val="32"/>
          <w:szCs w:val="32"/>
          <w:highlight w:val="none"/>
        </w:rPr>
        <w:t>《政府性基金预算财政拨款收入支出决算表》</w:t>
      </w:r>
      <w:r>
        <w:rPr>
          <w:rFonts w:hint="eastAsia" w:ascii="方正仿宋_GBK" w:hAnsi="方正仿宋_GBK" w:eastAsia="方正仿宋_GBK" w:cs="方正仿宋_GBK"/>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方正仿宋_GBK" w:hAnsi="方正仿宋_GBK" w:eastAsia="方正仿宋_GBK" w:cs="方正仿宋_GBK"/>
          <w:bCs/>
          <w:color w:val="auto"/>
          <w:kern w:val="0"/>
          <w:sz w:val="32"/>
          <w:szCs w:val="32"/>
          <w:highlight w:val="none"/>
          <w:lang w:val="en-US" w:eastAsia="zh-CN"/>
        </w:rPr>
        <w:t>九</w:t>
      </w:r>
      <w:r>
        <w:rPr>
          <w:rFonts w:hint="eastAsia" w:ascii="方正仿宋_GBK" w:hAnsi="方正仿宋_GBK" w:eastAsia="方正仿宋_GBK" w:cs="方正仿宋_GBK"/>
          <w:bCs/>
          <w:color w:val="auto"/>
          <w:kern w:val="0"/>
          <w:sz w:val="32"/>
          <w:szCs w:val="32"/>
          <w:highlight w:val="none"/>
          <w:lang w:eastAsia="zh-CN"/>
        </w:rPr>
        <w:t>、《国有资本经营</w:t>
      </w:r>
      <w:r>
        <w:rPr>
          <w:rFonts w:hint="eastAsia" w:ascii="方正仿宋_GBK" w:hAnsi="方正仿宋_GBK" w:eastAsia="方正仿宋_GBK" w:cs="方正仿宋_GBK"/>
          <w:bCs/>
          <w:color w:val="auto"/>
          <w:kern w:val="0"/>
          <w:sz w:val="32"/>
          <w:szCs w:val="32"/>
          <w:highlight w:val="none"/>
        </w:rPr>
        <w:t>预算财政拨款收入支出决算表</w:t>
      </w:r>
      <w:r>
        <w:rPr>
          <w:rFonts w:hint="eastAsia" w:ascii="方正仿宋_GBK" w:hAnsi="方正仿宋_GBK" w:eastAsia="方正仿宋_GBK" w:cs="方正仿宋_GBK"/>
          <w:bCs/>
          <w:color w:val="auto"/>
          <w:kern w:val="0"/>
          <w:sz w:val="32"/>
          <w:szCs w:val="32"/>
          <w:highlight w:val="none"/>
          <w:lang w:eastAsia="zh-CN"/>
        </w:rPr>
        <w:t>》</w:t>
      </w:r>
    </w:p>
    <w:p>
      <w:pPr>
        <w:spacing w:line="560" w:lineRule="exact"/>
        <w:ind w:firstLine="640" w:firstLineChars="200"/>
      </w:pPr>
      <w:r>
        <w:rPr>
          <w:rFonts w:hint="eastAsia" w:ascii="仿宋_GB2312" w:hAnsi="仿宋_GB2312" w:eastAsia="仿宋_GB2312" w:cs="仿宋_GB2312"/>
          <w:color w:val="auto"/>
          <w:sz w:val="32"/>
          <w:szCs w:val="32"/>
          <w:highlight w:val="none"/>
        </w:rPr>
        <w:fldChar w:fldCharType="end"/>
      </w:r>
    </w:p>
    <w:p>
      <w:pPr>
        <w:rPr>
          <w:rFonts w:eastAsia="仿宋_GB2312"/>
          <w:sz w:val="32"/>
          <w:szCs w:val="32"/>
        </w:rPr>
      </w:pPr>
      <w:r>
        <w:rPr>
          <w:rFonts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Times New Roman"/>
          <w:color w:val="auto"/>
          <w:sz w:val="32"/>
          <w:szCs w:val="32"/>
          <w:highlight w:val="none"/>
        </w:rPr>
      </w:pPr>
      <w:bookmarkStart w:id="0" w:name="_Toc32314"/>
      <w:bookmarkStart w:id="1" w:name="_Toc24028"/>
      <w:r>
        <w:rPr>
          <w:rFonts w:hint="eastAsia" w:ascii="黑体" w:hAnsi="黑体" w:eastAsia="黑体" w:cs="Times New Roman"/>
          <w:color w:val="auto"/>
          <w:sz w:val="32"/>
          <w:szCs w:val="32"/>
          <w:highlight w:val="none"/>
        </w:rPr>
        <w:t>第一部分 部门概况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spacing w:line="560" w:lineRule="exact"/>
        <w:ind w:firstLine="640" w:firstLineChars="200"/>
        <w:rPr>
          <w:rFonts w:eastAsia="仿宋_GB2312"/>
          <w:bCs/>
          <w:kern w:val="0"/>
          <w:sz w:val="32"/>
          <w:szCs w:val="32"/>
        </w:rPr>
      </w:pPr>
      <w:bookmarkStart w:id="4" w:name="_Toc31238"/>
      <w:bookmarkStart w:id="5" w:name="_Toc2151"/>
      <w:r>
        <w:rPr>
          <w:rFonts w:eastAsia="仿宋_GB2312"/>
          <w:bCs/>
          <w:kern w:val="0"/>
          <w:sz w:val="32"/>
          <w:szCs w:val="32"/>
        </w:rPr>
        <w:t>（一）履行全民所有土地、矿产、森林、草原、水等自然资源资产所有者职责和所有国土空间用途管制职责。贯彻执行国家自然资源和国土空间规划及测绘等法律、法规。</w:t>
      </w:r>
    </w:p>
    <w:p>
      <w:pPr>
        <w:spacing w:line="560" w:lineRule="exact"/>
        <w:ind w:firstLine="640" w:firstLineChars="200"/>
        <w:rPr>
          <w:rFonts w:eastAsia="仿宋_GB2312"/>
          <w:bCs/>
          <w:kern w:val="0"/>
          <w:sz w:val="32"/>
          <w:szCs w:val="32"/>
        </w:rPr>
      </w:pPr>
      <w:r>
        <w:rPr>
          <w:rFonts w:eastAsia="仿宋_GB2312"/>
          <w:bCs/>
          <w:kern w:val="0"/>
          <w:sz w:val="32"/>
          <w:szCs w:val="32"/>
        </w:rPr>
        <w:t>（二）负责自然资源调查监测评价。</w:t>
      </w:r>
    </w:p>
    <w:p>
      <w:pPr>
        <w:spacing w:line="560" w:lineRule="exact"/>
        <w:ind w:firstLine="640" w:firstLineChars="200"/>
        <w:rPr>
          <w:rFonts w:eastAsia="仿宋_GB2312"/>
          <w:bCs/>
          <w:kern w:val="0"/>
          <w:sz w:val="32"/>
          <w:szCs w:val="32"/>
        </w:rPr>
      </w:pPr>
      <w:r>
        <w:rPr>
          <w:rFonts w:eastAsia="仿宋_GB2312"/>
          <w:bCs/>
          <w:kern w:val="0"/>
          <w:sz w:val="32"/>
          <w:szCs w:val="32"/>
        </w:rPr>
        <w:t>（三）负责自然资源统一确权登记工作。</w:t>
      </w:r>
    </w:p>
    <w:p>
      <w:pPr>
        <w:spacing w:line="560" w:lineRule="exact"/>
        <w:ind w:firstLine="640" w:firstLineChars="200"/>
        <w:rPr>
          <w:rFonts w:eastAsia="仿宋_GB2312"/>
          <w:bCs/>
          <w:kern w:val="0"/>
          <w:sz w:val="32"/>
          <w:szCs w:val="32"/>
        </w:rPr>
      </w:pPr>
      <w:r>
        <w:rPr>
          <w:rFonts w:eastAsia="仿宋_GB2312"/>
          <w:bCs/>
          <w:kern w:val="0"/>
          <w:sz w:val="32"/>
          <w:szCs w:val="32"/>
        </w:rPr>
        <w:t>（四）负责自然资源资产有偿使用工作。</w:t>
      </w:r>
    </w:p>
    <w:p>
      <w:pPr>
        <w:spacing w:line="560" w:lineRule="exact"/>
        <w:ind w:firstLine="640" w:firstLineChars="200"/>
        <w:rPr>
          <w:rFonts w:eastAsia="仿宋_GB2312"/>
          <w:bCs/>
          <w:kern w:val="0"/>
          <w:sz w:val="32"/>
          <w:szCs w:val="32"/>
        </w:rPr>
      </w:pPr>
      <w:r>
        <w:rPr>
          <w:rFonts w:eastAsia="仿宋_GB2312"/>
          <w:bCs/>
          <w:kern w:val="0"/>
          <w:sz w:val="32"/>
          <w:szCs w:val="32"/>
        </w:rPr>
        <w:t>（五）负责自然资源的合理开发利用。</w:t>
      </w:r>
    </w:p>
    <w:p>
      <w:pPr>
        <w:spacing w:line="560" w:lineRule="exact"/>
        <w:ind w:firstLine="640" w:firstLineChars="200"/>
        <w:rPr>
          <w:rFonts w:eastAsia="仿宋_GB2312"/>
          <w:bCs/>
          <w:kern w:val="0"/>
          <w:sz w:val="32"/>
          <w:szCs w:val="32"/>
        </w:rPr>
      </w:pPr>
      <w:r>
        <w:rPr>
          <w:rFonts w:eastAsia="仿宋_GB2312"/>
          <w:bCs/>
          <w:kern w:val="0"/>
          <w:sz w:val="32"/>
          <w:szCs w:val="32"/>
        </w:rPr>
        <w:t>（六）负责建立空间规划体系并监督实施。</w:t>
      </w:r>
    </w:p>
    <w:p>
      <w:pPr>
        <w:spacing w:line="560" w:lineRule="exact"/>
        <w:ind w:firstLine="640" w:firstLineChars="200"/>
        <w:rPr>
          <w:rFonts w:eastAsia="仿宋_GB2312"/>
          <w:bCs/>
          <w:kern w:val="0"/>
          <w:sz w:val="32"/>
          <w:szCs w:val="32"/>
        </w:rPr>
      </w:pPr>
      <w:r>
        <w:rPr>
          <w:rFonts w:eastAsia="仿宋_GB2312"/>
          <w:bCs/>
          <w:kern w:val="0"/>
          <w:sz w:val="32"/>
          <w:szCs w:val="32"/>
        </w:rPr>
        <w:t>（七）负责落实国土空间生态修复工作。</w:t>
      </w:r>
    </w:p>
    <w:p>
      <w:pPr>
        <w:spacing w:line="560" w:lineRule="exact"/>
        <w:ind w:firstLine="640" w:firstLineChars="200"/>
        <w:rPr>
          <w:rFonts w:eastAsia="仿宋_GB2312"/>
          <w:bCs/>
          <w:kern w:val="0"/>
          <w:sz w:val="32"/>
          <w:szCs w:val="32"/>
        </w:rPr>
      </w:pPr>
      <w:r>
        <w:rPr>
          <w:rFonts w:eastAsia="仿宋_GB2312"/>
          <w:bCs/>
          <w:kern w:val="0"/>
          <w:sz w:val="32"/>
          <w:szCs w:val="32"/>
        </w:rPr>
        <w:t>（八）负责组织实施最严格的耕地保护制度和土地用途管制工作。（九）负责落实综合防灾减灾规划相关要求。</w:t>
      </w:r>
    </w:p>
    <w:p>
      <w:pPr>
        <w:spacing w:line="560" w:lineRule="exact"/>
        <w:ind w:firstLine="640" w:firstLineChars="200"/>
        <w:rPr>
          <w:rFonts w:eastAsia="仿宋_GB2312"/>
          <w:bCs/>
          <w:kern w:val="0"/>
          <w:sz w:val="32"/>
          <w:szCs w:val="32"/>
        </w:rPr>
      </w:pPr>
      <w:r>
        <w:rPr>
          <w:rFonts w:eastAsia="仿宋_GB2312"/>
          <w:bCs/>
          <w:kern w:val="0"/>
          <w:sz w:val="32"/>
          <w:szCs w:val="32"/>
        </w:rPr>
        <w:t>（十）负责矿产资源管理工作。</w:t>
      </w:r>
    </w:p>
    <w:p>
      <w:pPr>
        <w:spacing w:line="560" w:lineRule="exact"/>
        <w:ind w:firstLine="640" w:firstLineChars="200"/>
        <w:rPr>
          <w:rFonts w:eastAsia="仿宋_GB2312"/>
          <w:bCs/>
          <w:kern w:val="0"/>
          <w:sz w:val="32"/>
          <w:szCs w:val="32"/>
        </w:rPr>
      </w:pPr>
      <w:r>
        <w:rPr>
          <w:rFonts w:eastAsia="仿宋_GB2312"/>
          <w:bCs/>
          <w:kern w:val="0"/>
          <w:sz w:val="32"/>
          <w:szCs w:val="32"/>
        </w:rPr>
        <w:t>（十一）负责测绘地理信息管理工作。</w:t>
      </w:r>
    </w:p>
    <w:p>
      <w:pPr>
        <w:spacing w:line="560" w:lineRule="exact"/>
        <w:ind w:left="630" w:leftChars="300"/>
        <w:rPr>
          <w:rFonts w:eastAsia="仿宋_GB2312"/>
          <w:bCs/>
          <w:kern w:val="0"/>
          <w:sz w:val="32"/>
          <w:szCs w:val="32"/>
        </w:rPr>
      </w:pPr>
      <w:r>
        <w:rPr>
          <w:rFonts w:eastAsia="仿宋_GB2312"/>
          <w:bCs/>
          <w:kern w:val="0"/>
          <w:sz w:val="32"/>
          <w:szCs w:val="32"/>
        </w:rPr>
        <w:t>（十二）负责自然资源和城乡规划日常监督检查和指导工作。（十三）推动自然资源领域科技发展。</w:t>
      </w:r>
    </w:p>
    <w:p>
      <w:pPr>
        <w:spacing w:line="560" w:lineRule="exact"/>
        <w:ind w:firstLine="640" w:firstLineChars="200"/>
        <w:rPr>
          <w:rFonts w:eastAsia="仿宋_GB2312"/>
          <w:bCs/>
          <w:kern w:val="0"/>
          <w:sz w:val="32"/>
          <w:szCs w:val="32"/>
        </w:rPr>
      </w:pPr>
      <w:r>
        <w:rPr>
          <w:rFonts w:eastAsia="仿宋_GB2312"/>
          <w:bCs/>
          <w:kern w:val="0"/>
          <w:sz w:val="32"/>
          <w:szCs w:val="32"/>
        </w:rPr>
        <w:t xml:space="preserve">（十四）完成市委、市人民政府交办的其他任务。 </w:t>
      </w:r>
    </w:p>
    <w:p>
      <w:pPr>
        <w:spacing w:line="560" w:lineRule="exact"/>
        <w:ind w:firstLine="640" w:firstLineChars="200"/>
        <w:outlineLvl w:val="1"/>
        <w:rPr>
          <w:rFonts w:eastAsia="仿宋_GB2312"/>
          <w:bCs/>
          <w:kern w:val="0"/>
          <w:sz w:val="32"/>
          <w:szCs w:val="32"/>
        </w:rPr>
      </w:pPr>
      <w:r>
        <w:rPr>
          <w:rFonts w:hint="eastAsia" w:ascii="黑体" w:hAnsi="黑体" w:eastAsia="黑体" w:cs="宋体"/>
          <w:bCs/>
          <w:color w:val="auto"/>
          <w:kern w:val="0"/>
          <w:sz w:val="32"/>
          <w:szCs w:val="32"/>
          <w:highlight w:val="none"/>
        </w:rPr>
        <w:t>二、机构设置及</w:t>
      </w:r>
      <w:bookmarkEnd w:id="4"/>
      <w:r>
        <w:rPr>
          <w:rFonts w:hint="eastAsia" w:ascii="黑体" w:hAnsi="黑体" w:eastAsia="黑体" w:cs="宋体"/>
          <w:bCs/>
          <w:color w:val="auto"/>
          <w:kern w:val="0"/>
          <w:sz w:val="32"/>
          <w:szCs w:val="32"/>
          <w:highlight w:val="none"/>
        </w:rPr>
        <w:t>人员情况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库尔勒市自然资源局2023年度，实有人数307人，其中：在职人员203人，离休人员0人，退休人员104人。</w:t>
      </w:r>
    </w:p>
    <w:p>
      <w:pPr>
        <w:widowControl/>
        <w:spacing w:line="560" w:lineRule="exact"/>
        <w:ind w:firstLine="640"/>
        <w:jc w:val="left"/>
        <w:rPr>
          <w:rFonts w:eastAsia="仿宋_GB2312"/>
          <w:bCs/>
          <w:kern w:val="0"/>
          <w:sz w:val="32"/>
          <w:szCs w:val="32"/>
        </w:rPr>
      </w:pPr>
      <w:bookmarkStart w:id="6" w:name="_Toc29374"/>
      <w:bookmarkStart w:id="7" w:name="_Toc3092"/>
      <w:r>
        <w:rPr>
          <w:rFonts w:hint="default" w:ascii="仿宋_GB2312" w:hAnsi="仿宋_GB2312" w:eastAsia="仿宋_GB2312" w:cs="仿宋_GB2312"/>
          <w:bCs/>
          <w:color w:val="auto"/>
          <w:kern w:val="0"/>
          <w:sz w:val="32"/>
          <w:szCs w:val="32"/>
          <w:highlight w:val="none"/>
          <w:lang w:val="en-US" w:eastAsia="zh-CN" w:bidi="ar-SA"/>
        </w:rPr>
        <w:t>单位无下属预算单位，下设六个股室，分别是：综合办公室（党建办公室）、自然资源调查确权登记股、国土空间规划股、自然资源利用股、规划与用地股、耕地保护和生态修复股。</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第二部分 部门决算情况说明</w:t>
      </w:r>
      <w:bookmarkEnd w:id="6"/>
      <w:bookmarkEnd w:id="7"/>
    </w:p>
    <w:p>
      <w:pPr>
        <w:spacing w:line="560" w:lineRule="exact"/>
        <w:ind w:firstLine="640" w:firstLineChars="200"/>
        <w:outlineLvl w:val="1"/>
        <w:rPr>
          <w:rFonts w:hint="eastAsia" w:ascii="黑体" w:hAnsi="黑体" w:eastAsia="黑体" w:cs="黑体"/>
          <w:bCs/>
          <w:kern w:val="0"/>
          <w:sz w:val="32"/>
          <w:szCs w:val="32"/>
        </w:rPr>
      </w:pPr>
      <w:bookmarkStart w:id="8" w:name="_Toc25314"/>
      <w:bookmarkStart w:id="9" w:name="_Toc12566"/>
      <w:r>
        <w:rPr>
          <w:rFonts w:hint="eastAsia" w:ascii="黑体" w:hAnsi="黑体" w:eastAsia="黑体" w:cs="黑体"/>
          <w:bCs/>
          <w:kern w:val="0"/>
          <w:sz w:val="32"/>
          <w:szCs w:val="32"/>
        </w:rPr>
        <w:t>一、收入支出决算总体情况说明</w:t>
      </w:r>
      <w:bookmarkEnd w:id="8"/>
      <w:bookmarkEnd w:id="9"/>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2023年度收入总计31,661.68万元，其中：本年收入合计31,661.68万元，使用非财政拨款结余0.00万元，年初结转和结余0.00万元。</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2023年度支出总计31,661.68万元，其中：本年支出合计31,661.68万元，结余分配0.00万元，年末结转和结余0.00万元。</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收入支出总体与上年相比，增加18,063.90万元，增长132.84%，主要原因是：2023年11月支付格库铁路一期二期本金共计2.32亿，造成本年度收入总额大幅度增加。</w:t>
      </w:r>
    </w:p>
    <w:p>
      <w:pPr>
        <w:widowControl/>
        <w:spacing w:line="560" w:lineRule="exact"/>
        <w:ind w:firstLine="640"/>
        <w:jc w:val="left"/>
        <w:rPr>
          <w:rFonts w:eastAsia="仿宋_GB2312"/>
          <w:bCs/>
          <w:kern w:val="0"/>
          <w:sz w:val="32"/>
          <w:szCs w:val="32"/>
        </w:rPr>
      </w:pPr>
      <w:bookmarkStart w:id="10" w:name="_Toc12142"/>
      <w:bookmarkStart w:id="11" w:name="_Toc1979"/>
      <w:r>
        <w:rPr>
          <w:rFonts w:hint="eastAsia" w:ascii="黑体" w:hAnsi="黑体" w:eastAsia="黑体" w:cs="黑体"/>
          <w:bCs/>
          <w:kern w:val="0"/>
          <w:sz w:val="32"/>
          <w:szCs w:val="32"/>
        </w:rPr>
        <w:t>二、收入决算情况说明</w:t>
      </w:r>
      <w:bookmarkEnd w:id="10"/>
      <w:bookmarkEnd w:id="11"/>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本年收入31,661.68万元，其中：财政拨款收入31,661.68万元，占100.00%；上级补助收入0.00万元，占0.00%；事业收入0.00万元，占0.00%；经营收入0.00万元，占0.00%；附属单位上缴收入0.00万元，占0.00%；其他收入0.00万元，占0.00%。</w:t>
      </w:r>
    </w:p>
    <w:p>
      <w:pPr>
        <w:widowControl/>
        <w:spacing w:line="560" w:lineRule="exact"/>
        <w:ind w:firstLine="640"/>
        <w:jc w:val="left"/>
        <w:rPr>
          <w:rFonts w:hint="eastAsia" w:ascii="黑体" w:hAnsi="黑体" w:eastAsia="黑体" w:cs="黑体"/>
          <w:bCs/>
          <w:kern w:val="0"/>
          <w:sz w:val="32"/>
          <w:szCs w:val="32"/>
        </w:rPr>
      </w:pPr>
      <w:bookmarkStart w:id="12" w:name="_Toc13201"/>
      <w:bookmarkStart w:id="13" w:name="_Toc27961"/>
      <w:r>
        <w:rPr>
          <w:rFonts w:hint="eastAsia" w:ascii="黑体" w:hAnsi="黑体" w:eastAsia="黑体" w:cs="黑体"/>
          <w:bCs/>
          <w:kern w:val="0"/>
          <w:sz w:val="32"/>
          <w:szCs w:val="32"/>
        </w:rPr>
        <w:t>三、支出决算情况说明</w:t>
      </w:r>
      <w:bookmarkEnd w:id="12"/>
      <w:bookmarkEnd w:id="13"/>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本年支出31,661.68万元，其中：基本支出5,037.45万元，占15.91%；项目支出26,624.23万元，占84.09%；上缴上级支出0.00万元，占0.00%；经营支出0.00万元，占0.00%；对附属单位补助支出0.00万元，占0.00%。</w:t>
      </w:r>
    </w:p>
    <w:p>
      <w:pPr>
        <w:widowControl/>
        <w:spacing w:line="560" w:lineRule="exact"/>
        <w:ind w:firstLine="640"/>
        <w:jc w:val="left"/>
        <w:rPr>
          <w:rFonts w:hint="eastAsia" w:ascii="黑体" w:hAnsi="黑体" w:eastAsia="黑体" w:cs="黑体"/>
          <w:bCs/>
          <w:kern w:val="0"/>
          <w:sz w:val="32"/>
          <w:szCs w:val="32"/>
        </w:rPr>
      </w:pPr>
      <w:bookmarkStart w:id="14" w:name="_Toc26564"/>
      <w:bookmarkStart w:id="15" w:name="_Toc4393"/>
      <w:r>
        <w:rPr>
          <w:rFonts w:hint="eastAsia" w:ascii="黑体" w:hAnsi="黑体" w:eastAsia="黑体" w:cs="黑体"/>
          <w:bCs/>
          <w:kern w:val="0"/>
          <w:sz w:val="32"/>
          <w:szCs w:val="32"/>
        </w:rPr>
        <w:t>四、财政拨款收入支出决算总体情况说明</w:t>
      </w:r>
      <w:bookmarkEnd w:id="14"/>
      <w:bookmarkEnd w:id="15"/>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财政拨款收入总计31,661.68万元，其中：年初财政拨款结转和结余0.00万元，本年财政拨款收入31,661.68万元。财政拨款支出总计31,661.68万元，其中：年末财政拨款结转和结余0.00万元，本年财政拨款支出31,661.68万元。</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财政拨款收入支出总体与上年相比,增加18,063.90万元，增长132.84%,主要原因是：2023年11月支付格库铁路一期二期本金共计2.32亿，造成本年度收入总额大幅度增加。与年初预算相比，年初预算数9,713.82万元，决算数31,661.68万元，预决算差异率225.94%，主要原因是：2023年11月支付格库铁路一期二期本金共计2.32亿，造成本年度收入总额与年初预算相比大幅度增加。</w:t>
      </w:r>
    </w:p>
    <w:p>
      <w:pPr>
        <w:widowControl/>
        <w:spacing w:line="560" w:lineRule="exact"/>
        <w:ind w:firstLine="640"/>
        <w:jc w:val="left"/>
        <w:rPr>
          <w:rFonts w:hint="eastAsia" w:ascii="黑体" w:hAnsi="黑体" w:eastAsia="黑体" w:cs="黑体"/>
          <w:bCs/>
          <w:kern w:val="0"/>
          <w:sz w:val="32"/>
          <w:szCs w:val="32"/>
        </w:rPr>
      </w:pPr>
      <w:bookmarkStart w:id="16" w:name="_Toc13833"/>
      <w:bookmarkStart w:id="17" w:name="_Toc20360"/>
      <w:r>
        <w:rPr>
          <w:rFonts w:hint="eastAsia" w:ascii="黑体" w:hAnsi="黑体" w:eastAsia="黑体" w:cs="黑体"/>
          <w:bCs/>
          <w:kern w:val="0"/>
          <w:sz w:val="32"/>
          <w:szCs w:val="32"/>
        </w:rPr>
        <w:t>五、一般公共预算财政拨款支出决算情况说明</w:t>
      </w:r>
      <w:bookmarkEnd w:id="16"/>
      <w:bookmarkEnd w:id="17"/>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rPr>
        <w:t>（一）一般公共预算财政拨款支出决算总体情况</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一般公共预算财政拨款支出4,378.91万元，占本年支出合计的13.83%。与上年相比，增加846.04万元，增长23.95%,主要原因是：2023年在职人数较上年增加，人员支出和公用经费均有所增加，委托业务费增加金额较大，对支出影响较大。与年初预算相比，年初预算数3,779.87万元，决算数4,378.91万元，预决算差异率15.85%，主要原因是：退休人数的增加导致职业年金拨款支出增加，人员工资社保公积金缴费基数提高，补发绩效奖。</w:t>
      </w:r>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lang w:eastAsia="zh-CN"/>
        </w:rPr>
        <w:t>（</w:t>
      </w:r>
      <w:r>
        <w:rPr>
          <w:rFonts w:hint="eastAsia" w:ascii="黑体" w:hAnsi="黑体" w:eastAsia="黑体" w:cs="黑体"/>
          <w:bCs/>
          <w:kern w:val="0"/>
          <w:sz w:val="32"/>
          <w:szCs w:val="32"/>
          <w:lang w:val="en-US" w:eastAsia="zh-CN"/>
        </w:rPr>
        <w:t>二</w:t>
      </w:r>
      <w:r>
        <w:rPr>
          <w:rFonts w:hint="eastAsia" w:ascii="黑体" w:hAnsi="黑体" w:eastAsia="黑体" w:cs="黑体"/>
          <w:bCs/>
          <w:kern w:val="0"/>
          <w:sz w:val="32"/>
          <w:szCs w:val="32"/>
          <w:lang w:eastAsia="zh-CN"/>
        </w:rPr>
        <w:t>）</w:t>
      </w:r>
      <w:r>
        <w:rPr>
          <w:rFonts w:hint="eastAsia" w:ascii="黑体" w:hAnsi="黑体" w:eastAsia="黑体" w:cs="黑体"/>
          <w:bCs/>
          <w:kern w:val="0"/>
          <w:sz w:val="32"/>
          <w:szCs w:val="32"/>
        </w:rPr>
        <w:t>一般公共预算财政拨款支出决算结构情况</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1.教育支出（类）13.75万元，占0.31%；</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2.社会保障和就业支出（类）434.08万元，占9.91%；</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3.卫生健康支出（类）214.42万元，占4.90%；</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4.节能环保支出（类）8.52万元，占0.19%；</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5.自然资源海洋气象等支出（类）3,388.74万元，占77.39%；</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6.住房保障支出（类）239.40万元，占5.47%；</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7.害防治及应急管理支出（类）80.00万元，占1.83%；</w:t>
      </w:r>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rPr>
        <w:t>（三）一般公共预算财政拨款支出决算具体情况</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1.卫生健康支出（类）行政事业单位医疗（款）行政单位医疗（项）:支出决算数为184.98万元，比上年决算增加56.16万元，增长43.59%，主要原因是：增加了人员工资和社保缴费支出。</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2.教育支出（类）进修及培训（款）培训支出（项）:支出决算数为13.75万元，比上年决算增加11.59万元，增长</w:t>
      </w:r>
      <w:r>
        <w:rPr>
          <w:rFonts w:hint="eastAsia" w:ascii="仿宋_GB2312" w:hAnsi="仿宋_GB2312" w:eastAsia="仿宋_GB2312" w:cs="仿宋_GB2312"/>
          <w:bCs/>
          <w:color w:val="auto"/>
          <w:kern w:val="0"/>
          <w:sz w:val="32"/>
          <w:szCs w:val="32"/>
          <w:highlight w:val="none"/>
          <w:lang w:val="en-US" w:eastAsia="zh-CN" w:bidi="ar-SA"/>
        </w:rPr>
        <w:t>536.57</w:t>
      </w:r>
      <w:r>
        <w:rPr>
          <w:rFonts w:hint="default" w:ascii="仿宋_GB2312" w:hAnsi="仿宋_GB2312" w:eastAsia="仿宋_GB2312" w:cs="仿宋_GB2312"/>
          <w:bCs/>
          <w:color w:val="auto"/>
          <w:kern w:val="0"/>
          <w:sz w:val="32"/>
          <w:szCs w:val="32"/>
          <w:highlight w:val="none"/>
          <w:lang w:val="en-US" w:eastAsia="zh-CN" w:bidi="ar-SA"/>
        </w:rPr>
        <w:t>%，主要原因是：2003年培训人员和次数增加。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3.卫生健康支出（类）行政事业单位医疗（款）公务员医疗补助（项）:支出决算数为29.43万元，比上年决算减少23.91万元，下降44.83%，主要原因是：公务员医疗缴费基数提高。</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4.住房保障支出（类）住房改革支出（款）住房公积金（项）:支出决算数为239.40万元，比上年决算增加47.74万元，增长24.91%，主要原因是：公积金缴费基数提高。</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5.灾害防治及应急管理支出（类）自然灾害防治（款）地质灾害防治（项）:支出决算数为80.00万元，比上年决算增加35.00万元，增长77.78%，主要原因是：2023年该类项目金额增加。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6.节能环保支出（类）环境监测与监察（款）其他环境监测与监察支出（项）:支出决算数为8.52万元，比上年决算增加8.52万元，增长100%，主要原因是：2022年由于疫情未支付该项目支出，造成2023年该项目支付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7.社会保障和就业支出（类）行政事业单位养老支出（款）行政单位离退休（项）:支出决算数为117.22万元，比上年决算增加79.71万元，增长212.51%，主要原因是：2023年</w:t>
      </w:r>
      <w:r>
        <w:rPr>
          <w:rFonts w:hint="eastAsia" w:ascii="仿宋_GB2312" w:hAnsi="仿宋_GB2312" w:eastAsia="仿宋_GB2312" w:cs="仿宋_GB2312"/>
          <w:bCs/>
          <w:color w:val="auto"/>
          <w:kern w:val="0"/>
          <w:sz w:val="32"/>
          <w:szCs w:val="32"/>
          <w:highlight w:val="none"/>
          <w:lang w:val="en-US" w:eastAsia="zh-CN" w:bidi="ar-SA"/>
        </w:rPr>
        <w:t>增加</w:t>
      </w:r>
      <w:r>
        <w:rPr>
          <w:rFonts w:hint="default" w:ascii="仿宋_GB2312" w:hAnsi="仿宋_GB2312" w:eastAsia="仿宋_GB2312" w:cs="仿宋_GB2312"/>
          <w:bCs/>
          <w:color w:val="auto"/>
          <w:kern w:val="0"/>
          <w:sz w:val="32"/>
          <w:szCs w:val="32"/>
          <w:highlight w:val="none"/>
          <w:lang w:val="en-US" w:eastAsia="zh-CN" w:bidi="ar-SA"/>
        </w:rPr>
        <w:t>支付</w:t>
      </w:r>
      <w:r>
        <w:rPr>
          <w:rFonts w:hint="eastAsia" w:ascii="仿宋_GB2312" w:hAnsi="仿宋_GB2312" w:eastAsia="仿宋_GB2312" w:cs="仿宋_GB2312"/>
          <w:bCs/>
          <w:color w:val="auto"/>
          <w:kern w:val="0"/>
          <w:sz w:val="32"/>
          <w:szCs w:val="32"/>
          <w:highlight w:val="none"/>
          <w:lang w:val="en-US" w:eastAsia="zh-CN" w:bidi="ar-SA"/>
        </w:rPr>
        <w:t>了</w:t>
      </w:r>
      <w:r>
        <w:rPr>
          <w:rFonts w:hint="default" w:ascii="仿宋_GB2312" w:hAnsi="仿宋_GB2312" w:eastAsia="仿宋_GB2312" w:cs="仿宋_GB2312"/>
          <w:bCs/>
          <w:color w:val="auto"/>
          <w:kern w:val="0"/>
          <w:sz w:val="32"/>
          <w:szCs w:val="32"/>
          <w:highlight w:val="none"/>
          <w:lang w:val="en-US" w:eastAsia="zh-CN" w:bidi="ar-SA"/>
        </w:rPr>
        <w:t>退休人员</w:t>
      </w:r>
      <w:r>
        <w:rPr>
          <w:rFonts w:hint="eastAsia" w:ascii="仿宋_GB2312" w:hAnsi="仿宋_GB2312" w:eastAsia="仿宋_GB2312" w:cs="仿宋_GB2312"/>
          <w:bCs/>
          <w:color w:val="auto"/>
          <w:kern w:val="0"/>
          <w:sz w:val="32"/>
          <w:szCs w:val="32"/>
          <w:highlight w:val="none"/>
          <w:lang w:val="en-US" w:eastAsia="zh-CN" w:bidi="ar-SA"/>
        </w:rPr>
        <w:t>死亡</w:t>
      </w:r>
      <w:r>
        <w:rPr>
          <w:rFonts w:hint="default" w:ascii="仿宋_GB2312" w:hAnsi="仿宋_GB2312" w:eastAsia="仿宋_GB2312" w:cs="仿宋_GB2312"/>
          <w:bCs/>
          <w:color w:val="auto"/>
          <w:kern w:val="0"/>
          <w:sz w:val="32"/>
          <w:szCs w:val="32"/>
          <w:highlight w:val="none"/>
          <w:lang w:val="en-US" w:eastAsia="zh-CN" w:bidi="ar-SA"/>
        </w:rPr>
        <w:t>丧葬费和</w:t>
      </w:r>
      <w:bookmarkStart w:id="48" w:name="_GoBack"/>
      <w:bookmarkEnd w:id="48"/>
      <w:r>
        <w:rPr>
          <w:rFonts w:hint="default" w:ascii="仿宋_GB2312" w:hAnsi="仿宋_GB2312" w:eastAsia="仿宋_GB2312" w:cs="仿宋_GB2312"/>
          <w:bCs/>
          <w:color w:val="auto"/>
          <w:kern w:val="0"/>
          <w:sz w:val="32"/>
          <w:szCs w:val="32"/>
          <w:highlight w:val="none"/>
          <w:lang w:val="en-US" w:eastAsia="zh-CN" w:bidi="ar-SA"/>
        </w:rPr>
        <w:t>绩效</w:t>
      </w:r>
      <w:r>
        <w:rPr>
          <w:rFonts w:hint="eastAsia" w:ascii="仿宋_GB2312" w:hAnsi="仿宋_GB2312" w:eastAsia="仿宋_GB2312" w:cs="仿宋_GB2312"/>
          <w:bCs/>
          <w:color w:val="auto"/>
          <w:kern w:val="0"/>
          <w:sz w:val="32"/>
          <w:szCs w:val="32"/>
          <w:highlight w:val="none"/>
          <w:lang w:val="en-US" w:eastAsia="zh-CN" w:bidi="ar-SA"/>
        </w:rPr>
        <w:t>奖金</w:t>
      </w:r>
      <w:r>
        <w:rPr>
          <w:rFonts w:hint="default" w:ascii="仿宋_GB2312" w:hAnsi="仿宋_GB2312" w:eastAsia="仿宋_GB2312" w:cs="仿宋_GB2312"/>
          <w:bCs/>
          <w:color w:val="auto"/>
          <w:kern w:val="0"/>
          <w:sz w:val="32"/>
          <w:szCs w:val="32"/>
          <w:highlight w:val="none"/>
          <w:lang w:val="en-US" w:eastAsia="zh-CN" w:bidi="ar-SA"/>
        </w:rPr>
        <w:t>。</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8.社会保障和就业支出（类）就业补助（款）公益性岗位补贴（项）:支出决算数为6.60万元，比上年决算增加1.26万元，增长</w:t>
      </w:r>
      <w:r>
        <w:rPr>
          <w:rFonts w:hint="eastAsia" w:ascii="仿宋_GB2312" w:hAnsi="仿宋_GB2312" w:eastAsia="仿宋_GB2312" w:cs="仿宋_GB2312"/>
          <w:bCs/>
          <w:color w:val="auto"/>
          <w:kern w:val="0"/>
          <w:sz w:val="32"/>
          <w:szCs w:val="32"/>
          <w:highlight w:val="none"/>
          <w:lang w:val="en-US" w:eastAsia="zh-CN" w:bidi="ar-SA"/>
        </w:rPr>
        <w:t>23.60</w:t>
      </w:r>
      <w:r>
        <w:rPr>
          <w:rFonts w:hint="default" w:ascii="仿宋_GB2312" w:hAnsi="仿宋_GB2312" w:eastAsia="仿宋_GB2312" w:cs="仿宋_GB2312"/>
          <w:bCs/>
          <w:color w:val="auto"/>
          <w:kern w:val="0"/>
          <w:sz w:val="32"/>
          <w:szCs w:val="32"/>
          <w:highlight w:val="none"/>
          <w:lang w:val="en-US" w:eastAsia="zh-CN" w:bidi="ar-SA"/>
        </w:rPr>
        <w:t>%，主要原因是：社保缴费基数增加。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9.社会保障和就业支出（类）行政事业单位养老支出（款）机关事业单位职业年金缴费支出（项）:支出决算数为36.73万元，比上年决算增加31.39万元，增长</w:t>
      </w:r>
      <w:r>
        <w:rPr>
          <w:rFonts w:hint="eastAsia" w:ascii="仿宋_GB2312" w:hAnsi="仿宋_GB2312" w:eastAsia="仿宋_GB2312" w:cs="仿宋_GB2312"/>
          <w:bCs/>
          <w:color w:val="auto"/>
          <w:kern w:val="0"/>
          <w:sz w:val="32"/>
          <w:szCs w:val="32"/>
          <w:highlight w:val="none"/>
          <w:lang w:val="en-US" w:eastAsia="zh-CN" w:bidi="ar-SA"/>
        </w:rPr>
        <w:t>587.83</w:t>
      </w:r>
      <w:r>
        <w:rPr>
          <w:rFonts w:hint="default" w:ascii="仿宋_GB2312" w:hAnsi="仿宋_GB2312" w:eastAsia="仿宋_GB2312" w:cs="仿宋_GB2312"/>
          <w:bCs/>
          <w:color w:val="auto"/>
          <w:kern w:val="0"/>
          <w:sz w:val="32"/>
          <w:szCs w:val="32"/>
          <w:highlight w:val="none"/>
          <w:lang w:val="en-US" w:eastAsia="zh-CN" w:bidi="ar-SA"/>
        </w:rPr>
        <w:t>%，主要原因是：社保缴费基数增加及退休人数的增加导致职业年金拨款支出增加。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10.社会保障和就业支出（类）行政事业单位养老支出（款）机关事业单位基本养老保险缴费支出（项）:支出决算数为273.53万元，比上年决算增加37.32万元，增长15.80%，主要原因是：社保缴费基数增加。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11.自然资源海洋气象等支出（类）自然资源事务（款）自然资源利用与保护（项）:支出决算数为164.43万元，比上年决算减少100.17万元，下降37.86%，主要原因是：委托业务费耕地占用税减少。</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12.自然资源海洋气象等支出（类）自然资源事务（款）其他自然资源事务支出（项）:支出决算数为62.53万元，比上年决算增加38.73万元，增长162.</w:t>
      </w:r>
      <w:r>
        <w:rPr>
          <w:rFonts w:hint="eastAsia" w:ascii="仿宋_GB2312" w:hAnsi="仿宋_GB2312" w:eastAsia="仿宋_GB2312" w:cs="仿宋_GB2312"/>
          <w:bCs/>
          <w:color w:val="auto"/>
          <w:kern w:val="0"/>
          <w:sz w:val="32"/>
          <w:szCs w:val="32"/>
          <w:highlight w:val="none"/>
          <w:lang w:val="en-US" w:eastAsia="zh-CN" w:bidi="ar-SA"/>
        </w:rPr>
        <w:t>73</w:t>
      </w:r>
      <w:r>
        <w:rPr>
          <w:rFonts w:hint="default" w:ascii="仿宋_GB2312" w:hAnsi="仿宋_GB2312" w:eastAsia="仿宋_GB2312" w:cs="仿宋_GB2312"/>
          <w:bCs/>
          <w:color w:val="auto"/>
          <w:kern w:val="0"/>
          <w:sz w:val="32"/>
          <w:szCs w:val="32"/>
          <w:highlight w:val="none"/>
          <w:lang w:val="en-US" w:eastAsia="zh-CN" w:bidi="ar-SA"/>
        </w:rPr>
        <w:t>%，主要原因是：土地补偿费增加。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13.自然资源海洋气象等支出（类）自然资源事务（款）行政运行（项）:支出决算数为3,161.78万元，比上年决算增加899.61万元，增长39.77%，主要原因是：增加了人员工资和社保缴费支出，办公经费增加支出。</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14.一般公共服务支出（类）组织事务（款）其他组织事务支出（项）:支出决算数为0.00万元，比上年决算减少8.90万元，下降100%，主要原因是：减少了访惠聚工作经费。</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15.文化旅游体育与传媒支出（类）文物（款）博物馆（项）:支出决算数为0.00万元，比上年决算减少263.00万元，下降100%，主要原因是：2022年支付健身中心设备款2023年未支付。</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16.灾害防治及应急管理支出（类）应急管理事务（款）灾害风险防治（项）:支出决算数为0.00万元，比上年决算减少5.00万元，下降100%，主要原因是：2022年支付灾害风险野外调查款，2023年未支付。</w:t>
      </w:r>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rPr>
        <w:t>六、一般公共预算财政拨款基本支出决算情况说明</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一般公共预算财政拨款基本支出4,290.39万元，其中：人员经费3,641.50万元，包括：基本工资、津贴补贴、奖金、机关事业单位基本养老保险缴费、职业年金缴费、职工基本医疗保险缴费、公务员医疗补助缴费、其他社会保障缴费、住房公积金、医疗费、其他工资福利支出、退休费、抚恤金、生活补助、医疗费补助。</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公用经费648.89万元，包括：办公费、水费、电费、邮电费、取暖费、差旅费、维修（护）费、培训费、委托业务费、工会经费、福利费、公务用车运行维护费、其他交通费用、其他商品和服务支出。</w:t>
      </w:r>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rPr>
        <w:t>七、财政拨款“三公”经费支出决算情况说明</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2023年度财政拨款“三公”经费支出7.17万元，比上年增加0.00万元，增长0.00%,主要原因是：</w:t>
      </w:r>
      <w:r>
        <w:rPr>
          <w:rFonts w:hint="eastAsia" w:ascii="仿宋_GB2312" w:hAnsi="仿宋_GB2312" w:eastAsia="仿宋_GB2312" w:cs="仿宋_GB2312"/>
          <w:bCs/>
          <w:color w:val="auto"/>
          <w:kern w:val="0"/>
          <w:sz w:val="32"/>
          <w:szCs w:val="32"/>
          <w:highlight w:val="none"/>
          <w:lang w:val="en-US" w:eastAsia="zh-CN" w:bidi="ar-SA"/>
        </w:rPr>
        <w:t>本年与上年一致</w:t>
      </w:r>
      <w:r>
        <w:rPr>
          <w:rFonts w:hint="default" w:ascii="仿宋_GB2312" w:hAnsi="仿宋_GB2312" w:eastAsia="仿宋_GB2312" w:cs="仿宋_GB2312"/>
          <w:bCs/>
          <w:color w:val="auto"/>
          <w:kern w:val="0"/>
          <w:sz w:val="32"/>
          <w:szCs w:val="32"/>
          <w:highlight w:val="none"/>
          <w:lang w:val="en-US" w:eastAsia="zh-CN" w:bidi="ar-SA"/>
        </w:rPr>
        <w:t>。其中：因公出国（境）费支出0.00万元，占0.00%，比上年增加0.00万元，增长0.00%,主要原因是：我单位未安排因公出国（境），无因公出国（境）费用；公务用车购置及运行维护费支出7.17万元，占100.00%，比上年增加0.00万元，增长0.00%,主要原因是：压缩经费，厉行节约；公务接待费支出0.00万元，占0.00%，比上年增加0.00万元，增长0.00%,主要原因是：我单位未安排公务接待，无公务接待支出。</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具体情况如下：</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因公出国（境）费支出0.00万元，开支内容包括我单位无因公出国（境）支出，无开支内容。单位全年安排的因公出国（境）团组0个，因公出国（境）0人次。</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公务用车购置及运行维护费7.17万元，其中：公务用车购置费0.00万元，公务用车运行维护费7.17万元。公务用车运行维护费开支内容包括车辆燃料费、车辆维修费、车辆保险费。公务用车购置数0辆，公务用车保有量30辆。国有资产占用情况中固定资产车辆30辆，与公务用车保有量差异原因是：无差异。</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公务接待费0.00万元，开支内容包括我单位无公务接待支出，无开支内容。单位全年安排的国内公务接待0批次，0人次。</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与全年预算相比,财政拨款“三公”经费支出全年预算数7.17万元，决算数7.17万元，预决算差异率0.00%，主要原因是：压缩经费，厉行节约。其中：因公出国（境）费全年预算数0.00万元，决算数0.00万元，预决算差异率0.00%，主要原因是：我单位未安排因公出国（境）；公务用车购置费全年预算数0.00万元，决算数0.00万元，预决算差异率0.00%，主要原因是：我单位未购置公务用车；公务用车运行费全年预算数7.17万元，决算数7.17万元，预决算差异率0.00%，主要原因是：严格按预算执行经费开支，全年无超支，同时压缩经费，厉行节约；公务接待费全年预算数0.00万元，决算数0.00万元，预决算差异率0.00%，主要原因是：我单位未安排公务接待。</w:t>
      </w:r>
    </w:p>
    <w:p>
      <w:pPr>
        <w:widowControl/>
        <w:spacing w:line="560" w:lineRule="exact"/>
        <w:ind w:firstLine="640"/>
        <w:jc w:val="left"/>
        <w:rPr>
          <w:rFonts w:hint="eastAsia" w:ascii="黑体" w:hAnsi="黑体" w:eastAsia="黑体" w:cs="黑体"/>
          <w:bCs/>
          <w:kern w:val="0"/>
          <w:sz w:val="32"/>
          <w:szCs w:val="32"/>
        </w:rPr>
      </w:pPr>
      <w:bookmarkStart w:id="18" w:name="_Toc5810"/>
      <w:bookmarkStart w:id="19" w:name="_Toc7927"/>
      <w:r>
        <w:rPr>
          <w:rFonts w:hint="eastAsia" w:ascii="黑体" w:hAnsi="黑体" w:eastAsia="黑体" w:cs="黑体"/>
          <w:bCs/>
          <w:kern w:val="0"/>
          <w:sz w:val="32"/>
          <w:szCs w:val="32"/>
        </w:rPr>
        <w:t>八、政府性基金预算财政拨款收入支出决算情况说明</w:t>
      </w:r>
      <w:bookmarkEnd w:id="18"/>
      <w:bookmarkEnd w:id="19"/>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政府性基金预算财政拨款收入总计27,282.77万元，其中：年初结转和结余0.00万元，本年收入27,282.77万元。政府性基金预算财政拨款支出总计27,282.77万元，其中：年末结转和结余0.00万元，本年支出27,282.77万元。</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政府性基金预算财政拨款收入支出与上年相比，增加17,217.86万元,增长171.07%,主要原因是：2023年11月支付格库铁路一期二期本金共计2.32亿，造成本年度收入总额与</w:t>
      </w:r>
      <w:r>
        <w:rPr>
          <w:rFonts w:hint="eastAsia" w:ascii="仿宋_GB2312" w:hAnsi="仿宋_GB2312" w:eastAsia="仿宋_GB2312" w:cs="仿宋_GB2312"/>
          <w:bCs/>
          <w:color w:val="auto"/>
          <w:kern w:val="0"/>
          <w:sz w:val="32"/>
          <w:szCs w:val="32"/>
          <w:highlight w:val="none"/>
          <w:lang w:val="en-US" w:eastAsia="zh-CN" w:bidi="ar-SA"/>
        </w:rPr>
        <w:t>上年</w:t>
      </w:r>
      <w:r>
        <w:rPr>
          <w:rFonts w:hint="default" w:ascii="仿宋_GB2312" w:hAnsi="仿宋_GB2312" w:eastAsia="仿宋_GB2312" w:cs="仿宋_GB2312"/>
          <w:bCs/>
          <w:color w:val="auto"/>
          <w:kern w:val="0"/>
          <w:sz w:val="32"/>
          <w:szCs w:val="32"/>
          <w:highlight w:val="none"/>
          <w:lang w:val="en-US" w:eastAsia="zh-CN" w:bidi="ar-SA"/>
        </w:rPr>
        <w:t>相比大幅度增加。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与年初预算相比,年初预算数5,933.95万元，决算数27,282.77万元，预决算差异率359.77%，主要原因是：2023年11月支付格库铁路一期二期本金共计2.32亿，造成本年度收入总额与年初预算相比大幅度增加。</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政府性基金预算财政拨款支出27,282.77万元。</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城乡社区支出（类）国有土地使用权出让收入安排的支出（款）征地和拆迁补偿支出（项）:支出决算数为1,335.71万元，比上年决算减少1,208.26万元，下降47.50%，主要原因是：本年度支付库格铁路利息减少1208.26万元。</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城乡社区支出（类）国有土地使用权出让收入对应专项债务收入安排的支出（款）城市建设支出（项）:支出决算数为2,000.00万元，比上年决算增加2,000.00万元，增长100%，主要原因是：2023年支付国资公司健身中心工程项目补助。</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3.城乡社区支出（类）国有土地使用权出让收入安排的支出（款）其他国有土地使用权出让收入安排的支出（项）:支出决算数为747.06万元，比上年决算减少6,773.88万元，下降90.07%，主要原因是</w:t>
      </w:r>
      <w:r>
        <w:rPr>
          <w:rFonts w:hint="eastAsia" w:ascii="仿宋_GB2312" w:hAnsi="仿宋_GB2312" w:eastAsia="仿宋_GB2312" w:cs="仿宋_GB2312"/>
          <w:bCs/>
          <w:color w:val="auto"/>
          <w:kern w:val="0"/>
          <w:sz w:val="32"/>
          <w:szCs w:val="32"/>
          <w:highlight w:val="none"/>
          <w:lang w:val="en-US" w:eastAsia="zh-CN" w:bidi="ar-SA"/>
        </w:rPr>
        <w:t>：减少了</w:t>
      </w:r>
      <w:r>
        <w:rPr>
          <w:rFonts w:hint="default" w:ascii="仿宋_GB2312" w:hAnsi="仿宋_GB2312" w:eastAsia="仿宋_GB2312" w:cs="仿宋_GB2312"/>
          <w:bCs/>
          <w:color w:val="auto"/>
          <w:kern w:val="0"/>
          <w:sz w:val="32"/>
          <w:szCs w:val="32"/>
          <w:highlight w:val="none"/>
          <w:lang w:val="en-US" w:eastAsia="zh-CN" w:bidi="ar-SA"/>
        </w:rPr>
        <w:t>3P项目及健身中心和展示中心工程设备款7520.94万元。</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4.城乡社区支出（类）国有土地使用权出让收入对应专项债务收入安排的支出（款）其他国有土地使用权出让收入对应专项债务收入安排的支出（项）:支出决算数为23,200.00万元，比上年决算增加23,200.00万元，增长100%，主要原因是：2023年11月支付格库铁路一期二期本金共计2.32亿。</w:t>
      </w:r>
    </w:p>
    <w:p>
      <w:pPr>
        <w:widowControl/>
        <w:spacing w:line="560" w:lineRule="exact"/>
        <w:ind w:firstLine="640"/>
        <w:jc w:val="left"/>
        <w:rPr>
          <w:rFonts w:hint="eastAsia" w:ascii="黑体" w:hAnsi="黑体" w:eastAsia="黑体" w:cs="黑体"/>
          <w:bCs/>
          <w:kern w:val="0"/>
          <w:sz w:val="32"/>
          <w:szCs w:val="32"/>
        </w:rPr>
      </w:pPr>
      <w:r>
        <w:rPr>
          <w:rFonts w:hint="eastAsia" w:ascii="黑体" w:hAnsi="黑体" w:eastAsia="黑体" w:cs="黑体"/>
          <w:bCs/>
          <w:kern w:val="0"/>
          <w:sz w:val="32"/>
          <w:szCs w:val="32"/>
        </w:rPr>
        <w:t>九、国有资本经营预算财政拨款收入支出决算情况说明</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我</w:t>
      </w:r>
      <w:r>
        <w:rPr>
          <w:rFonts w:hint="eastAsia" w:ascii="仿宋_GB2312" w:hAnsi="仿宋_GB2312" w:eastAsia="仿宋_GB2312" w:cs="仿宋_GB2312"/>
          <w:bCs/>
          <w:color w:val="auto"/>
          <w:kern w:val="0"/>
          <w:sz w:val="32"/>
          <w:szCs w:val="32"/>
          <w:highlight w:val="none"/>
          <w:lang w:val="en-US" w:eastAsia="zh-CN" w:bidi="ar-SA"/>
        </w:rPr>
        <w:t>部门</w:t>
      </w:r>
      <w:r>
        <w:rPr>
          <w:rFonts w:hint="default" w:ascii="仿宋_GB2312" w:hAnsi="仿宋_GB2312" w:eastAsia="仿宋_GB2312" w:cs="仿宋_GB2312"/>
          <w:bCs/>
          <w:color w:val="auto"/>
          <w:kern w:val="0"/>
          <w:sz w:val="32"/>
          <w:szCs w:val="32"/>
          <w:highlight w:val="none"/>
          <w:lang w:val="en-US" w:eastAsia="zh-CN" w:bidi="ar-SA"/>
        </w:rPr>
        <w:t>本年度无国有资本经营预算财政拨款收入、支出及结转和结余，国有资本经营预算财政拨款收入支出决算表为空表。</w:t>
      </w:r>
    </w:p>
    <w:p>
      <w:pPr>
        <w:widowControl/>
        <w:spacing w:line="560" w:lineRule="exact"/>
        <w:ind w:firstLine="640"/>
        <w:jc w:val="left"/>
        <w:rPr>
          <w:rFonts w:hint="eastAsia" w:ascii="黑体" w:hAnsi="黑体" w:eastAsia="黑体" w:cs="黑体"/>
          <w:bCs/>
          <w:kern w:val="0"/>
          <w:sz w:val="32"/>
          <w:szCs w:val="32"/>
        </w:rPr>
      </w:pPr>
      <w:bookmarkStart w:id="20" w:name="_Toc1235"/>
      <w:bookmarkStart w:id="21" w:name="_Toc7314"/>
      <w:r>
        <w:rPr>
          <w:rFonts w:hint="eastAsia" w:ascii="黑体" w:hAnsi="黑体" w:eastAsia="黑体" w:cs="黑体"/>
          <w:bCs/>
          <w:kern w:val="0"/>
          <w:sz w:val="32"/>
          <w:szCs w:val="32"/>
        </w:rPr>
        <w:t>十、其他重要事项的情况说明</w:t>
      </w:r>
      <w:bookmarkEnd w:id="20"/>
      <w:bookmarkEnd w:id="21"/>
    </w:p>
    <w:p>
      <w:pPr>
        <w:widowControl/>
        <w:spacing w:line="560" w:lineRule="exact"/>
        <w:ind w:firstLine="640"/>
        <w:jc w:val="left"/>
        <w:rPr>
          <w:rFonts w:hint="eastAsia" w:ascii="黑体" w:hAnsi="黑体" w:eastAsia="黑体" w:cs="黑体"/>
          <w:bCs/>
          <w:kern w:val="0"/>
          <w:sz w:val="32"/>
          <w:szCs w:val="32"/>
        </w:rPr>
      </w:pPr>
      <w:bookmarkStart w:id="22" w:name="_Toc14519"/>
      <w:bookmarkStart w:id="23" w:name="_Toc13105"/>
      <w:r>
        <w:rPr>
          <w:rFonts w:hint="eastAsia" w:ascii="黑体" w:hAnsi="黑体" w:eastAsia="黑体" w:cs="黑体"/>
          <w:bCs/>
          <w:kern w:val="0"/>
          <w:sz w:val="32"/>
          <w:szCs w:val="32"/>
        </w:rPr>
        <w:t>（一）机关运行经费支出情况</w:t>
      </w:r>
      <w:bookmarkEnd w:id="22"/>
      <w:bookmarkEnd w:id="23"/>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bookmarkStart w:id="24" w:name="_Toc26704"/>
      <w:bookmarkStart w:id="25" w:name="_Toc227"/>
      <w:r>
        <w:rPr>
          <w:rFonts w:hint="default" w:ascii="仿宋_GB2312" w:hAnsi="仿宋_GB2312" w:eastAsia="仿宋_GB2312" w:cs="仿宋_GB2312"/>
          <w:bCs/>
          <w:color w:val="auto"/>
          <w:kern w:val="0"/>
          <w:sz w:val="32"/>
          <w:szCs w:val="32"/>
          <w:highlight w:val="none"/>
          <w:lang w:val="en-US" w:eastAsia="zh-CN" w:bidi="ar-SA"/>
        </w:rPr>
        <w:t>2023年度库尔勒市自然资源局（行政单位和参照公务员法管理事业单位）机关运行经费支出1,384.39万元，比上年增加1,333.08万元，增长2598</w:t>
      </w:r>
      <w:r>
        <w:rPr>
          <w:rFonts w:hint="eastAsia" w:ascii="仿宋_GB2312" w:hAnsi="仿宋_GB2312" w:eastAsia="仿宋_GB2312" w:cs="仿宋_GB2312"/>
          <w:bCs/>
          <w:color w:val="auto"/>
          <w:kern w:val="0"/>
          <w:sz w:val="32"/>
          <w:szCs w:val="32"/>
          <w:highlight w:val="none"/>
          <w:lang w:val="en-US" w:eastAsia="zh-CN" w:bidi="ar-SA"/>
        </w:rPr>
        <w:t>.09</w:t>
      </w:r>
      <w:r>
        <w:rPr>
          <w:rFonts w:hint="default" w:ascii="仿宋_GB2312" w:hAnsi="仿宋_GB2312" w:eastAsia="仿宋_GB2312" w:cs="仿宋_GB2312"/>
          <w:bCs/>
          <w:color w:val="auto"/>
          <w:kern w:val="0"/>
          <w:sz w:val="32"/>
          <w:szCs w:val="32"/>
          <w:highlight w:val="none"/>
          <w:lang w:val="en-US" w:eastAsia="zh-CN" w:bidi="ar-SA"/>
        </w:rPr>
        <w:t>%，主要原因是：本年清理原规划局欠款、增加了委托业务费及退付个人土地补偿金。</w:t>
      </w:r>
    </w:p>
    <w:p>
      <w:pPr>
        <w:widowControl/>
        <w:spacing w:line="560" w:lineRule="exact"/>
        <w:ind w:firstLine="640"/>
        <w:jc w:val="left"/>
        <w:rPr>
          <w:rFonts w:eastAsia="仿宋_GB2312"/>
          <w:bCs/>
          <w:kern w:val="0"/>
          <w:sz w:val="32"/>
          <w:szCs w:val="32"/>
        </w:rPr>
      </w:pPr>
      <w:r>
        <w:rPr>
          <w:rFonts w:hint="eastAsia" w:ascii="黑体" w:hAnsi="黑体" w:eastAsia="黑体" w:cs="黑体"/>
          <w:bCs/>
          <w:kern w:val="0"/>
          <w:sz w:val="32"/>
          <w:szCs w:val="32"/>
        </w:rPr>
        <w:t>（二）政府采购情况</w:t>
      </w:r>
      <w:bookmarkEnd w:id="24"/>
      <w:bookmarkEnd w:id="25"/>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2023年度政府采购支出总额637.30万元，其中：政府采购货物支出14.58万元、政府采购工程支出7.54万元、政府采购服务支出615.18万元。</w:t>
      </w:r>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授予中小企业合同金额637.30万元，占政府采购支出总额的100.00%，其中：授予小微企业合同金额27.31万元，占政府采购支出总额的4.29%。</w:t>
      </w:r>
    </w:p>
    <w:p>
      <w:pPr>
        <w:widowControl/>
        <w:spacing w:line="560" w:lineRule="exact"/>
        <w:ind w:firstLine="640"/>
        <w:jc w:val="left"/>
        <w:rPr>
          <w:rFonts w:eastAsia="仿宋_GB2312"/>
          <w:bCs/>
          <w:kern w:val="0"/>
          <w:sz w:val="32"/>
          <w:szCs w:val="32"/>
        </w:rPr>
      </w:pPr>
      <w:bookmarkStart w:id="26" w:name="_Toc4591"/>
      <w:bookmarkStart w:id="27" w:name="_Toc8391"/>
      <w:r>
        <w:rPr>
          <w:rFonts w:eastAsia="仿宋_GB2312"/>
          <w:bCs/>
          <w:kern w:val="0"/>
          <w:sz w:val="32"/>
          <w:szCs w:val="32"/>
        </w:rPr>
        <w:t>（</w:t>
      </w:r>
      <w:r>
        <w:rPr>
          <w:rFonts w:hint="eastAsia" w:ascii="黑体" w:hAnsi="黑体" w:eastAsia="黑体" w:cs="黑体"/>
          <w:bCs/>
          <w:kern w:val="0"/>
          <w:sz w:val="32"/>
          <w:szCs w:val="32"/>
        </w:rPr>
        <w:t>三）国有资产占用情况说明</w:t>
      </w:r>
      <w:bookmarkEnd w:id="26"/>
      <w:bookmarkEnd w:id="27"/>
    </w:p>
    <w:p>
      <w:pPr>
        <w:widowControl/>
        <w:spacing w:line="560" w:lineRule="exact"/>
        <w:ind w:firstLine="640"/>
        <w:jc w:val="left"/>
        <w:rPr>
          <w:rFonts w:eastAsia="仿宋_GB2312"/>
          <w:bCs/>
          <w:kern w:val="0"/>
          <w:sz w:val="32"/>
          <w:szCs w:val="32"/>
        </w:rPr>
      </w:pPr>
      <w:r>
        <w:rPr>
          <w:rFonts w:hint="default" w:ascii="仿宋_GB2312" w:hAnsi="仿宋_GB2312" w:eastAsia="仿宋_GB2312" w:cs="仿宋_GB2312"/>
          <w:bCs/>
          <w:color w:val="auto"/>
          <w:kern w:val="0"/>
          <w:sz w:val="32"/>
          <w:szCs w:val="32"/>
          <w:highlight w:val="none"/>
          <w:lang w:val="en-US" w:eastAsia="zh-CN" w:bidi="ar-SA"/>
        </w:rPr>
        <w:t>截至2023年12月31日，固定资产原值4,863.10万元，房屋12,926.17平方米，价值1,824.81万元。车辆30辆，价值305.98万元，其中：副部（省）级及以上领导用车0辆、主要负责人用车0辆、机要通信用车0辆、应急保障用车0辆、执法执勤用车0辆、特种专业技术用车0辆、离退休干部服务用车0辆、其他用车30辆，其他用车主要是：一般公务用车；单价100万元（含）以上设备（不含车辆）0台（套）。</w:t>
      </w:r>
    </w:p>
    <w:p>
      <w:pPr>
        <w:widowControl/>
        <w:spacing w:line="560" w:lineRule="exact"/>
        <w:ind w:firstLine="640"/>
        <w:jc w:val="left"/>
        <w:rPr>
          <w:rFonts w:hint="eastAsia" w:ascii="黑体" w:hAnsi="黑体" w:eastAsia="黑体" w:cs="黑体"/>
          <w:bCs/>
          <w:kern w:val="0"/>
          <w:sz w:val="32"/>
          <w:szCs w:val="32"/>
        </w:rPr>
      </w:pPr>
      <w:bookmarkStart w:id="28" w:name="_Toc11283"/>
      <w:bookmarkStart w:id="29" w:name="_Toc435"/>
      <w:r>
        <w:rPr>
          <w:rFonts w:hint="eastAsia" w:ascii="黑体" w:hAnsi="黑体" w:eastAsia="黑体" w:cs="黑体"/>
          <w:bCs/>
          <w:kern w:val="0"/>
          <w:sz w:val="32"/>
          <w:szCs w:val="32"/>
        </w:rPr>
        <w:t>十一、预算绩效的情况说明</w:t>
      </w:r>
      <w:bookmarkEnd w:id="28"/>
      <w:bookmarkEnd w:id="29"/>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根据预算绩效管理要求，我</w:t>
      </w:r>
      <w:r>
        <w:rPr>
          <w:rFonts w:hint="eastAsia" w:ascii="仿宋_GB2312" w:hAnsi="仿宋_GB2312" w:eastAsia="仿宋_GB2312" w:cs="仿宋_GB2312"/>
          <w:bCs/>
          <w:color w:val="auto"/>
          <w:kern w:val="0"/>
          <w:sz w:val="32"/>
          <w:szCs w:val="32"/>
          <w:highlight w:val="none"/>
          <w:lang w:val="en-US" w:eastAsia="zh-CN" w:bidi="ar-SA"/>
        </w:rPr>
        <w:t>部门</w:t>
      </w:r>
      <w:r>
        <w:rPr>
          <w:rFonts w:hint="default" w:ascii="仿宋_GB2312" w:hAnsi="仿宋_GB2312" w:eastAsia="仿宋_GB2312" w:cs="仿宋_GB2312"/>
          <w:bCs/>
          <w:color w:val="auto"/>
          <w:kern w:val="0"/>
          <w:sz w:val="32"/>
          <w:szCs w:val="32"/>
          <w:highlight w:val="none"/>
          <w:lang w:val="en-US" w:eastAsia="zh-CN" w:bidi="ar-SA"/>
        </w:rPr>
        <w:t>2023年度预算绩效管理整体支出绩效自评表1个，全年预算总额</w:t>
      </w:r>
      <w:r>
        <w:rPr>
          <w:rFonts w:hint="eastAsia" w:ascii="仿宋_GB2312" w:hAnsi="仿宋_GB2312" w:eastAsia="仿宋_GB2312" w:cs="仿宋_GB2312"/>
          <w:bCs/>
          <w:color w:val="auto"/>
          <w:kern w:val="0"/>
          <w:sz w:val="32"/>
          <w:szCs w:val="32"/>
          <w:highlight w:val="none"/>
          <w:lang w:val="en-US" w:eastAsia="zh-CN" w:bidi="ar-SA"/>
        </w:rPr>
        <w:t>31661.68</w:t>
      </w:r>
      <w:r>
        <w:rPr>
          <w:rFonts w:hint="default" w:ascii="仿宋_GB2312" w:hAnsi="仿宋_GB2312" w:eastAsia="仿宋_GB2312" w:cs="仿宋_GB2312"/>
          <w:bCs/>
          <w:color w:val="auto"/>
          <w:kern w:val="0"/>
          <w:sz w:val="32"/>
          <w:szCs w:val="32"/>
          <w:highlight w:val="none"/>
          <w:lang w:val="en-US" w:eastAsia="zh-CN" w:bidi="ar-SA"/>
        </w:rPr>
        <w:t>万元，实际执行总额</w:t>
      </w:r>
      <w:r>
        <w:rPr>
          <w:rFonts w:hint="eastAsia" w:ascii="仿宋_GB2312" w:hAnsi="仿宋_GB2312" w:eastAsia="仿宋_GB2312" w:cs="仿宋_GB2312"/>
          <w:bCs/>
          <w:color w:val="auto"/>
          <w:kern w:val="0"/>
          <w:sz w:val="32"/>
          <w:szCs w:val="32"/>
          <w:highlight w:val="none"/>
          <w:lang w:val="en-US" w:eastAsia="zh-CN" w:bidi="ar-SA"/>
        </w:rPr>
        <w:t>31661.68</w:t>
      </w:r>
      <w:r>
        <w:rPr>
          <w:rFonts w:hint="default" w:ascii="仿宋_GB2312" w:hAnsi="仿宋_GB2312" w:eastAsia="仿宋_GB2312" w:cs="仿宋_GB2312"/>
          <w:bCs/>
          <w:color w:val="auto"/>
          <w:kern w:val="0"/>
          <w:sz w:val="32"/>
          <w:szCs w:val="32"/>
          <w:highlight w:val="none"/>
          <w:lang w:val="en-US" w:eastAsia="zh-CN" w:bidi="ar-SA"/>
        </w:rPr>
        <w:t>万元；预算绩效评价项目</w:t>
      </w:r>
      <w:r>
        <w:rPr>
          <w:rFonts w:hint="eastAsia" w:ascii="仿宋_GB2312" w:hAnsi="仿宋_GB2312" w:eastAsia="仿宋_GB2312" w:cs="仿宋_GB2312"/>
          <w:bCs/>
          <w:color w:val="auto"/>
          <w:kern w:val="0"/>
          <w:sz w:val="32"/>
          <w:szCs w:val="32"/>
          <w:highlight w:val="none"/>
          <w:lang w:val="en-US" w:eastAsia="zh-CN" w:bidi="ar-SA"/>
        </w:rPr>
        <w:t>5</w:t>
      </w:r>
      <w:r>
        <w:rPr>
          <w:rFonts w:hint="default" w:ascii="仿宋_GB2312" w:hAnsi="仿宋_GB2312" w:eastAsia="仿宋_GB2312" w:cs="仿宋_GB2312"/>
          <w:bCs/>
          <w:color w:val="auto"/>
          <w:kern w:val="0"/>
          <w:sz w:val="32"/>
          <w:szCs w:val="32"/>
          <w:highlight w:val="none"/>
          <w:lang w:val="en-US" w:eastAsia="zh-CN" w:bidi="ar-SA"/>
        </w:rPr>
        <w:t>个，全年预算数</w:t>
      </w:r>
      <w:r>
        <w:rPr>
          <w:rFonts w:hint="eastAsia" w:ascii="仿宋_GB2312" w:hAnsi="仿宋_GB2312" w:eastAsia="仿宋_GB2312" w:cs="仿宋_GB2312"/>
          <w:bCs/>
          <w:color w:val="auto"/>
          <w:kern w:val="0"/>
          <w:sz w:val="32"/>
          <w:szCs w:val="32"/>
          <w:highlight w:val="none"/>
          <w:lang w:val="en-US" w:eastAsia="zh-CN" w:bidi="ar-SA"/>
        </w:rPr>
        <w:t>3389.21</w:t>
      </w:r>
      <w:r>
        <w:rPr>
          <w:rFonts w:hint="default" w:ascii="仿宋_GB2312" w:hAnsi="仿宋_GB2312" w:eastAsia="仿宋_GB2312" w:cs="仿宋_GB2312"/>
          <w:bCs/>
          <w:color w:val="auto"/>
          <w:kern w:val="0"/>
          <w:sz w:val="32"/>
          <w:szCs w:val="32"/>
          <w:highlight w:val="none"/>
          <w:lang w:val="en-US" w:eastAsia="zh-CN" w:bidi="ar-SA"/>
        </w:rPr>
        <w:t>万元，全年执行数</w:t>
      </w:r>
      <w:r>
        <w:rPr>
          <w:rFonts w:hint="eastAsia" w:ascii="仿宋_GB2312" w:hAnsi="仿宋_GB2312" w:eastAsia="仿宋_GB2312" w:cs="仿宋_GB2312"/>
          <w:bCs/>
          <w:color w:val="auto"/>
          <w:kern w:val="0"/>
          <w:sz w:val="32"/>
          <w:szCs w:val="32"/>
          <w:highlight w:val="none"/>
          <w:lang w:val="en-US" w:eastAsia="zh-CN" w:bidi="ar-SA"/>
        </w:rPr>
        <w:t>332.7</w:t>
      </w:r>
      <w:r>
        <w:rPr>
          <w:rFonts w:hint="default" w:ascii="仿宋_GB2312" w:hAnsi="仿宋_GB2312" w:eastAsia="仿宋_GB2312" w:cs="仿宋_GB2312"/>
          <w:bCs/>
          <w:color w:val="auto"/>
          <w:kern w:val="0"/>
          <w:sz w:val="32"/>
          <w:szCs w:val="32"/>
          <w:highlight w:val="none"/>
          <w:lang w:val="en-US" w:eastAsia="zh-CN" w:bidi="ar-SA"/>
        </w:rPr>
        <w:t>万元。预算绩效管理取得的成效：一是强化了管理改善结构，加强了干部队伍建设；二是绩效评价工作进一步规范。发现的问题及原因：一是预算执行与年初预算编制存在较大偏差。由于财政部门与预算部门之间的职能和分工不同，财政部门掌握信息与预算单位存在不对称，财政部门难以准确掌握各预算单位的职责，对单位自编项目不能提出很好的建议，而是采用一刀切，按上年的预算数编制；二是预算绩效管理水平仍有欠缺，在202</w:t>
      </w:r>
      <w:r>
        <w:rPr>
          <w:rFonts w:hint="eastAsia" w:ascii="仿宋_GB2312" w:hAnsi="仿宋_GB2312" w:eastAsia="仿宋_GB2312" w:cs="仿宋_GB2312"/>
          <w:bCs/>
          <w:color w:val="auto"/>
          <w:kern w:val="0"/>
          <w:sz w:val="32"/>
          <w:szCs w:val="32"/>
          <w:highlight w:val="none"/>
          <w:lang w:val="en-US" w:eastAsia="zh-CN" w:bidi="ar-SA"/>
        </w:rPr>
        <w:t>3</w:t>
      </w:r>
      <w:r>
        <w:rPr>
          <w:rFonts w:hint="default" w:ascii="仿宋_GB2312" w:hAnsi="仿宋_GB2312" w:eastAsia="仿宋_GB2312" w:cs="仿宋_GB2312"/>
          <w:bCs/>
          <w:color w:val="auto"/>
          <w:kern w:val="0"/>
          <w:sz w:val="32"/>
          <w:szCs w:val="32"/>
          <w:highlight w:val="none"/>
          <w:lang w:val="en-US" w:eastAsia="zh-CN" w:bidi="ar-SA"/>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三是固定资产管理水平有待提高，固定资产台账未及时与账面资产金额对账。下一步改进措施：一是强化支出预算约束。进一步提高年初预算编制的科学性和准确性，完善预算执行动态 约束机制，加强财政预算资金管理，统筹协调推进项目执行，提高财政资金效益和效果；二是加强政府采购管理。严格履行政府采购程序，规范政府采购行为，加强对政府采购全流程活动的规范管理，推动政府采购相关制度贯彻落实；三是强化内部控制管理。严格按规定做好绩效目标申报、自评、公开等相关工作，提高财政资金使用绩效；加强实物资产管理，健全资产管理制度，规范资产清查和核算。具体项目自评情况附绩效自评表及自评报告。</w:t>
      </w:r>
    </w:p>
    <w:p>
      <w:pPr>
        <w:widowControl/>
        <w:spacing w:line="560" w:lineRule="exact"/>
        <w:ind w:firstLine="640"/>
        <w:jc w:val="left"/>
        <w:rPr>
          <w:rFonts w:eastAsia="仿宋_GB2312"/>
          <w:bCs/>
          <w:kern w:val="0"/>
          <w:sz w:val="32"/>
          <w:szCs w:val="32"/>
        </w:rPr>
      </w:pPr>
      <w:r>
        <w:rPr>
          <w:rFonts w:hint="eastAsia" w:ascii="黑体" w:hAnsi="黑体" w:eastAsia="黑体" w:cs="黑体"/>
          <w:bCs/>
          <w:kern w:val="0"/>
          <w:sz w:val="32"/>
          <w:szCs w:val="32"/>
        </w:rPr>
        <w:t>十二、其他需说明的事项</w:t>
      </w:r>
    </w:p>
    <w:p>
      <w:pPr>
        <w:widowControl/>
        <w:spacing w:line="560" w:lineRule="exact"/>
        <w:ind w:firstLine="640"/>
        <w:jc w:val="left"/>
        <w:rPr>
          <w:rFonts w:hint="default" w:ascii="仿宋_GB2312" w:hAnsi="仿宋_GB2312" w:eastAsia="仿宋_GB2312" w:cs="仿宋_GB2312"/>
          <w:bCs/>
          <w:color w:val="auto"/>
          <w:kern w:val="0"/>
          <w:sz w:val="32"/>
          <w:szCs w:val="32"/>
          <w:highlight w:val="none"/>
          <w:lang w:val="en-US" w:eastAsia="zh-CN" w:bidi="ar-SA"/>
        </w:rPr>
      </w:pPr>
      <w:r>
        <w:rPr>
          <w:rFonts w:hint="default" w:ascii="仿宋_GB2312" w:hAnsi="仿宋_GB2312" w:eastAsia="仿宋_GB2312" w:cs="仿宋_GB2312"/>
          <w:bCs/>
          <w:color w:val="auto"/>
          <w:kern w:val="0"/>
          <w:sz w:val="32"/>
          <w:szCs w:val="32"/>
          <w:highlight w:val="none"/>
          <w:lang w:val="en-US" w:eastAsia="zh-CN" w:bidi="ar-SA"/>
        </w:rPr>
        <w:t>本</w:t>
      </w:r>
      <w:r>
        <w:rPr>
          <w:rFonts w:hint="eastAsia" w:ascii="仿宋_GB2312" w:hAnsi="仿宋_GB2312" w:eastAsia="仿宋_GB2312" w:cs="仿宋_GB2312"/>
          <w:bCs/>
          <w:color w:val="auto"/>
          <w:kern w:val="0"/>
          <w:sz w:val="32"/>
          <w:szCs w:val="32"/>
          <w:highlight w:val="none"/>
          <w:lang w:val="en-US" w:eastAsia="zh-CN" w:bidi="ar-SA"/>
        </w:rPr>
        <w:t>部门</w:t>
      </w:r>
      <w:r>
        <w:rPr>
          <w:rFonts w:hint="default" w:ascii="仿宋_GB2312" w:hAnsi="仿宋_GB2312" w:eastAsia="仿宋_GB2312" w:cs="仿宋_GB2312"/>
          <w:bCs/>
          <w:color w:val="auto"/>
          <w:kern w:val="0"/>
          <w:sz w:val="32"/>
          <w:szCs w:val="32"/>
          <w:highlight w:val="none"/>
          <w:lang w:val="en-US" w:eastAsia="zh-CN" w:bidi="ar-SA"/>
        </w:rPr>
        <w:t>无其他需说明事项</w:t>
      </w:r>
    </w:p>
    <w:p>
      <w:pPr>
        <w:spacing w:line="560" w:lineRule="exact"/>
        <w:jc w:val="center"/>
        <w:outlineLvl w:val="0"/>
        <w:rPr>
          <w:rFonts w:eastAsia="方正仿宋_GBK"/>
          <w:sz w:val="31"/>
          <w:szCs w:val="31"/>
        </w:rPr>
      </w:pPr>
      <w:bookmarkStart w:id="30" w:name="_Toc3250"/>
      <w:bookmarkStart w:id="31" w:name="_Toc24143"/>
      <w:r>
        <w:rPr>
          <w:rFonts w:eastAsia="方正仿宋_GBK"/>
          <w:sz w:val="31"/>
          <w:szCs w:val="31"/>
        </w:rPr>
        <w:br w:type="page"/>
      </w:r>
      <w:r>
        <w:rPr>
          <w:rFonts w:hint="eastAsia" w:ascii="方正黑体_GBK" w:hAnsi="方正黑体_GBK" w:eastAsia="方正黑体_GBK" w:cs="方正黑体_GBK"/>
          <w:sz w:val="32"/>
          <w:szCs w:val="32"/>
        </w:rPr>
        <w:t>第三部分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一、</w:t>
      </w:r>
      <w:r>
        <w:rPr>
          <w:rFonts w:hint="eastAsia" w:ascii="仿宋_GB2312" w:hAnsi="Times New Roman" w:eastAsia="仿宋_GB2312" w:cs="Times New Roman"/>
          <w:b/>
          <w:bCs/>
          <w:sz w:val="32"/>
          <w:szCs w:val="32"/>
          <w:highlight w:val="none"/>
        </w:rPr>
        <w:t>财政拨款收入：</w:t>
      </w:r>
      <w:r>
        <w:rPr>
          <w:rFonts w:hint="eastAsia" w:ascii="仿宋_GB2312" w:hAnsi="Times New Roman" w:eastAsia="仿宋_GB2312" w:cs="Times New Roman"/>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二、</w:t>
      </w:r>
      <w:r>
        <w:rPr>
          <w:rFonts w:hint="eastAsia" w:ascii="仿宋_GB2312" w:hAnsi="Times New Roman" w:eastAsia="仿宋_GB2312" w:cs="Times New Roman"/>
          <w:b/>
          <w:bCs/>
          <w:sz w:val="32"/>
          <w:szCs w:val="32"/>
          <w:highlight w:val="none"/>
        </w:rPr>
        <w:t>上级补助收入：</w:t>
      </w:r>
      <w:r>
        <w:rPr>
          <w:rFonts w:hint="eastAsia" w:ascii="仿宋_GB2312" w:hAnsi="Times New Roman" w:eastAsia="仿宋_GB2312" w:cs="Times New Roman"/>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三、</w:t>
      </w:r>
      <w:r>
        <w:rPr>
          <w:rFonts w:hint="eastAsia" w:ascii="仿宋_GB2312" w:hAnsi="Times New Roman" w:eastAsia="仿宋_GB2312" w:cs="Times New Roman"/>
          <w:b/>
          <w:bCs/>
          <w:sz w:val="32"/>
          <w:szCs w:val="32"/>
          <w:highlight w:val="none"/>
        </w:rPr>
        <w:t>事业收入：</w:t>
      </w:r>
      <w:r>
        <w:rPr>
          <w:rFonts w:hint="eastAsia" w:ascii="仿宋_GB2312" w:hAnsi="Times New Roman" w:eastAsia="仿宋_GB2312" w:cs="Times New Roman"/>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四、</w:t>
      </w:r>
      <w:r>
        <w:rPr>
          <w:rFonts w:hint="eastAsia" w:ascii="仿宋_GB2312" w:hAnsi="Times New Roman" w:eastAsia="仿宋_GB2312" w:cs="Times New Roman"/>
          <w:b/>
          <w:bCs/>
          <w:sz w:val="32"/>
          <w:szCs w:val="32"/>
          <w:highlight w:val="none"/>
        </w:rPr>
        <w:t>经营收入：</w:t>
      </w:r>
      <w:r>
        <w:rPr>
          <w:rFonts w:hint="eastAsia" w:ascii="仿宋_GB2312" w:hAnsi="Times New Roman" w:eastAsia="仿宋_GB2312" w:cs="Times New Roman"/>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五、</w:t>
      </w:r>
      <w:r>
        <w:rPr>
          <w:rFonts w:hint="eastAsia" w:ascii="仿宋_GB2312" w:hAnsi="Times New Roman" w:eastAsia="仿宋_GB2312" w:cs="Times New Roman"/>
          <w:b/>
          <w:bCs/>
          <w:sz w:val="32"/>
          <w:szCs w:val="32"/>
          <w:highlight w:val="none"/>
        </w:rPr>
        <w:t>附属单位上缴收入：</w:t>
      </w:r>
      <w:r>
        <w:rPr>
          <w:rFonts w:hint="eastAsia" w:ascii="仿宋_GB2312" w:hAnsi="Times New Roman" w:eastAsia="仿宋_GB2312" w:cs="Times New Roman"/>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六、</w:t>
      </w:r>
      <w:r>
        <w:rPr>
          <w:rFonts w:hint="eastAsia" w:ascii="仿宋_GB2312" w:hAnsi="Times New Roman" w:eastAsia="仿宋_GB2312" w:cs="Times New Roman"/>
          <w:b/>
          <w:bCs/>
          <w:sz w:val="32"/>
          <w:szCs w:val="32"/>
          <w:highlight w:val="none"/>
        </w:rPr>
        <w:t>其他收入：</w:t>
      </w:r>
      <w:r>
        <w:rPr>
          <w:rFonts w:hint="eastAsia" w:ascii="仿宋_GB2312" w:hAnsi="Times New Roman" w:eastAsia="仿宋_GB2312" w:cs="Times New Roman"/>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七、</w:t>
      </w:r>
      <w:r>
        <w:rPr>
          <w:rFonts w:hint="eastAsia" w:ascii="仿宋_GB2312" w:hAnsi="Times New Roman" w:eastAsia="仿宋_GB2312" w:cs="Times New Roman"/>
          <w:b/>
          <w:bCs/>
          <w:sz w:val="32"/>
          <w:szCs w:val="32"/>
          <w:highlight w:val="none"/>
          <w:lang w:eastAsia="zh-CN"/>
        </w:rPr>
        <w:t>年初</w:t>
      </w:r>
      <w:r>
        <w:rPr>
          <w:rFonts w:hint="eastAsia" w:ascii="仿宋_GB2312" w:hAnsi="Times New Roman" w:eastAsia="仿宋_GB2312" w:cs="Times New Roman"/>
          <w:b/>
          <w:bCs/>
          <w:sz w:val="32"/>
          <w:szCs w:val="32"/>
          <w:highlight w:val="none"/>
        </w:rPr>
        <w:t>结转和结余：</w:t>
      </w:r>
      <w:r>
        <w:rPr>
          <w:rFonts w:hint="eastAsia" w:ascii="仿宋_GB2312" w:hAnsi="Times New Roman" w:eastAsia="仿宋_GB2312" w:cs="Times New Roman"/>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八、</w:t>
      </w:r>
      <w:r>
        <w:rPr>
          <w:rFonts w:hint="eastAsia" w:ascii="仿宋_GB2312" w:hAnsi="Times New Roman" w:eastAsia="仿宋_GB2312" w:cs="Times New Roman"/>
          <w:b/>
          <w:bCs/>
          <w:sz w:val="32"/>
          <w:szCs w:val="32"/>
          <w:highlight w:val="none"/>
        </w:rPr>
        <w:t>年末结转和结余：</w:t>
      </w:r>
      <w:r>
        <w:rPr>
          <w:rFonts w:hint="eastAsia" w:ascii="仿宋_GB2312" w:hAnsi="Times New Roman" w:eastAsia="仿宋_GB2312" w:cs="Times New Roman"/>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九、</w:t>
      </w:r>
      <w:r>
        <w:rPr>
          <w:rFonts w:hint="eastAsia" w:ascii="仿宋_GB2312" w:hAnsi="Times New Roman" w:eastAsia="仿宋_GB2312" w:cs="Times New Roman"/>
          <w:b/>
          <w:bCs/>
          <w:sz w:val="32"/>
          <w:szCs w:val="32"/>
          <w:highlight w:val="none"/>
        </w:rPr>
        <w:t>基本支出：</w:t>
      </w:r>
      <w:r>
        <w:rPr>
          <w:rFonts w:hint="eastAsia" w:ascii="仿宋_GB2312" w:hAnsi="Times New Roman" w:eastAsia="仿宋_GB2312" w:cs="Times New Roman"/>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十、</w:t>
      </w:r>
      <w:r>
        <w:rPr>
          <w:rFonts w:hint="eastAsia" w:ascii="仿宋_GB2312" w:hAnsi="Times New Roman" w:eastAsia="仿宋_GB2312" w:cs="Times New Roman"/>
          <w:b/>
          <w:bCs/>
          <w:sz w:val="32"/>
          <w:szCs w:val="32"/>
          <w:highlight w:val="none"/>
        </w:rPr>
        <w:t>项目支出：</w:t>
      </w:r>
      <w:r>
        <w:rPr>
          <w:rFonts w:hint="eastAsia" w:ascii="仿宋_GB2312" w:hAnsi="Times New Roman" w:eastAsia="仿宋_GB2312" w:cs="Times New Roman"/>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十一、</w:t>
      </w:r>
      <w:r>
        <w:rPr>
          <w:rFonts w:hint="eastAsia" w:ascii="仿宋_GB2312" w:hAnsi="Times New Roman" w:eastAsia="仿宋_GB2312" w:cs="Times New Roman"/>
          <w:b/>
          <w:bCs/>
          <w:sz w:val="32"/>
          <w:szCs w:val="32"/>
          <w:highlight w:val="none"/>
        </w:rPr>
        <w:t>经营支出：</w:t>
      </w:r>
      <w:r>
        <w:rPr>
          <w:rFonts w:hint="eastAsia" w:ascii="仿宋_GB2312" w:hAnsi="Times New Roman" w:eastAsia="仿宋_GB2312" w:cs="Times New Roman"/>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b/>
          <w:bCs/>
          <w:sz w:val="32"/>
          <w:szCs w:val="32"/>
          <w:highlight w:val="none"/>
          <w:lang w:val="en-US" w:eastAsia="zh-CN"/>
        </w:rPr>
        <w:t>十二、</w:t>
      </w:r>
      <w:r>
        <w:rPr>
          <w:rFonts w:hint="eastAsia" w:ascii="仿宋_GB2312" w:hAnsi="Times New Roman" w:eastAsia="仿宋_GB2312" w:cs="Times New Roman"/>
          <w:b/>
          <w:bCs/>
          <w:sz w:val="32"/>
          <w:szCs w:val="32"/>
          <w:highlight w:val="none"/>
        </w:rPr>
        <w:t>对附属单位补助支出：</w:t>
      </w:r>
      <w:r>
        <w:rPr>
          <w:rFonts w:hint="eastAsia" w:ascii="仿宋_GB2312" w:hAnsi="Times New Roman" w:eastAsia="仿宋_GB2312" w:cs="Times New Roman"/>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eastAsia="zh-CN"/>
        </w:rPr>
      </w:pPr>
      <w:r>
        <w:rPr>
          <w:rFonts w:hint="eastAsia" w:ascii="仿宋_GB2312" w:hAnsi="Times New Roman" w:eastAsia="仿宋_GB2312" w:cs="Times New Roman"/>
          <w:b/>
          <w:bCs/>
          <w:sz w:val="32"/>
          <w:szCs w:val="32"/>
          <w:highlight w:val="none"/>
          <w:lang w:val="en-US" w:eastAsia="zh-CN"/>
        </w:rPr>
        <w:t>十三、</w:t>
      </w:r>
      <w:r>
        <w:rPr>
          <w:rFonts w:hint="eastAsia" w:ascii="仿宋_GB2312" w:hAnsi="Times New Roman" w:eastAsia="仿宋_GB2312" w:cs="Times New Roman"/>
          <w:b/>
          <w:bCs/>
          <w:sz w:val="32"/>
          <w:szCs w:val="32"/>
          <w:highlight w:val="none"/>
        </w:rPr>
        <w:t>“三公”经费：</w:t>
      </w:r>
      <w:r>
        <w:rPr>
          <w:rFonts w:hint="eastAsia" w:ascii="仿宋_GB2312" w:hAnsi="Times New Roman" w:eastAsia="仿宋_GB2312" w:cs="Times New Roman"/>
          <w:sz w:val="32"/>
          <w:szCs w:val="32"/>
          <w:highlight w:val="none"/>
        </w:rPr>
        <w:t>指用财政拨款安排的因公出国（境）费、公务用车购置及运行费和公务接待费。其中，因公出国（境）费反映单位公务出国（境）的</w:t>
      </w:r>
      <w:r>
        <w:rPr>
          <w:rFonts w:hint="eastAsia" w:ascii="仿宋_GB2312" w:hAnsi="Times New Roman" w:eastAsia="仿宋_GB2312" w:cs="Times New Roman"/>
          <w:sz w:val="32"/>
          <w:szCs w:val="32"/>
          <w:highlight w:val="none"/>
          <w:lang w:eastAsia="zh-CN"/>
        </w:rPr>
        <w:t>国际旅费、国外城市间交通费、</w:t>
      </w:r>
      <w:r>
        <w:rPr>
          <w:rFonts w:hint="eastAsia" w:ascii="仿宋_GB2312" w:hAnsi="Times New Roman" w:eastAsia="仿宋_GB2312" w:cs="Times New Roman"/>
          <w:sz w:val="32"/>
          <w:szCs w:val="32"/>
          <w:highlight w:val="none"/>
        </w:rPr>
        <w:t>住宿费、伙食费、培训费、</w:t>
      </w:r>
      <w:r>
        <w:rPr>
          <w:rFonts w:hint="eastAsia" w:ascii="仿宋_GB2312" w:hAnsi="Times New Roman" w:eastAsia="仿宋_GB2312" w:cs="Times New Roman"/>
          <w:sz w:val="32"/>
          <w:szCs w:val="32"/>
          <w:highlight w:val="none"/>
          <w:lang w:eastAsia="zh-CN"/>
        </w:rPr>
        <w:t>公</w:t>
      </w:r>
      <w:r>
        <w:rPr>
          <w:rFonts w:hint="eastAsia" w:ascii="仿宋_GB2312" w:hAnsi="Times New Roman" w:eastAsia="仿宋_GB2312" w:cs="Times New Roman"/>
          <w:sz w:val="32"/>
          <w:szCs w:val="32"/>
          <w:highlight w:val="none"/>
        </w:rPr>
        <w:t>杂费等支出；公务用车购置费</w:t>
      </w:r>
      <w:r>
        <w:rPr>
          <w:rFonts w:hint="eastAsia" w:ascii="仿宋_GB2312" w:hAnsi="Times New Roman" w:eastAsia="仿宋_GB2312" w:cs="Times New Roman"/>
          <w:sz w:val="32"/>
          <w:szCs w:val="32"/>
          <w:highlight w:val="none"/>
          <w:lang w:eastAsia="zh-CN"/>
        </w:rPr>
        <w:t>反映公务用车购置支出（含车辆购置税、牌照费）；</w:t>
      </w:r>
      <w:r>
        <w:rPr>
          <w:rFonts w:hint="eastAsia" w:ascii="仿宋_GB2312" w:hAnsi="Times New Roman" w:eastAsia="仿宋_GB2312" w:cs="Times New Roman"/>
          <w:sz w:val="32"/>
          <w:szCs w:val="32"/>
          <w:highlight w:val="none"/>
        </w:rPr>
        <w:t>公务用车运行</w:t>
      </w:r>
      <w:r>
        <w:rPr>
          <w:rFonts w:hint="eastAsia" w:ascii="仿宋_GB2312" w:hAnsi="Times New Roman" w:eastAsia="仿宋_GB2312" w:cs="Times New Roman"/>
          <w:sz w:val="32"/>
          <w:szCs w:val="32"/>
          <w:highlight w:val="none"/>
          <w:lang w:eastAsia="zh-CN"/>
        </w:rPr>
        <w:t>维护</w:t>
      </w:r>
      <w:r>
        <w:rPr>
          <w:rFonts w:hint="eastAsia" w:ascii="仿宋_GB2312" w:hAnsi="Times New Roman" w:eastAsia="仿宋_GB2312" w:cs="Times New Roman"/>
          <w:sz w:val="32"/>
          <w:szCs w:val="32"/>
          <w:highlight w:val="none"/>
        </w:rPr>
        <w:t>费反映</w:t>
      </w:r>
      <w:r>
        <w:rPr>
          <w:rFonts w:hint="eastAsia" w:ascii="仿宋_GB2312" w:hAnsi="Times New Roman" w:eastAsia="仿宋_GB2312" w:cs="Times New Roman"/>
          <w:sz w:val="32"/>
          <w:szCs w:val="32"/>
          <w:highlight w:val="none"/>
          <w:lang w:eastAsia="zh-CN"/>
        </w:rPr>
        <w:t>单位按规定保留的公务用车燃料费、维修费、</w:t>
      </w:r>
      <w:r>
        <w:rPr>
          <w:rFonts w:hint="eastAsia" w:ascii="仿宋_GB2312" w:hAnsi="Times New Roman" w:eastAsia="仿宋_GB2312" w:cs="Times New Roman"/>
          <w:sz w:val="32"/>
          <w:szCs w:val="32"/>
          <w:highlight w:val="none"/>
        </w:rPr>
        <w:t>过路过桥费、保险费、安全奖励费用等支出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公务接待费反映单位按规定开支的各类公务接待（含外宾接待）</w:t>
      </w:r>
      <w:r>
        <w:rPr>
          <w:rFonts w:hint="eastAsia" w:ascii="仿宋_GB2312" w:hAnsi="Times New Roman" w:eastAsia="仿宋_GB2312" w:cs="Times New Roman"/>
          <w:sz w:val="32"/>
          <w:szCs w:val="32"/>
          <w:highlight w:val="none"/>
          <w:lang w:eastAsia="zh-CN"/>
        </w:rPr>
        <w:t>费用</w:t>
      </w:r>
      <w:r>
        <w:rPr>
          <w:rFonts w:hint="eastAsia" w:ascii="仿宋_GB2312" w:hAnsi="Times New Roman" w:eastAsia="仿宋_GB2312" w:cs="Times New Roman"/>
          <w:sz w:val="32"/>
          <w:szCs w:val="32"/>
          <w:highlight w:val="none"/>
        </w:rPr>
        <w:t>。</w:t>
      </w:r>
    </w:p>
    <w:p>
      <w:pPr>
        <w:spacing w:line="560" w:lineRule="exact"/>
        <w:ind w:firstLine="643" w:firstLineChars="200"/>
        <w:jc w:val="center"/>
        <w:outlineLvl w:val="0"/>
        <w:rPr>
          <w:rFonts w:hint="eastAsia" w:ascii="黑体" w:hAnsi="黑体" w:eastAsia="黑体" w:cs="黑体"/>
          <w:sz w:val="32"/>
          <w:szCs w:val="32"/>
        </w:rPr>
      </w:pPr>
      <w:r>
        <w:rPr>
          <w:rFonts w:hint="eastAsia" w:ascii="仿宋_GB2312" w:hAnsi="Times New Roman" w:eastAsia="仿宋_GB2312" w:cs="Times New Roman"/>
          <w:b/>
          <w:bCs/>
          <w:sz w:val="32"/>
          <w:szCs w:val="32"/>
          <w:highlight w:val="none"/>
          <w:lang w:val="en-US" w:eastAsia="zh-CN"/>
        </w:rPr>
        <w:t>十四、</w:t>
      </w:r>
      <w:r>
        <w:rPr>
          <w:rFonts w:hint="eastAsia" w:ascii="仿宋_GB2312" w:hAnsi="Times New Roman" w:eastAsia="仿宋_GB2312" w:cs="Times New Roman"/>
          <w:b/>
          <w:bCs/>
          <w:sz w:val="32"/>
          <w:szCs w:val="32"/>
          <w:highlight w:val="none"/>
        </w:rPr>
        <w:t>机关运行经费：</w:t>
      </w:r>
      <w:r>
        <w:rPr>
          <w:rFonts w:hint="eastAsia" w:ascii="仿宋_GB2312" w:hAnsi="Times New Roman" w:eastAsia="仿宋_GB2312" w:cs="Times New Roman"/>
          <w:sz w:val="32"/>
          <w:szCs w:val="32"/>
          <w:highlight w:val="none"/>
        </w:rPr>
        <w:t>行政单位和参照公务员法管理的事业单位财政拨款基本支出中的公用经费支出。</w:t>
      </w:r>
      <w:r>
        <w:rPr>
          <w:rFonts w:eastAsia="方正仿宋_GBK"/>
          <w:sz w:val="31"/>
          <w:szCs w:val="31"/>
        </w:rPr>
        <w:br w:type="page"/>
      </w:r>
      <w:r>
        <w:rPr>
          <w:rFonts w:hint="eastAsia" w:ascii="黑体" w:hAnsi="黑体" w:eastAsia="黑体" w:cs="黑体"/>
          <w:sz w:val="32"/>
          <w:szCs w:val="32"/>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2" w:name="_Toc6062"/>
      <w:bookmarkStart w:id="33" w:name="_Toc2183"/>
      <w:r>
        <w:rPr>
          <w:rFonts w:hint="eastAsia" w:ascii="仿宋_GB2312" w:hAnsi="仿宋_GB2312" w:eastAsia="仿宋_GB2312" w:cs="仿宋_GB2312"/>
          <w:bCs/>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4" w:name="_Toc24532"/>
      <w:bookmarkStart w:id="35" w:name="_Toc30364"/>
      <w:r>
        <w:rPr>
          <w:rFonts w:hint="eastAsia" w:ascii="仿宋_GB2312" w:hAnsi="仿宋_GB2312" w:eastAsia="仿宋_GB2312" w:cs="仿宋_GB2312"/>
          <w:bCs/>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6" w:name="_Toc32434"/>
      <w:bookmarkStart w:id="37" w:name="_Toc21304"/>
      <w:r>
        <w:rPr>
          <w:rFonts w:hint="eastAsia" w:ascii="仿宋_GB2312" w:hAnsi="仿宋_GB2312" w:eastAsia="仿宋_GB2312" w:cs="仿宋_GB2312"/>
          <w:bCs/>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38" w:name="_Toc14238"/>
      <w:bookmarkStart w:id="39" w:name="_Toc28786"/>
      <w:r>
        <w:rPr>
          <w:rFonts w:hint="eastAsia" w:ascii="仿宋_GB2312" w:hAnsi="仿宋_GB2312" w:eastAsia="仿宋_GB2312" w:cs="仿宋_GB2312"/>
          <w:bCs/>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0" w:name="_Toc10347"/>
      <w:bookmarkStart w:id="41" w:name="_Toc14869"/>
      <w:r>
        <w:rPr>
          <w:rFonts w:hint="eastAsia" w:ascii="仿宋_GB2312" w:hAnsi="仿宋_GB2312" w:eastAsia="仿宋_GB2312" w:cs="仿宋_GB2312"/>
          <w:bCs/>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2" w:name="_Toc5626"/>
      <w:bookmarkStart w:id="43" w:name="_Toc8884"/>
      <w:r>
        <w:rPr>
          <w:rFonts w:hint="eastAsia" w:ascii="仿宋_GB2312" w:hAnsi="仿宋_GB2312" w:eastAsia="仿宋_GB2312" w:cs="仿宋_GB2312"/>
          <w:bCs/>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t>七、</w:t>
      </w:r>
      <w:bookmarkStart w:id="44" w:name="_Toc29106"/>
      <w:bookmarkStart w:id="45" w:name="_Toc32663"/>
      <w:r>
        <w:rPr>
          <w:rFonts w:hint="eastAsia" w:ascii="仿宋_GB2312" w:hAnsi="仿宋_GB2312" w:eastAsia="仿宋_GB2312" w:cs="仿宋_GB2312"/>
          <w:bCs/>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6" w:name="_Toc7643"/>
      <w:bookmarkStart w:id="47" w:name="_Toc5453"/>
      <w:r>
        <w:rPr>
          <w:rFonts w:hint="eastAsia" w:ascii="仿宋_GB2312" w:hAnsi="仿宋_GB2312" w:eastAsia="仿宋_GB2312" w:cs="仿宋_GB2312"/>
          <w:bCs/>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eastAsia="方正仿宋_GBK"/>
          <w:bCs/>
          <w:kern w:val="0"/>
          <w:sz w:val="31"/>
          <w:szCs w:val="31"/>
        </w:rPr>
      </w:pPr>
      <w:r>
        <w:rPr>
          <w:rFonts w:hint="eastAsia" w:ascii="仿宋_GB2312" w:hAnsi="仿宋_GB2312" w:eastAsia="仿宋_GB2312" w:cs="仿宋_GB2312"/>
          <w:bCs/>
          <w:kern w:val="0"/>
          <w:sz w:val="32"/>
          <w:szCs w:val="32"/>
          <w:highlight w:val="none"/>
        </w:rPr>
        <w:t>九、《国有资本经营预算财政拨款收入支出决算表》</w:t>
      </w:r>
      <w:r>
        <w:rPr>
          <w:rFonts w:eastAsia="方正仿宋_GBK"/>
          <w:bCs/>
          <w:kern w:val="0"/>
          <w:sz w:val="31"/>
          <w:szCs w:val="31"/>
        </w:rPr>
        <w:t>（空表）</w:t>
      </w:r>
    </w:p>
    <w:p>
      <w:pPr>
        <w:pStyle w:val="2"/>
        <w:rPr>
          <w:rFonts w:ascii="Times New Roman" w:hAnsi="Times New Roman" w:cs="Times New Roman"/>
        </w:rPr>
      </w:pPr>
      <w:r>
        <w:rPr>
          <w:rFonts w:ascii="Times New Roman" w:hAnsi="Times New Roman" w:cs="Times New Roman"/>
        </w:rPr>
        <w:drawing>
          <wp:inline distT="0" distB="0" distL="114300" distR="114300">
            <wp:extent cx="5273675" cy="5595620"/>
            <wp:effectExtent l="0" t="0" r="317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cstate="print"/>
                    <a:stretch>
                      <a:fillRect/>
                    </a:stretch>
                  </pic:blipFill>
                  <pic:spPr>
                    <a:xfrm>
                      <a:off x="0" y="0"/>
                      <a:ext cx="5273675" cy="5595620"/>
                    </a:xfrm>
                    <a:prstGeom prst="rect">
                      <a:avLst/>
                    </a:prstGeom>
                    <a:noFill/>
                    <a:ln>
                      <a:noFill/>
                    </a:ln>
                  </pic:spPr>
                </pic:pic>
              </a:graphicData>
            </a:graphic>
          </wp:inline>
        </w:drawing>
      </w:r>
    </w:p>
    <w:p>
      <w:pPr>
        <w:ind w:firstLine="640" w:firstLineChars="200"/>
        <w:rPr>
          <w:rFonts w:eastAsia="仿宋_GB2312"/>
          <w:sz w:val="32"/>
          <w:szCs w:val="32"/>
        </w:rPr>
      </w:pPr>
    </w:p>
    <w:p>
      <w:pPr>
        <w:ind w:firstLine="640" w:firstLineChars="200"/>
        <w:outlineLvl w:val="1"/>
        <w:rPr>
          <w:rFonts w:eastAsia="黑体"/>
          <w:bCs/>
          <w:kern w:val="0"/>
          <w:sz w:val="32"/>
          <w:szCs w:val="32"/>
        </w:rPr>
      </w:pPr>
    </w:p>
    <w:p>
      <w:pPr>
        <w:pStyle w:val="2"/>
        <w:rPr>
          <w:rFonts w:ascii="Times New Roman" w:hAnsi="Times New Roman" w:eastAsia="黑体" w:cs="Times New Roman"/>
          <w:bCs/>
          <w:sz w:val="32"/>
          <w:szCs w:val="32"/>
        </w:rPr>
      </w:pPr>
    </w:p>
    <w:p>
      <w:pPr>
        <w:rPr>
          <w:rFonts w:eastAsia="黑体"/>
          <w:bCs/>
          <w:kern w:val="0"/>
          <w:sz w:val="32"/>
          <w:szCs w:val="32"/>
        </w:rPr>
      </w:pPr>
    </w:p>
    <w:p>
      <w:pPr>
        <w:pStyle w:val="2"/>
        <w:rPr>
          <w:rFonts w:ascii="Times New Roman" w:hAnsi="Times New Roman" w:eastAsia="黑体" w:cs="Times New Roman"/>
          <w:bCs/>
          <w:sz w:val="32"/>
          <w:szCs w:val="32"/>
        </w:rPr>
      </w:pPr>
    </w:p>
    <w:p>
      <w:pPr>
        <w:rPr>
          <w:rFonts w:eastAsia="黑体"/>
          <w:bCs/>
          <w:kern w:val="0"/>
          <w:sz w:val="32"/>
          <w:szCs w:val="32"/>
        </w:rPr>
      </w:pPr>
    </w:p>
    <w:p>
      <w:pPr>
        <w:pStyle w:val="2"/>
        <w:rPr>
          <w:rFonts w:ascii="Times New Roman" w:hAnsi="Times New Roman" w:cs="Times New Roman"/>
        </w:rPr>
      </w:pPr>
      <w:r>
        <w:rPr>
          <w:rFonts w:ascii="Times New Roman" w:hAnsi="Times New Roman" w:cs="Times New Roman"/>
        </w:rPr>
        <w:drawing>
          <wp:inline distT="0" distB="0" distL="114300" distR="114300">
            <wp:extent cx="5266690" cy="4915535"/>
            <wp:effectExtent l="0" t="0" r="10160" b="184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cstate="print"/>
                    <a:stretch>
                      <a:fillRect/>
                    </a:stretch>
                  </pic:blipFill>
                  <pic:spPr>
                    <a:xfrm>
                      <a:off x="0" y="0"/>
                      <a:ext cx="5266690" cy="4915535"/>
                    </a:xfrm>
                    <a:prstGeom prst="rect">
                      <a:avLst/>
                    </a:prstGeom>
                    <a:noFill/>
                    <a:ln>
                      <a:noFill/>
                    </a:ln>
                  </pic:spPr>
                </pic:pic>
              </a:graphicData>
            </a:graphic>
          </wp:inline>
        </w:drawing>
      </w: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r>
        <w:drawing>
          <wp:inline distT="0" distB="0" distL="114300" distR="114300">
            <wp:extent cx="5268595" cy="5336540"/>
            <wp:effectExtent l="0" t="0" r="8255" b="165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cstate="print"/>
                    <a:stretch>
                      <a:fillRect/>
                    </a:stretch>
                  </pic:blipFill>
                  <pic:spPr>
                    <a:xfrm>
                      <a:off x="0" y="0"/>
                      <a:ext cx="5268595" cy="5336540"/>
                    </a:xfrm>
                    <a:prstGeom prst="rect">
                      <a:avLst/>
                    </a:prstGeom>
                    <a:noFill/>
                    <a:ln>
                      <a:noFill/>
                    </a:ln>
                  </pic:spPr>
                </pic:pic>
              </a:graphicData>
            </a:graphic>
          </wp:inline>
        </w:drawing>
      </w:r>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
      <w:pPr>
        <w:pStyle w:val="2"/>
        <w:rPr>
          <w:rFonts w:ascii="Times New Roman" w:hAnsi="Times New Roman" w:cs="Times New Roman"/>
        </w:rPr>
      </w:pPr>
      <w:r>
        <w:rPr>
          <w:rFonts w:ascii="Times New Roman" w:hAnsi="Times New Roman" w:cs="Times New Roman"/>
        </w:rPr>
        <w:drawing>
          <wp:inline distT="0" distB="0" distL="114300" distR="114300">
            <wp:extent cx="5270500" cy="4071620"/>
            <wp:effectExtent l="0" t="0" r="6350"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cstate="print"/>
                    <a:stretch>
                      <a:fillRect/>
                    </a:stretch>
                  </pic:blipFill>
                  <pic:spPr>
                    <a:xfrm>
                      <a:off x="0" y="0"/>
                      <a:ext cx="5270500" cy="4071620"/>
                    </a:xfrm>
                    <a:prstGeom prst="rect">
                      <a:avLst/>
                    </a:prstGeom>
                    <a:noFill/>
                    <a:ln>
                      <a:noFill/>
                    </a:ln>
                  </pic:spPr>
                </pic:pic>
              </a:graphicData>
            </a:graphic>
          </wp:inline>
        </w:drawing>
      </w:r>
    </w:p>
    <w:p>
      <w:r>
        <w:drawing>
          <wp:inline distT="0" distB="0" distL="114300" distR="114300">
            <wp:extent cx="5273675" cy="6077585"/>
            <wp:effectExtent l="0" t="0" r="3175" b="184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cstate="print"/>
                    <a:stretch>
                      <a:fillRect/>
                    </a:stretch>
                  </pic:blipFill>
                  <pic:spPr>
                    <a:xfrm>
                      <a:off x="0" y="0"/>
                      <a:ext cx="5273675" cy="6077585"/>
                    </a:xfrm>
                    <a:prstGeom prst="rect">
                      <a:avLst/>
                    </a:prstGeom>
                    <a:noFill/>
                    <a:ln>
                      <a:noFill/>
                    </a:ln>
                  </pic:spPr>
                </pic:pic>
              </a:graphicData>
            </a:graphic>
          </wp:inline>
        </w:drawing>
      </w:r>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r>
        <w:drawing>
          <wp:inline distT="0" distB="0" distL="0" distR="0">
            <wp:extent cx="5688330" cy="53759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688330" cy="5376070"/>
                    </a:xfrm>
                    <a:prstGeom prst="rect">
                      <a:avLst/>
                    </a:prstGeom>
                    <a:noFill/>
                    <a:ln>
                      <a:noFill/>
                    </a:ln>
                  </pic:spPr>
                </pic:pic>
              </a:graphicData>
            </a:graphic>
          </wp:inline>
        </w:drawing>
      </w: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
      <w:pPr>
        <w:pStyle w:val="2"/>
        <w:rPr>
          <w:rFonts w:ascii="Times New Roman" w:hAnsi="Times New Roman" w:cs="Times New Roman"/>
        </w:rPr>
      </w:pPr>
      <w:r>
        <w:rPr>
          <w:rFonts w:ascii="Times New Roman" w:hAnsi="Times New Roman" w:cs="Times New Roman"/>
        </w:rPr>
        <w:drawing>
          <wp:inline distT="0" distB="0" distL="114300" distR="114300">
            <wp:extent cx="5262880" cy="1686560"/>
            <wp:effectExtent l="0" t="0" r="13970" b="889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cstate="print"/>
                    <a:stretch>
                      <a:fillRect/>
                    </a:stretch>
                  </pic:blipFill>
                  <pic:spPr>
                    <a:xfrm>
                      <a:off x="0" y="0"/>
                      <a:ext cx="5262880" cy="1686560"/>
                    </a:xfrm>
                    <a:prstGeom prst="rect">
                      <a:avLst/>
                    </a:prstGeom>
                    <a:noFill/>
                    <a:ln>
                      <a:noFill/>
                    </a:ln>
                  </pic:spPr>
                </pic:pic>
              </a:graphicData>
            </a:graphic>
          </wp:inline>
        </w:drawing>
      </w: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r>
        <w:drawing>
          <wp:inline distT="0" distB="0" distL="114300" distR="114300">
            <wp:extent cx="5267960" cy="1892935"/>
            <wp:effectExtent l="0" t="0" r="8890" b="1206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cstate="print"/>
                    <a:stretch>
                      <a:fillRect/>
                    </a:stretch>
                  </pic:blipFill>
                  <pic:spPr>
                    <a:xfrm>
                      <a:off x="0" y="0"/>
                      <a:ext cx="5267960" cy="1892935"/>
                    </a:xfrm>
                    <a:prstGeom prst="rect">
                      <a:avLst/>
                    </a:prstGeom>
                    <a:noFill/>
                    <a:ln>
                      <a:noFill/>
                    </a:ln>
                  </pic:spPr>
                </pic:pic>
              </a:graphicData>
            </a:graphic>
          </wp:inline>
        </w:drawing>
      </w:r>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p>
    <w:p/>
    <w:p>
      <w:pPr>
        <w:pStyle w:val="2"/>
        <w:rPr>
          <w:rFonts w:ascii="Times New Roman" w:hAnsi="Times New Roman" w:cs="Times New Roman"/>
        </w:rPr>
      </w:pPr>
      <w:r>
        <w:rPr>
          <w:rFonts w:ascii="Times New Roman" w:hAnsi="Times New Roman" w:cs="Times New Roman"/>
        </w:rPr>
        <w:drawing>
          <wp:inline distT="0" distB="0" distL="114300" distR="114300">
            <wp:extent cx="5269865" cy="1998345"/>
            <wp:effectExtent l="0" t="0" r="6985" b="190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cstate="print"/>
                    <a:stretch>
                      <a:fillRect/>
                    </a:stretch>
                  </pic:blipFill>
                  <pic:spPr>
                    <a:xfrm>
                      <a:off x="0" y="0"/>
                      <a:ext cx="5269865" cy="1998345"/>
                    </a:xfrm>
                    <a:prstGeom prst="rect">
                      <a:avLst/>
                    </a:prstGeom>
                    <a:noFill/>
                    <a:ln>
                      <a:noFill/>
                    </a:ln>
                  </pic:spPr>
                </pic:pic>
              </a:graphicData>
            </a:graphic>
          </wp:inline>
        </w:drawing>
      </w:r>
    </w:p>
    <w:sectPr>
      <w:footerReference r:id="rId3" w:type="default"/>
      <w:pgSz w:w="11906" w:h="16838"/>
      <w:pgMar w:top="1928"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AyOGZmZWJiZjkzMTc5MjUxM2FlYjUzNmFjOTJhZmYifQ=="/>
    <w:docVar w:name="KSO_WPS_MARK_KEY" w:val="41ee2a61-2d54-4f93-83be-afdb9a40d732"/>
  </w:docVars>
  <w:rsids>
    <w:rsidRoot w:val="009C722C"/>
    <w:rsid w:val="000D1CBB"/>
    <w:rsid w:val="00193EBD"/>
    <w:rsid w:val="00213C59"/>
    <w:rsid w:val="00313691"/>
    <w:rsid w:val="003210CE"/>
    <w:rsid w:val="0037359F"/>
    <w:rsid w:val="003A3760"/>
    <w:rsid w:val="00410B79"/>
    <w:rsid w:val="00441A0D"/>
    <w:rsid w:val="00643F9D"/>
    <w:rsid w:val="0076798A"/>
    <w:rsid w:val="009C722C"/>
    <w:rsid w:val="00B70D59"/>
    <w:rsid w:val="00BB5379"/>
    <w:rsid w:val="00C40360"/>
    <w:rsid w:val="00C70252"/>
    <w:rsid w:val="00CA4829"/>
    <w:rsid w:val="00D279D0"/>
    <w:rsid w:val="00E44BA8"/>
    <w:rsid w:val="00F4273A"/>
    <w:rsid w:val="00F52A8D"/>
    <w:rsid w:val="00F53024"/>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34DEA"/>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603DF7"/>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75298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65B8D"/>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1304FA"/>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0E66B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DB728C"/>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C05CF5"/>
    <w:rsid w:val="6BC2255D"/>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1D0B75"/>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A479AD"/>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0"/>
    <w:rPr>
      <w:b/>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批注框文本 字符"/>
    <w:basedOn w:val="12"/>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1403</Words>
  <Characters>8000</Characters>
  <Lines>66</Lines>
  <Paragraphs>18</Paragraphs>
  <TotalTime>9</TotalTime>
  <ScaleCrop>false</ScaleCrop>
  <LinksUpToDate>false</LinksUpToDate>
  <CharactersWithSpaces>9385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罗丽华</cp:lastModifiedBy>
  <dcterms:modified xsi:type="dcterms:W3CDTF">2024-11-19T03:33:01Z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