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ind w:firstLine="1044" w:firstLineChars="200"/>
        <w:jc w:val="center"/>
        <w:rPr>
          <w:rFonts w:ascii="仿宋" w:hAnsi="仿宋" w:eastAsia="仿宋" w:cs="仿宋"/>
          <w:b/>
          <w:kern w:val="0"/>
          <w:sz w:val="52"/>
          <w:szCs w:val="52"/>
        </w:rPr>
      </w:pPr>
    </w:p>
    <w:p>
      <w:pPr>
        <w:spacing w:line="540" w:lineRule="exact"/>
        <w:ind w:firstLine="1044" w:firstLineChars="200"/>
        <w:jc w:val="center"/>
        <w:rPr>
          <w:rFonts w:ascii="仿宋" w:hAnsi="仿宋" w:eastAsia="仿宋" w:cs="仿宋"/>
          <w:b/>
          <w:kern w:val="0"/>
          <w:sz w:val="52"/>
          <w:szCs w:val="52"/>
        </w:rPr>
      </w:pPr>
    </w:p>
    <w:p>
      <w:pPr>
        <w:spacing w:line="540" w:lineRule="exact"/>
        <w:ind w:firstLine="1044" w:firstLineChars="200"/>
        <w:jc w:val="center"/>
        <w:rPr>
          <w:rFonts w:ascii="仿宋" w:hAnsi="仿宋" w:eastAsia="仿宋" w:cs="仿宋"/>
          <w:b/>
          <w:kern w:val="0"/>
          <w:sz w:val="52"/>
          <w:szCs w:val="52"/>
        </w:rPr>
      </w:pPr>
    </w:p>
    <w:p>
      <w:pPr>
        <w:spacing w:line="540" w:lineRule="exact"/>
        <w:ind w:firstLine="1044" w:firstLineChars="200"/>
        <w:rPr>
          <w:rFonts w:ascii="仿宋" w:hAnsi="仿宋" w:eastAsia="仿宋" w:cs="仿宋"/>
          <w:b/>
          <w:kern w:val="0"/>
          <w:sz w:val="52"/>
          <w:szCs w:val="52"/>
        </w:rPr>
      </w:pPr>
    </w:p>
    <w:p>
      <w:pPr>
        <w:spacing w:line="540" w:lineRule="exact"/>
        <w:ind w:firstLine="1044" w:firstLineChars="200"/>
        <w:rPr>
          <w:rFonts w:ascii="仿宋" w:hAnsi="仿宋" w:eastAsia="仿宋" w:cs="仿宋"/>
          <w:b/>
          <w:kern w:val="0"/>
          <w:sz w:val="52"/>
          <w:szCs w:val="52"/>
        </w:rPr>
      </w:pPr>
    </w:p>
    <w:p>
      <w:pPr>
        <w:spacing w:line="540" w:lineRule="exact"/>
        <w:ind w:firstLine="1044" w:firstLineChars="200"/>
        <w:jc w:val="center"/>
        <w:rPr>
          <w:rFonts w:ascii="仿宋" w:hAnsi="仿宋" w:eastAsia="仿宋" w:cs="仿宋"/>
          <w:b/>
          <w:kern w:val="0"/>
          <w:sz w:val="52"/>
          <w:szCs w:val="52"/>
        </w:rPr>
      </w:pPr>
    </w:p>
    <w:p>
      <w:pPr>
        <w:spacing w:line="540" w:lineRule="exact"/>
        <w:ind w:firstLine="964" w:firstLineChars="200"/>
        <w:jc w:val="center"/>
        <w:rPr>
          <w:rFonts w:ascii="黑体" w:hAnsi="黑体" w:eastAsia="黑体" w:cs="黑体"/>
          <w:b/>
          <w:kern w:val="0"/>
          <w:sz w:val="48"/>
          <w:szCs w:val="48"/>
        </w:rPr>
      </w:pPr>
      <w:r>
        <w:rPr>
          <w:rFonts w:hint="eastAsia" w:ascii="黑体" w:hAnsi="黑体" w:eastAsia="黑体" w:cs="黑体"/>
          <w:b/>
          <w:kern w:val="0"/>
          <w:sz w:val="48"/>
          <w:szCs w:val="48"/>
        </w:rPr>
        <w:t>库尔勒市部门单位整体支出绩效</w:t>
      </w:r>
    </w:p>
    <w:p>
      <w:pPr>
        <w:spacing w:line="540" w:lineRule="exact"/>
        <w:ind w:firstLine="964" w:firstLineChars="200"/>
        <w:jc w:val="center"/>
        <w:rPr>
          <w:rFonts w:ascii="黑体" w:hAnsi="黑体" w:eastAsia="黑体" w:cs="黑体"/>
          <w:b/>
          <w:kern w:val="0"/>
          <w:sz w:val="48"/>
          <w:szCs w:val="48"/>
        </w:rPr>
      </w:pPr>
      <w:r>
        <w:rPr>
          <w:rFonts w:hint="eastAsia" w:ascii="黑体" w:hAnsi="黑体" w:eastAsia="黑体" w:cs="黑体"/>
          <w:b/>
          <w:kern w:val="0"/>
          <w:sz w:val="48"/>
          <w:szCs w:val="48"/>
        </w:rPr>
        <w:t>自评报告</w:t>
      </w:r>
    </w:p>
    <w:p>
      <w:pPr>
        <w:spacing w:line="540" w:lineRule="exact"/>
        <w:ind w:firstLine="1044" w:firstLineChars="200"/>
        <w:jc w:val="center"/>
        <w:rPr>
          <w:rFonts w:ascii="仿宋" w:hAnsi="仿宋" w:eastAsia="仿宋" w:cs="仿宋"/>
          <w:b/>
          <w:kern w:val="0"/>
          <w:sz w:val="52"/>
          <w:szCs w:val="52"/>
        </w:rPr>
      </w:pPr>
    </w:p>
    <w:p>
      <w:pPr>
        <w:spacing w:line="540" w:lineRule="exact"/>
        <w:ind w:firstLine="720" w:firstLineChars="200"/>
        <w:jc w:val="center"/>
        <w:rPr>
          <w:rFonts w:ascii="黑体" w:hAnsi="黑体" w:eastAsia="黑体" w:cs="黑体"/>
          <w:kern w:val="0"/>
          <w:sz w:val="36"/>
          <w:szCs w:val="36"/>
        </w:rPr>
      </w:pPr>
      <w:r>
        <w:rPr>
          <w:rFonts w:hint="eastAsia" w:ascii="黑体" w:hAnsi="黑体" w:eastAsia="黑体" w:cs="黑体"/>
          <w:kern w:val="0"/>
          <w:sz w:val="36"/>
          <w:szCs w:val="36"/>
        </w:rPr>
        <w:t>（2023年度）</w:t>
      </w:r>
    </w:p>
    <w:p>
      <w:pPr>
        <w:spacing w:line="540" w:lineRule="exact"/>
        <w:ind w:firstLine="600" w:firstLineChars="200"/>
        <w:jc w:val="center"/>
        <w:rPr>
          <w:rFonts w:ascii="仿宋" w:hAnsi="仿宋" w:eastAsia="仿宋" w:cs="仿宋"/>
          <w:kern w:val="0"/>
          <w:sz w:val="30"/>
          <w:szCs w:val="30"/>
        </w:rPr>
      </w:pPr>
    </w:p>
    <w:p>
      <w:pPr>
        <w:spacing w:line="540" w:lineRule="exact"/>
        <w:ind w:firstLine="600" w:firstLineChars="200"/>
        <w:jc w:val="center"/>
        <w:rPr>
          <w:rFonts w:ascii="仿宋" w:hAnsi="仿宋" w:eastAsia="仿宋" w:cs="仿宋"/>
          <w:kern w:val="0"/>
          <w:sz w:val="30"/>
          <w:szCs w:val="30"/>
        </w:rPr>
      </w:pPr>
    </w:p>
    <w:p>
      <w:pPr>
        <w:spacing w:line="540" w:lineRule="exact"/>
        <w:ind w:firstLine="600" w:firstLineChars="200"/>
        <w:jc w:val="center"/>
        <w:rPr>
          <w:rFonts w:ascii="仿宋" w:hAnsi="仿宋" w:eastAsia="仿宋" w:cs="仿宋"/>
          <w:kern w:val="0"/>
          <w:sz w:val="30"/>
          <w:szCs w:val="30"/>
        </w:rPr>
      </w:pPr>
    </w:p>
    <w:p>
      <w:pPr>
        <w:spacing w:line="540" w:lineRule="exact"/>
        <w:ind w:firstLine="600" w:firstLineChars="200"/>
        <w:jc w:val="center"/>
        <w:rPr>
          <w:rFonts w:ascii="仿宋" w:hAnsi="仿宋" w:eastAsia="仿宋" w:cs="仿宋"/>
          <w:kern w:val="0"/>
          <w:sz w:val="30"/>
          <w:szCs w:val="30"/>
        </w:rPr>
      </w:pPr>
    </w:p>
    <w:p>
      <w:pPr>
        <w:spacing w:line="540" w:lineRule="exact"/>
        <w:ind w:firstLine="600" w:firstLineChars="200"/>
        <w:jc w:val="center"/>
        <w:rPr>
          <w:rFonts w:ascii="仿宋" w:hAnsi="仿宋" w:eastAsia="仿宋" w:cs="仿宋"/>
          <w:kern w:val="0"/>
          <w:sz w:val="30"/>
          <w:szCs w:val="30"/>
        </w:rPr>
      </w:pPr>
    </w:p>
    <w:p>
      <w:pPr>
        <w:spacing w:line="540" w:lineRule="exact"/>
        <w:ind w:firstLine="600" w:firstLineChars="200"/>
        <w:rPr>
          <w:rFonts w:ascii="仿宋" w:hAnsi="仿宋" w:eastAsia="仿宋" w:cs="仿宋"/>
          <w:kern w:val="0"/>
          <w:sz w:val="30"/>
          <w:szCs w:val="30"/>
        </w:rPr>
      </w:pPr>
    </w:p>
    <w:p>
      <w:pPr>
        <w:spacing w:line="700" w:lineRule="exact"/>
        <w:ind w:firstLine="720" w:firstLineChars="200"/>
        <w:jc w:val="left"/>
        <w:rPr>
          <w:rFonts w:ascii="仿宋" w:hAnsi="仿宋" w:eastAsia="仿宋" w:cs="仿宋"/>
          <w:kern w:val="0"/>
          <w:sz w:val="36"/>
          <w:szCs w:val="36"/>
        </w:rPr>
      </w:pPr>
      <w:r>
        <w:rPr>
          <w:rFonts w:hint="eastAsia" w:ascii="仿宋" w:hAnsi="仿宋" w:eastAsia="仿宋" w:cs="仿宋"/>
          <w:kern w:val="0"/>
          <w:sz w:val="36"/>
          <w:szCs w:val="36"/>
        </w:rPr>
        <w:t xml:space="preserve">  </w:t>
      </w:r>
    </w:p>
    <w:p>
      <w:pPr>
        <w:spacing w:line="700" w:lineRule="exact"/>
        <w:ind w:firstLine="720" w:firstLineChars="200"/>
        <w:jc w:val="left"/>
        <w:rPr>
          <w:rFonts w:ascii="仿宋" w:hAnsi="仿宋" w:eastAsia="仿宋" w:cs="仿宋"/>
          <w:kern w:val="0"/>
          <w:sz w:val="36"/>
          <w:szCs w:val="36"/>
        </w:rPr>
      </w:pPr>
      <w:r>
        <w:rPr>
          <w:rFonts w:hint="eastAsia" w:ascii="仿宋" w:hAnsi="仿宋" w:eastAsia="仿宋" w:cs="仿宋"/>
          <w:kern w:val="0"/>
          <w:sz w:val="36"/>
          <w:szCs w:val="36"/>
        </w:rPr>
        <w:t>部门单位名称（公章）：</w:t>
      </w:r>
    </w:p>
    <w:p>
      <w:pPr>
        <w:spacing w:line="700" w:lineRule="exact"/>
        <w:ind w:firstLine="720" w:firstLineChars="200"/>
        <w:jc w:val="left"/>
        <w:rPr>
          <w:rFonts w:ascii="仿宋" w:hAnsi="仿宋" w:eastAsia="仿宋" w:cs="仿宋"/>
          <w:kern w:val="0"/>
          <w:sz w:val="36"/>
          <w:szCs w:val="36"/>
        </w:rPr>
      </w:pPr>
      <w:r>
        <w:rPr>
          <w:rFonts w:hint="eastAsia" w:ascii="仿宋" w:hAnsi="仿宋" w:eastAsia="仿宋" w:cs="仿宋"/>
          <w:kern w:val="0"/>
          <w:sz w:val="36"/>
          <w:szCs w:val="36"/>
        </w:rPr>
        <w:t>填报时间：2024年4月28日</w:t>
      </w:r>
    </w:p>
    <w:p>
      <w:pPr>
        <w:ind w:firstLine="720" w:firstLineChars="200"/>
        <w:rPr>
          <w:rFonts w:hAnsi="宋体" w:eastAsia="仿宋_GB2312" w:cs="宋体"/>
          <w:kern w:val="0"/>
          <w:sz w:val="36"/>
          <w:szCs w:val="36"/>
        </w:rPr>
      </w:pPr>
      <w:r>
        <w:rPr>
          <w:rFonts w:hAnsi="宋体" w:eastAsia="仿宋_GB2312" w:cs="宋体"/>
          <w:kern w:val="0"/>
          <w:sz w:val="36"/>
          <w:szCs w:val="36"/>
        </w:rPr>
        <w:br w:type="page"/>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一、基本概况</w:t>
      </w:r>
    </w:p>
    <w:p>
      <w:pPr>
        <w:spacing w:line="600" w:lineRule="exact"/>
        <w:ind w:firstLine="624" w:firstLineChars="200"/>
        <w:rPr>
          <w:rStyle w:val="8"/>
          <w:rFonts w:ascii="黑体" w:hAnsi="黑体" w:eastAsia="黑体" w:cs="黑体"/>
          <w:b w:val="0"/>
          <w:spacing w:val="-4"/>
          <w:sz w:val="32"/>
          <w:szCs w:val="32"/>
        </w:rPr>
      </w:pPr>
      <w:r>
        <w:rPr>
          <w:rStyle w:val="8"/>
          <w:rFonts w:hint="eastAsia" w:ascii="黑体" w:hAnsi="黑体" w:eastAsia="黑体" w:cs="黑体"/>
          <w:b w:val="0"/>
          <w:spacing w:val="-4"/>
          <w:sz w:val="32"/>
          <w:szCs w:val="32"/>
        </w:rPr>
        <w:t>(一)部门单位基本情况</w:t>
      </w:r>
    </w:p>
    <w:p>
      <w:pPr>
        <w:ind w:firstLine="640" w:firstLineChars="200"/>
        <w:rPr>
          <w:rFonts w:ascii="黑体" w:hAnsi="黑体" w:eastAsia="黑体" w:cs="黑体"/>
          <w:bCs/>
          <w:sz w:val="32"/>
          <w:szCs w:val="32"/>
        </w:rPr>
      </w:pPr>
      <w:r>
        <w:rPr>
          <w:rFonts w:hint="eastAsia" w:ascii="黑体" w:hAnsi="黑体" w:eastAsia="黑体" w:cs="黑体"/>
          <w:bCs/>
          <w:sz w:val="32"/>
          <w:szCs w:val="32"/>
        </w:rPr>
        <w:t>1.部门职能</w:t>
      </w:r>
    </w:p>
    <w:p>
      <w:pPr>
        <w:ind w:firstLine="640" w:firstLineChars="200"/>
        <w:rPr>
          <w:rFonts w:ascii="仿宋" w:hAnsi="仿宋" w:eastAsia="仿宋" w:cs="仿宋"/>
          <w:sz w:val="32"/>
          <w:szCs w:val="32"/>
        </w:rPr>
      </w:pPr>
      <w:r>
        <w:rPr>
          <w:rFonts w:hint="eastAsia" w:ascii="仿宋" w:hAnsi="仿宋" w:eastAsia="仿宋" w:cs="仿宋"/>
          <w:sz w:val="32"/>
          <w:szCs w:val="32"/>
        </w:rPr>
        <w:t>（一）履行全民所有土地、矿产、森林、草原、水等自然资源资产所有者职责和所有国土空间用途管制职责。贯彻执行国家自然资源和国土空间规划及测绘等法律、法规。</w:t>
      </w:r>
    </w:p>
    <w:p>
      <w:pPr>
        <w:ind w:firstLine="640" w:firstLineChars="200"/>
        <w:rPr>
          <w:rFonts w:ascii="仿宋" w:hAnsi="仿宋" w:eastAsia="仿宋" w:cs="仿宋"/>
          <w:sz w:val="32"/>
          <w:szCs w:val="32"/>
        </w:rPr>
      </w:pPr>
      <w:r>
        <w:rPr>
          <w:rFonts w:hint="eastAsia" w:ascii="仿宋" w:hAnsi="仿宋" w:eastAsia="仿宋" w:cs="仿宋"/>
          <w:sz w:val="32"/>
          <w:szCs w:val="32"/>
        </w:rPr>
        <w:t>（二）负责自然资源调查监测评价。</w:t>
      </w:r>
    </w:p>
    <w:p>
      <w:pPr>
        <w:ind w:firstLine="640" w:firstLineChars="200"/>
        <w:rPr>
          <w:rFonts w:ascii="仿宋" w:hAnsi="仿宋" w:eastAsia="仿宋" w:cs="仿宋"/>
          <w:sz w:val="32"/>
          <w:szCs w:val="32"/>
        </w:rPr>
      </w:pPr>
      <w:r>
        <w:rPr>
          <w:rFonts w:hint="eastAsia" w:ascii="仿宋" w:hAnsi="仿宋" w:eastAsia="仿宋" w:cs="仿宋"/>
          <w:sz w:val="32"/>
          <w:szCs w:val="32"/>
        </w:rPr>
        <w:t>（三）负责自然资源统一确权登记工作。</w:t>
      </w:r>
    </w:p>
    <w:p>
      <w:pPr>
        <w:ind w:firstLine="640" w:firstLineChars="200"/>
        <w:rPr>
          <w:rFonts w:ascii="仿宋" w:hAnsi="仿宋" w:eastAsia="仿宋" w:cs="仿宋"/>
          <w:sz w:val="32"/>
          <w:szCs w:val="32"/>
        </w:rPr>
      </w:pPr>
      <w:r>
        <w:rPr>
          <w:rFonts w:hint="eastAsia" w:ascii="仿宋" w:hAnsi="仿宋" w:eastAsia="仿宋" w:cs="仿宋"/>
          <w:sz w:val="32"/>
          <w:szCs w:val="32"/>
        </w:rPr>
        <w:t>（四）负责自然资源资产有偿使用工作。</w:t>
      </w:r>
    </w:p>
    <w:p>
      <w:pPr>
        <w:ind w:firstLine="640" w:firstLineChars="200"/>
        <w:rPr>
          <w:rFonts w:ascii="仿宋" w:hAnsi="仿宋" w:eastAsia="仿宋" w:cs="仿宋"/>
          <w:sz w:val="32"/>
          <w:szCs w:val="32"/>
        </w:rPr>
      </w:pPr>
      <w:r>
        <w:rPr>
          <w:rFonts w:hint="eastAsia" w:ascii="仿宋" w:hAnsi="仿宋" w:eastAsia="仿宋" w:cs="仿宋"/>
          <w:sz w:val="32"/>
          <w:szCs w:val="32"/>
        </w:rPr>
        <w:t>（五）负责自然资源的合理开发利用。</w:t>
      </w:r>
    </w:p>
    <w:p>
      <w:pPr>
        <w:ind w:firstLine="640" w:firstLineChars="200"/>
        <w:rPr>
          <w:rFonts w:ascii="仿宋" w:hAnsi="仿宋" w:eastAsia="仿宋" w:cs="仿宋"/>
          <w:sz w:val="32"/>
          <w:szCs w:val="32"/>
        </w:rPr>
      </w:pPr>
      <w:r>
        <w:rPr>
          <w:rFonts w:hint="eastAsia" w:ascii="仿宋" w:hAnsi="仿宋" w:eastAsia="仿宋" w:cs="仿宋"/>
          <w:sz w:val="32"/>
          <w:szCs w:val="32"/>
        </w:rPr>
        <w:t>（六）负责建立空间规划体系并监督实施。</w:t>
      </w:r>
    </w:p>
    <w:p>
      <w:pPr>
        <w:ind w:firstLine="640" w:firstLineChars="200"/>
        <w:rPr>
          <w:rFonts w:ascii="仿宋" w:hAnsi="仿宋" w:eastAsia="仿宋" w:cs="仿宋"/>
          <w:sz w:val="32"/>
          <w:szCs w:val="32"/>
        </w:rPr>
      </w:pPr>
      <w:r>
        <w:rPr>
          <w:rFonts w:hint="eastAsia" w:ascii="仿宋" w:hAnsi="仿宋" w:eastAsia="仿宋" w:cs="仿宋"/>
          <w:sz w:val="32"/>
          <w:szCs w:val="32"/>
        </w:rPr>
        <w:t>（七）负责落实国土空间生态修复工作。</w:t>
      </w:r>
    </w:p>
    <w:p>
      <w:pPr>
        <w:ind w:firstLine="640" w:firstLineChars="200"/>
        <w:rPr>
          <w:rFonts w:ascii="仿宋" w:hAnsi="仿宋" w:eastAsia="仿宋" w:cs="仿宋"/>
          <w:sz w:val="32"/>
          <w:szCs w:val="32"/>
        </w:rPr>
      </w:pPr>
      <w:r>
        <w:rPr>
          <w:rFonts w:hint="eastAsia" w:ascii="仿宋" w:hAnsi="仿宋" w:eastAsia="仿宋" w:cs="仿宋"/>
          <w:sz w:val="32"/>
          <w:szCs w:val="32"/>
        </w:rPr>
        <w:t>（八）负责组织实施最严格的耕地保护制度和土地用途管制工作。</w:t>
      </w:r>
    </w:p>
    <w:p>
      <w:pPr>
        <w:ind w:firstLine="640" w:firstLineChars="200"/>
        <w:rPr>
          <w:rFonts w:ascii="仿宋" w:hAnsi="仿宋" w:eastAsia="仿宋" w:cs="仿宋"/>
          <w:sz w:val="32"/>
          <w:szCs w:val="32"/>
        </w:rPr>
      </w:pPr>
      <w:r>
        <w:rPr>
          <w:rFonts w:hint="eastAsia" w:ascii="仿宋" w:hAnsi="仿宋" w:eastAsia="仿宋" w:cs="仿宋"/>
          <w:sz w:val="32"/>
          <w:szCs w:val="32"/>
        </w:rPr>
        <w:t>（九）负责落实综合防灾减灾规划相关要求。</w:t>
      </w:r>
    </w:p>
    <w:p>
      <w:pPr>
        <w:ind w:firstLine="640" w:firstLineChars="200"/>
        <w:rPr>
          <w:rFonts w:ascii="仿宋" w:hAnsi="仿宋" w:eastAsia="仿宋" w:cs="仿宋"/>
          <w:sz w:val="32"/>
          <w:szCs w:val="32"/>
        </w:rPr>
      </w:pPr>
      <w:r>
        <w:rPr>
          <w:rFonts w:hint="eastAsia" w:ascii="仿宋" w:hAnsi="仿宋" w:eastAsia="仿宋" w:cs="仿宋"/>
          <w:sz w:val="32"/>
          <w:szCs w:val="32"/>
        </w:rPr>
        <w:t>（十）负责矿产资源管理工作。</w:t>
      </w:r>
    </w:p>
    <w:p>
      <w:pPr>
        <w:ind w:firstLine="640" w:firstLineChars="200"/>
        <w:rPr>
          <w:rFonts w:ascii="仿宋" w:hAnsi="仿宋" w:eastAsia="仿宋" w:cs="仿宋"/>
          <w:sz w:val="32"/>
          <w:szCs w:val="32"/>
        </w:rPr>
      </w:pPr>
      <w:r>
        <w:rPr>
          <w:rFonts w:hint="eastAsia" w:ascii="仿宋" w:hAnsi="仿宋" w:eastAsia="仿宋" w:cs="仿宋"/>
          <w:sz w:val="32"/>
          <w:szCs w:val="32"/>
        </w:rPr>
        <w:t>（十一）负责测绘地理信息管理工作。</w:t>
      </w:r>
    </w:p>
    <w:p>
      <w:pPr>
        <w:ind w:firstLine="640" w:firstLineChars="200"/>
        <w:rPr>
          <w:rFonts w:ascii="仿宋" w:hAnsi="仿宋" w:eastAsia="仿宋" w:cs="仿宋"/>
          <w:sz w:val="32"/>
          <w:szCs w:val="32"/>
        </w:rPr>
      </w:pPr>
      <w:r>
        <w:rPr>
          <w:rFonts w:hint="eastAsia" w:ascii="仿宋" w:hAnsi="仿宋" w:eastAsia="仿宋" w:cs="仿宋"/>
          <w:sz w:val="32"/>
          <w:szCs w:val="32"/>
        </w:rPr>
        <w:t>（十二）负责自然资源和城乡规划日常监督检查和指导工作。</w:t>
      </w:r>
    </w:p>
    <w:p>
      <w:pPr>
        <w:ind w:firstLine="640" w:firstLineChars="200"/>
        <w:rPr>
          <w:rFonts w:ascii="仿宋" w:hAnsi="仿宋" w:eastAsia="仿宋" w:cs="仿宋"/>
          <w:sz w:val="32"/>
          <w:szCs w:val="32"/>
        </w:rPr>
      </w:pPr>
      <w:r>
        <w:rPr>
          <w:rFonts w:hint="eastAsia" w:ascii="仿宋" w:hAnsi="仿宋" w:eastAsia="仿宋" w:cs="仿宋"/>
          <w:sz w:val="32"/>
          <w:szCs w:val="32"/>
        </w:rPr>
        <w:t>（十三）推动自然资源领域科技发展。</w:t>
      </w:r>
    </w:p>
    <w:p>
      <w:pPr>
        <w:ind w:firstLine="640" w:firstLineChars="200"/>
        <w:rPr>
          <w:rFonts w:ascii="仿宋" w:hAnsi="仿宋" w:eastAsia="仿宋" w:cs="仿宋"/>
          <w:sz w:val="32"/>
          <w:szCs w:val="32"/>
        </w:rPr>
      </w:pPr>
      <w:r>
        <w:rPr>
          <w:rFonts w:hint="eastAsia" w:ascii="仿宋" w:hAnsi="仿宋" w:eastAsia="仿宋" w:cs="仿宋"/>
          <w:sz w:val="32"/>
          <w:szCs w:val="32"/>
        </w:rPr>
        <w:t xml:space="preserve">（十四）完成市委、市人民政府交办的其他任务。 </w:t>
      </w:r>
    </w:p>
    <w:p>
      <w:pPr>
        <w:spacing w:line="600" w:lineRule="exact"/>
        <w:ind w:firstLine="640" w:firstLineChars="200"/>
        <w:jc w:val="left"/>
        <w:rPr>
          <w:rFonts w:ascii="黑体" w:hAnsi="黑体" w:eastAsia="黑体" w:cs="黑体"/>
          <w:bCs/>
          <w:sz w:val="32"/>
          <w:szCs w:val="32"/>
        </w:rPr>
      </w:pPr>
    </w:p>
    <w:p>
      <w:pPr>
        <w:spacing w:line="600" w:lineRule="exact"/>
        <w:ind w:firstLine="640" w:firstLineChars="200"/>
        <w:jc w:val="left"/>
        <w:rPr>
          <w:rFonts w:ascii="黑体" w:hAnsi="黑体" w:eastAsia="黑体" w:cs="黑体"/>
          <w:bCs/>
          <w:sz w:val="32"/>
          <w:szCs w:val="32"/>
        </w:rPr>
      </w:pPr>
      <w:r>
        <w:rPr>
          <w:rFonts w:hint="eastAsia" w:ascii="黑体" w:hAnsi="黑体" w:eastAsia="黑体" w:cs="黑体"/>
          <w:bCs/>
          <w:sz w:val="32"/>
          <w:szCs w:val="32"/>
        </w:rPr>
        <w:t>2.部门机构人员构成情况</w:t>
      </w:r>
    </w:p>
    <w:p>
      <w:pPr>
        <w:pStyle w:val="5"/>
        <w:spacing w:before="40" w:beforeAutospacing="0" w:after="0" w:afterAutospacing="0" w:line="600" w:lineRule="exact"/>
        <w:ind w:firstLine="640" w:firstLineChars="200"/>
        <w:jc w:val="both"/>
        <w:rPr>
          <w:rFonts w:ascii="仿宋" w:hAnsi="仿宋" w:eastAsia="仿宋" w:cs="仿宋"/>
          <w:kern w:val="2"/>
          <w:sz w:val="32"/>
          <w:szCs w:val="32"/>
        </w:rPr>
      </w:pPr>
      <w:r>
        <w:rPr>
          <w:rFonts w:hint="eastAsia" w:ascii="仿宋" w:hAnsi="仿宋" w:eastAsia="仿宋" w:cs="仿宋"/>
          <w:kern w:val="2"/>
          <w:sz w:val="32"/>
          <w:szCs w:val="32"/>
        </w:rPr>
        <w:t>库尔勒市自然资源局编制数</w:t>
      </w:r>
      <w:r>
        <w:rPr>
          <w:rFonts w:ascii="仿宋" w:hAnsi="仿宋" w:eastAsia="仿宋" w:cs="仿宋"/>
          <w:kern w:val="2"/>
          <w:sz w:val="32"/>
          <w:szCs w:val="32"/>
        </w:rPr>
        <w:t>235</w:t>
      </w:r>
      <w:r>
        <w:rPr>
          <w:rFonts w:hint="eastAsia" w:ascii="仿宋" w:hAnsi="仿宋" w:eastAsia="仿宋" w:cs="仿宋"/>
          <w:kern w:val="2"/>
          <w:sz w:val="32"/>
          <w:szCs w:val="32"/>
        </w:rPr>
        <w:t>人，实有人数307人，其中：在职203人；退休104人；离休0人。</w:t>
      </w:r>
    </w:p>
    <w:p>
      <w:pPr>
        <w:spacing w:line="600" w:lineRule="exact"/>
        <w:ind w:firstLine="624" w:firstLineChars="200"/>
        <w:rPr>
          <w:rStyle w:val="8"/>
          <w:rFonts w:ascii="黑体" w:hAnsi="黑体" w:eastAsia="黑体" w:cs="黑体"/>
          <w:b w:val="0"/>
          <w:spacing w:val="-4"/>
          <w:sz w:val="32"/>
          <w:szCs w:val="32"/>
        </w:rPr>
      </w:pPr>
      <w:r>
        <w:rPr>
          <w:rStyle w:val="8"/>
          <w:rFonts w:hint="eastAsia" w:ascii="黑体" w:hAnsi="黑体" w:eastAsia="黑体" w:cs="黑体"/>
          <w:b w:val="0"/>
          <w:spacing w:val="-4"/>
          <w:sz w:val="32"/>
          <w:szCs w:val="32"/>
        </w:rPr>
        <w:t>(二)部门单位年度重点工作</w:t>
      </w:r>
    </w:p>
    <w:p>
      <w:pPr>
        <w:spacing w:line="600" w:lineRule="exact"/>
        <w:ind w:firstLine="640" w:firstLineChars="200"/>
        <w:jc w:val="left"/>
        <w:rPr>
          <w:rFonts w:ascii="黑体" w:hAnsi="黑体" w:eastAsia="黑体" w:cs="黑体"/>
          <w:bCs/>
          <w:sz w:val="32"/>
          <w:szCs w:val="32"/>
        </w:rPr>
      </w:pPr>
      <w:r>
        <w:rPr>
          <w:rFonts w:hint="eastAsia" w:ascii="黑体" w:hAnsi="黑体" w:eastAsia="黑体" w:cs="黑体"/>
          <w:bCs/>
          <w:sz w:val="32"/>
          <w:szCs w:val="32"/>
        </w:rPr>
        <w:t>1.2023年度工作计划</w:t>
      </w:r>
    </w:p>
    <w:p>
      <w:pPr>
        <w:spacing w:line="60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2023年我局将持续按照市委、市政府的安排部署，紧盯中心工作和重点任务，深化各项改革，狠抓工作落实，认清肩上责任，担负历史使命，立足新发展阶段，贯彻新发展理念，构建自然资源新发展格局，全面提升自然资源领域治理体系和治理能力，确保自然资源管理工作顺利推进，助推全市经济高质量跨越式发展。</w:t>
      </w:r>
    </w:p>
    <w:p>
      <w:pPr>
        <w:spacing w:line="60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一、坚持党建引领，为自然资源工作提供坚强政治保障</w:t>
      </w:r>
    </w:p>
    <w:p>
      <w:pPr>
        <w:spacing w:line="60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(一）加强党建工作，强化政治思想引领</w:t>
      </w:r>
    </w:p>
    <w:p>
      <w:pPr>
        <w:spacing w:line="60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以习近平新时代中国特色社会主义思想为指导，深入学习贯彻党的二十大精神，把党的二十大精神转化为指导实践、推动工作的强大力量增强“四个意识”、坚定“四个自信”、做到“两个维护”。建设“让党中央放心，让人民群众满意的”模范机关，积极创建“五个好”标准化规范化党支部、建设“四心合格”党员队伍。紧紧围绕自然资源工作，坚持以党的政治建设为统领，着力强化理论武装，着力夯实基层基础，着力狠抓作风提升，开展“四个走在前列”示范引领行动，提升党建引领机关治理水平。</w:t>
      </w:r>
    </w:p>
    <w:p>
      <w:pPr>
        <w:spacing w:line="60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（二）聚焦从严治党，狠抓党风</w:t>
      </w:r>
      <w:r>
        <w:rPr>
          <w:rFonts w:hint="eastAsia" w:ascii="仿宋" w:hAnsi="仿宋" w:eastAsia="仿宋" w:cs="仿宋"/>
          <w:bCs/>
          <w:sz w:val="32"/>
          <w:szCs w:val="32"/>
          <w:lang w:val="en-US" w:eastAsia="zh-CN"/>
        </w:rPr>
        <w:t>廉</w:t>
      </w:r>
      <w:bookmarkStart w:id="0" w:name="_GoBack"/>
      <w:bookmarkEnd w:id="0"/>
      <w:r>
        <w:rPr>
          <w:rFonts w:hint="eastAsia" w:ascii="仿宋" w:hAnsi="仿宋" w:eastAsia="仿宋" w:cs="仿宋"/>
          <w:bCs/>
          <w:sz w:val="32"/>
          <w:szCs w:val="32"/>
        </w:rPr>
        <w:t>政建设</w:t>
      </w:r>
    </w:p>
    <w:p>
      <w:pPr>
        <w:spacing w:line="60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全面落实从严治党责任，加大以案促改力度，巩固干部思想防线，坚定廉洁从政信念。运用“第一种形态”处置常态化，把问题解决在萌芽状态，实现用制度管事、管权、管人的要求，改进党员干部工作作风，增强全局干部工作活力和积极性，提高自然资源履职服务能力，营造自然资源队伍的新形象、新常态，使全局精神面貌焕然一新。</w:t>
      </w:r>
    </w:p>
    <w:p>
      <w:pPr>
        <w:spacing w:line="60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二、坚持要素保障，提高自然资源工作能力和水平</w:t>
      </w:r>
    </w:p>
    <w:p>
      <w:pPr>
        <w:spacing w:line="60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（一）加强规划引领管控，提升城乡统筹发展水平</w:t>
      </w:r>
    </w:p>
    <w:p>
      <w:pPr>
        <w:spacing w:line="60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基本建立库尔勒市国土空间总体规划体系1套、乡镇国土空间总体规划。“多规合一”实用性村庄规划以及城镇开发边界内详细规划的编制报批备案工作。</w:t>
      </w:r>
    </w:p>
    <w:p>
      <w:pPr>
        <w:spacing w:line="60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（二）加大自然资源保护，提升生态环境质量</w:t>
      </w:r>
    </w:p>
    <w:p>
      <w:pPr>
        <w:spacing w:line="60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(1)根据州局下达《2023年度巴州闲置土地处置情况信息统计表》进行统计并按照《闲置土地处置办法》（国土资源部令第 53号)的有关规定，全面核查、摸清辖区的闲置土地情况，建立闲置出地台账，根据调查情况，分类梳理问题，结合闲置原因、闲置时间等具体情况进行分类处置，逐宗将闲置土地具体处置方案上报库尔勒市国土利用资源规划领导小组讨论发行实施。完成 2023 年度闲置土地处置任务237.54 公顷。</w:t>
      </w:r>
    </w:p>
    <w:p>
      <w:pPr>
        <w:spacing w:line="60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(2)2023年权限内出让采矿权3个，出让收益预计收缴0.015亿元。</w:t>
      </w:r>
    </w:p>
    <w:p>
      <w:pPr>
        <w:spacing w:line="60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(3)开展房地体宅基地确权登记工作。2023 年底前完成房地一体宅基地地籍调查、已有宅基地登记资料清理整合11000宗汇交至国家级信息平台。</w:t>
      </w:r>
    </w:p>
    <w:p>
      <w:pPr>
        <w:spacing w:line="60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4）根据《库尔勒市地质灾害防治方案》要求，2023年开展巡查检查地质灾害隐患点不少于3次。做好地质灾害防治工作。按照方案内容完善和预防地质灾害相关工作。做好地质灾害群策群防工作，落实乡（镇）地质灾害防治工作主体责任。</w:t>
      </w:r>
    </w:p>
    <w:p>
      <w:pPr>
        <w:spacing w:line="60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三、坚持多措并举，扎实做好自然资源领域安全稳定工</w:t>
      </w:r>
    </w:p>
    <w:p>
      <w:pPr>
        <w:spacing w:line="60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作</w:t>
      </w:r>
    </w:p>
    <w:p>
      <w:pPr>
        <w:spacing w:line="60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加大对《中华人民共和宝保守国家秘密法》《中华人民共和国测绘法》等相关法律法规的宣传，从思想入手，转变干部观念。明确敏感数据安全保密第一责任人，加强对敏感数据的保存、使用和管理，严格落实“上网电脑不涉密、涉密电脑不上网”要求，确保我局自然资源领域敏感数据安全</w:t>
      </w:r>
    </w:p>
    <w:p>
      <w:pPr>
        <w:spacing w:line="600" w:lineRule="exact"/>
        <w:jc w:val="left"/>
        <w:rPr>
          <w:rFonts w:ascii="仿宋" w:hAnsi="仿宋" w:eastAsia="仿宋" w:cs="仿宋"/>
          <w:bCs/>
          <w:sz w:val="32"/>
          <w:szCs w:val="32"/>
        </w:rPr>
      </w:pPr>
      <w:r>
        <w:rPr>
          <w:rFonts w:hint="eastAsia" w:ascii="仿宋" w:hAnsi="仿宋" w:eastAsia="仿宋" w:cs="仿宋"/>
          <w:bCs/>
          <w:sz w:val="32"/>
          <w:szCs w:val="32"/>
        </w:rPr>
        <w:t>保密工作严密规范。</w:t>
      </w:r>
    </w:p>
    <w:p>
      <w:pPr>
        <w:spacing w:line="60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2023年我们将继续不忘初，砥砺前行全面破解工作中遇到的难题，不断提升自然资源管理能力，坚持为民服务，力争把各项工作做得更好。</w:t>
      </w:r>
    </w:p>
    <w:p>
      <w:pPr>
        <w:pStyle w:val="2"/>
        <w:spacing w:line="600" w:lineRule="exact"/>
        <w:ind w:firstLine="640" w:firstLineChars="200"/>
        <w:rPr>
          <w:rFonts w:ascii="黑体" w:hAnsi="黑体" w:eastAsia="黑体" w:cs="黑体"/>
        </w:rPr>
      </w:pPr>
      <w:r>
        <w:rPr>
          <w:rFonts w:hint="eastAsia" w:ascii="黑体" w:hAnsi="黑体" w:eastAsia="黑体" w:cs="黑体"/>
          <w:b w:val="0"/>
        </w:rPr>
        <w:t>2.机构人员保障情况</w:t>
      </w:r>
    </w:p>
    <w:p>
      <w:pPr>
        <w:spacing w:line="600" w:lineRule="exact"/>
        <w:ind w:firstLine="624" w:firstLineChars="200"/>
        <w:rPr>
          <w:rStyle w:val="8"/>
          <w:rFonts w:ascii="仿宋" w:hAnsi="仿宋" w:eastAsia="仿宋" w:cs="仿宋"/>
          <w:b w:val="0"/>
          <w:spacing w:val="-4"/>
          <w:sz w:val="32"/>
          <w:szCs w:val="32"/>
        </w:rPr>
      </w:pPr>
      <w:r>
        <w:rPr>
          <w:rStyle w:val="8"/>
          <w:rFonts w:hint="eastAsia" w:ascii="仿宋" w:hAnsi="仿宋" w:eastAsia="仿宋" w:cs="仿宋"/>
          <w:b w:val="0"/>
          <w:spacing w:val="-4"/>
          <w:sz w:val="32"/>
          <w:szCs w:val="32"/>
        </w:rPr>
        <w:t>库尔勒市自然资源局2023年通过本部门预算支出，确保了203名在职人员的工资、津贴、补贴、社保、绩效、公积金等以及104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spacing w:line="600" w:lineRule="exact"/>
        <w:ind w:firstLine="624" w:firstLineChars="200"/>
        <w:rPr>
          <w:rStyle w:val="8"/>
          <w:rFonts w:ascii="黑体" w:hAnsi="黑体" w:eastAsia="黑体" w:cs="黑体"/>
          <w:b w:val="0"/>
          <w:spacing w:val="-4"/>
          <w:sz w:val="32"/>
          <w:szCs w:val="32"/>
        </w:rPr>
      </w:pPr>
      <w:r>
        <w:rPr>
          <w:rStyle w:val="8"/>
          <w:rFonts w:hint="eastAsia" w:ascii="黑体" w:hAnsi="黑体" w:eastAsia="黑体" w:cs="黑体"/>
          <w:b w:val="0"/>
          <w:spacing w:val="-4"/>
          <w:sz w:val="32"/>
          <w:szCs w:val="32"/>
        </w:rPr>
        <w:t>(三)部门单位整体预算规模及安排情况</w:t>
      </w:r>
    </w:p>
    <w:p>
      <w:pPr>
        <w:spacing w:line="600" w:lineRule="exact"/>
        <w:ind w:firstLine="640" w:firstLineChars="200"/>
        <w:jc w:val="left"/>
        <w:rPr>
          <w:rFonts w:ascii="黑体" w:hAnsi="黑体" w:eastAsia="黑体" w:cs="黑体"/>
          <w:bCs/>
          <w:sz w:val="32"/>
          <w:szCs w:val="32"/>
        </w:rPr>
      </w:pPr>
      <w:r>
        <w:rPr>
          <w:rFonts w:hint="eastAsia" w:ascii="黑体" w:hAnsi="黑体" w:eastAsia="黑体" w:cs="黑体"/>
          <w:bCs/>
          <w:sz w:val="32"/>
          <w:szCs w:val="32"/>
        </w:rPr>
        <w:t>1.年初预算安排</w:t>
      </w:r>
    </w:p>
    <w:p>
      <w:pPr>
        <w:spacing w:line="60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2023年我部门年初安排预算数为</w:t>
      </w:r>
      <w:r>
        <w:rPr>
          <w:rFonts w:ascii="仿宋" w:hAnsi="仿宋" w:eastAsia="仿宋" w:cs="仿宋"/>
          <w:sz w:val="32"/>
          <w:szCs w:val="32"/>
        </w:rPr>
        <w:t>9713.82</w:t>
      </w:r>
      <w:r>
        <w:rPr>
          <w:rFonts w:hint="eastAsia" w:ascii="仿宋" w:hAnsi="仿宋" w:eastAsia="仿宋" w:cs="仿宋"/>
          <w:sz w:val="32"/>
          <w:szCs w:val="32"/>
        </w:rPr>
        <w:t>万元，其中:上级安排</w:t>
      </w:r>
      <w:r>
        <w:rPr>
          <w:rFonts w:ascii="仿宋" w:hAnsi="仿宋" w:eastAsia="仿宋" w:cs="仿宋"/>
          <w:sz w:val="32"/>
          <w:szCs w:val="32"/>
        </w:rPr>
        <w:t>80</w:t>
      </w:r>
      <w:r>
        <w:rPr>
          <w:rFonts w:hint="eastAsia" w:ascii="仿宋" w:hAnsi="仿宋" w:eastAsia="仿宋" w:cs="仿宋"/>
          <w:sz w:val="32"/>
          <w:szCs w:val="32"/>
        </w:rPr>
        <w:t>万元,本级安排9633.82万元，其他资金</w:t>
      </w:r>
      <w:r>
        <w:rPr>
          <w:rFonts w:ascii="仿宋" w:hAnsi="仿宋" w:eastAsia="仿宋" w:cs="仿宋"/>
          <w:sz w:val="32"/>
          <w:szCs w:val="32"/>
        </w:rPr>
        <w:t>0</w:t>
      </w:r>
      <w:r>
        <w:rPr>
          <w:rFonts w:hint="eastAsia" w:ascii="仿宋" w:hAnsi="仿宋" w:eastAsia="仿宋" w:cs="仿宋"/>
          <w:sz w:val="32"/>
          <w:szCs w:val="32"/>
        </w:rPr>
        <w:t>万元。</w:t>
      </w:r>
    </w:p>
    <w:p>
      <w:pPr>
        <w:pStyle w:val="2"/>
        <w:ind w:firstLine="640" w:firstLineChars="200"/>
        <w:rPr>
          <w:rFonts w:ascii="仿宋" w:hAnsi="仿宋" w:eastAsia="仿宋" w:cs="仿宋"/>
          <w:b w:val="0"/>
          <w:bCs w:val="0"/>
        </w:rPr>
      </w:pPr>
      <w:r>
        <w:rPr>
          <w:rFonts w:hint="eastAsia" w:ascii="仿宋" w:hAnsi="仿宋" w:eastAsia="仿宋" w:cs="仿宋"/>
          <w:b w:val="0"/>
          <w:bCs w:val="0"/>
        </w:rPr>
        <w:t>综上所述，部门预算安排与本单位职能关联度较高，预算安排结构清晰明了，能够直观展示各项费用的分配情况，预算规模合理，为单位的稳健发展和高效运行提供了有力保障。</w:t>
      </w:r>
    </w:p>
    <w:p>
      <w:pPr>
        <w:spacing w:line="600" w:lineRule="exact"/>
        <w:ind w:firstLine="640" w:firstLineChars="200"/>
        <w:jc w:val="left"/>
        <w:rPr>
          <w:rFonts w:ascii="黑体" w:hAnsi="黑体" w:eastAsia="黑体" w:cs="黑体"/>
          <w:bCs/>
          <w:sz w:val="32"/>
          <w:szCs w:val="32"/>
        </w:rPr>
      </w:pPr>
      <w:r>
        <w:rPr>
          <w:rFonts w:hint="eastAsia" w:ascii="黑体" w:hAnsi="黑体" w:eastAsia="黑体" w:cs="黑体"/>
          <w:bCs/>
          <w:sz w:val="32"/>
          <w:szCs w:val="32"/>
        </w:rPr>
        <w:t>2.预算年中调整情况</w:t>
      </w:r>
    </w:p>
    <w:p>
      <w:pPr>
        <w:spacing w:line="60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我部门年初安排预算数</w:t>
      </w:r>
      <w:r>
        <w:rPr>
          <w:rFonts w:ascii="仿宋" w:hAnsi="仿宋" w:eastAsia="仿宋" w:cs="仿宋"/>
          <w:bCs/>
          <w:sz w:val="32"/>
          <w:szCs w:val="32"/>
        </w:rPr>
        <w:t>9713.82</w:t>
      </w:r>
      <w:r>
        <w:rPr>
          <w:rFonts w:hint="eastAsia" w:ascii="仿宋" w:hAnsi="仿宋" w:eastAsia="仿宋" w:cs="仿宋"/>
          <w:bCs/>
          <w:sz w:val="32"/>
          <w:szCs w:val="32"/>
        </w:rPr>
        <w:t>万元，年中调整数+</w:t>
      </w:r>
      <w:r>
        <w:rPr>
          <w:rFonts w:ascii="仿宋" w:hAnsi="仿宋" w:eastAsia="仿宋" w:cs="仿宋"/>
          <w:bCs/>
          <w:sz w:val="32"/>
          <w:szCs w:val="32"/>
        </w:rPr>
        <w:t>21947.86</w:t>
      </w:r>
      <w:r>
        <w:rPr>
          <w:rFonts w:hint="eastAsia" w:ascii="仿宋" w:hAnsi="仿宋" w:eastAsia="仿宋" w:cs="仿宋"/>
          <w:bCs/>
          <w:sz w:val="32"/>
          <w:szCs w:val="32"/>
        </w:rPr>
        <w:t>万元，调整后全年预算数</w:t>
      </w:r>
      <w:r>
        <w:rPr>
          <w:rFonts w:ascii="仿宋" w:hAnsi="仿宋" w:eastAsia="仿宋" w:cs="仿宋"/>
          <w:bCs/>
          <w:sz w:val="32"/>
          <w:szCs w:val="32"/>
        </w:rPr>
        <w:t>31661.68</w:t>
      </w:r>
      <w:r>
        <w:rPr>
          <w:rFonts w:hint="eastAsia" w:ascii="仿宋" w:hAnsi="仿宋" w:eastAsia="仿宋" w:cs="仿宋"/>
          <w:bCs/>
          <w:sz w:val="32"/>
          <w:szCs w:val="32"/>
        </w:rPr>
        <w:t>万元，预算调整率</w:t>
      </w:r>
      <w:r>
        <w:rPr>
          <w:rFonts w:ascii="仿宋" w:hAnsi="仿宋" w:eastAsia="仿宋" w:cs="仿宋"/>
          <w:bCs/>
          <w:sz w:val="32"/>
          <w:szCs w:val="32"/>
        </w:rPr>
        <w:t>225.94</w:t>
      </w:r>
      <w:r>
        <w:rPr>
          <w:rFonts w:hint="eastAsia" w:ascii="仿宋" w:hAnsi="仿宋" w:eastAsia="仿宋" w:cs="仿宋"/>
          <w:bCs/>
          <w:sz w:val="32"/>
          <w:szCs w:val="32"/>
        </w:rPr>
        <w:t>%。</w:t>
      </w:r>
    </w:p>
    <w:p>
      <w:pPr>
        <w:pStyle w:val="2"/>
        <w:ind w:firstLine="640" w:firstLineChars="200"/>
        <w:rPr>
          <w:rFonts w:ascii="仿宋" w:hAnsi="仿宋" w:eastAsia="仿宋" w:cs="仿宋"/>
          <w:b w:val="0"/>
        </w:rPr>
      </w:pPr>
      <w:r>
        <w:rPr>
          <w:rFonts w:hint="eastAsia" w:ascii="仿宋" w:hAnsi="仿宋" w:eastAsia="仿宋" w:cs="仿宋"/>
          <w:b w:val="0"/>
        </w:rPr>
        <w:t>综上所述，年中预算调整幅度与本单位运转情况和履职情况相匹配，未出现资金收支不平衡以及债务风险等负面影响，确保了预算调整的合理性和必要性。</w:t>
      </w:r>
    </w:p>
    <w:p>
      <w:pPr>
        <w:spacing w:line="600" w:lineRule="exact"/>
        <w:ind w:firstLine="640" w:firstLineChars="200"/>
        <w:jc w:val="left"/>
        <w:rPr>
          <w:rFonts w:ascii="黑体" w:hAnsi="黑体" w:eastAsia="黑体" w:cs="黑体"/>
          <w:bCs/>
          <w:sz w:val="32"/>
          <w:szCs w:val="32"/>
        </w:rPr>
      </w:pPr>
      <w:r>
        <w:rPr>
          <w:rFonts w:hint="eastAsia" w:ascii="黑体" w:hAnsi="黑体" w:eastAsia="黑体" w:cs="黑体"/>
          <w:bCs/>
          <w:sz w:val="32"/>
          <w:szCs w:val="32"/>
        </w:rPr>
        <w:t>3.资金使用主要内容、涉及的范围</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我单位2023年度部门整体支出为</w:t>
      </w:r>
      <w:r>
        <w:rPr>
          <w:rFonts w:ascii="仿宋" w:hAnsi="仿宋" w:eastAsia="仿宋" w:cs="仿宋"/>
          <w:sz w:val="32"/>
          <w:szCs w:val="32"/>
        </w:rPr>
        <w:t>31661.68</w:t>
      </w:r>
      <w:r>
        <w:rPr>
          <w:rFonts w:hint="eastAsia" w:ascii="仿宋" w:hAnsi="仿宋" w:eastAsia="仿宋" w:cs="仿宋"/>
          <w:sz w:val="32"/>
          <w:szCs w:val="32"/>
        </w:rPr>
        <w:t>万元，其中：</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（1）基本支出</w:t>
      </w:r>
      <w:r>
        <w:rPr>
          <w:rFonts w:ascii="仿宋" w:hAnsi="仿宋" w:eastAsia="仿宋" w:cs="仿宋"/>
          <w:bCs/>
          <w:sz w:val="32"/>
          <w:szCs w:val="32"/>
        </w:rPr>
        <w:t>5037.45</w:t>
      </w:r>
      <w:r>
        <w:rPr>
          <w:rFonts w:hint="eastAsia" w:ascii="仿宋" w:hAnsi="仿宋" w:eastAsia="仿宋" w:cs="仿宋"/>
          <w:sz w:val="32"/>
          <w:szCs w:val="32"/>
        </w:rPr>
        <w:t>万元，主要用于：基本工资、津贴补贴、奖金、机关事业单位基本养老保险缴费、职业年金缴费、职工基本医疗保险缴费、办公费、差旅费、维修（护）费、福利费、退休费，抚恤金，生活补助，其他个人补助支出等。</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（2）项目支出</w:t>
      </w:r>
      <w:r>
        <w:rPr>
          <w:rFonts w:ascii="仿宋" w:hAnsi="仿宋" w:eastAsia="仿宋" w:cs="仿宋"/>
          <w:bCs/>
          <w:sz w:val="32"/>
          <w:szCs w:val="32"/>
        </w:rPr>
        <w:t>26624.23</w:t>
      </w:r>
      <w:r>
        <w:rPr>
          <w:rFonts w:hint="eastAsia" w:ascii="仿宋" w:hAnsi="仿宋" w:eastAsia="仿宋" w:cs="仿宋"/>
          <w:sz w:val="32"/>
          <w:szCs w:val="32"/>
        </w:rPr>
        <w:t>万元，主要用于购买环境监测设备项目</w:t>
      </w:r>
      <w:r>
        <w:rPr>
          <w:rFonts w:ascii="仿宋" w:hAnsi="仿宋" w:eastAsia="仿宋" w:cs="仿宋"/>
          <w:sz w:val="32"/>
          <w:szCs w:val="32"/>
        </w:rPr>
        <w:t>8.52</w:t>
      </w:r>
      <w:r>
        <w:rPr>
          <w:rFonts w:hint="eastAsia" w:ascii="仿宋" w:hAnsi="仿宋" w:eastAsia="仿宋" w:cs="仿宋"/>
          <w:sz w:val="32"/>
          <w:szCs w:val="32"/>
        </w:rPr>
        <w:t>万元、格库铁路贷款还款项目</w:t>
      </w:r>
      <w:r>
        <w:rPr>
          <w:rFonts w:ascii="仿宋" w:hAnsi="仿宋" w:eastAsia="仿宋" w:cs="仿宋"/>
          <w:sz w:val="32"/>
          <w:szCs w:val="32"/>
        </w:rPr>
        <w:t>1335.71</w:t>
      </w:r>
      <w:r>
        <w:rPr>
          <w:rFonts w:hint="eastAsia" w:ascii="仿宋" w:hAnsi="仿宋" w:eastAsia="仿宋" w:cs="仿宋"/>
          <w:sz w:val="32"/>
          <w:szCs w:val="32"/>
        </w:rPr>
        <w:t>万元、对国资公司健身中心工程项目费用的补助2000万元、格库铁路贷款还款专项23200万元、地质灾害风险调查项目80万元。</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二、部门单位整体支出管理及使用情况</w:t>
      </w:r>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（一）基本支出投入、管理和使用情况</w:t>
      </w:r>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1.基本支出投入和使用情况</w:t>
      </w:r>
    </w:p>
    <w:p>
      <w:pPr>
        <w:spacing w:line="600" w:lineRule="exact"/>
        <w:ind w:firstLine="640" w:firstLineChars="200"/>
        <w:rPr>
          <w:rFonts w:ascii="仿宋" w:hAnsi="仿宋" w:eastAsia="仿宋" w:cs="仿宋"/>
          <w:bCs/>
          <w:sz w:val="32"/>
          <w:szCs w:val="32"/>
        </w:rPr>
      </w:pPr>
      <w:r>
        <w:rPr>
          <w:rFonts w:hint="eastAsia" w:ascii="仿宋" w:hAnsi="仿宋" w:eastAsia="仿宋" w:cs="仿宋"/>
          <w:bCs/>
          <w:sz w:val="32"/>
          <w:szCs w:val="32"/>
        </w:rPr>
        <w:t>2023年我部门基本支出年初预算安排4299.87万元，全年预算数5037.45万元，全年实际支出数5037.45万元，其中：人员经费</w:t>
      </w:r>
      <w:r>
        <w:rPr>
          <w:rFonts w:ascii="仿宋" w:hAnsi="仿宋" w:eastAsia="仿宋" w:cs="仿宋"/>
          <w:bCs/>
          <w:sz w:val="32"/>
          <w:szCs w:val="32"/>
        </w:rPr>
        <w:t>3653.06</w:t>
      </w:r>
      <w:r>
        <w:rPr>
          <w:rFonts w:hint="eastAsia" w:ascii="仿宋" w:hAnsi="仿宋" w:eastAsia="仿宋" w:cs="仿宋"/>
          <w:bCs/>
          <w:sz w:val="32"/>
          <w:szCs w:val="32"/>
        </w:rPr>
        <w:t>万元，公用经费</w:t>
      </w:r>
      <w:r>
        <w:rPr>
          <w:rFonts w:ascii="仿宋" w:hAnsi="仿宋" w:eastAsia="仿宋" w:cs="仿宋"/>
          <w:bCs/>
          <w:sz w:val="32"/>
          <w:szCs w:val="32"/>
        </w:rPr>
        <w:t>1384.39</w:t>
      </w:r>
      <w:r>
        <w:rPr>
          <w:rFonts w:hint="eastAsia" w:ascii="仿宋" w:hAnsi="仿宋" w:eastAsia="仿宋" w:cs="仿宋"/>
          <w:bCs/>
          <w:sz w:val="32"/>
          <w:szCs w:val="32"/>
        </w:rPr>
        <w:t>万元。全年预算执行率</w:t>
      </w:r>
      <w:r>
        <w:rPr>
          <w:rFonts w:ascii="仿宋" w:hAnsi="仿宋" w:eastAsia="仿宋" w:cs="仿宋"/>
          <w:bCs/>
          <w:sz w:val="32"/>
          <w:szCs w:val="32"/>
        </w:rPr>
        <w:t>100</w:t>
      </w:r>
      <w:r>
        <w:rPr>
          <w:rFonts w:hint="eastAsia" w:ascii="仿宋" w:hAnsi="仿宋" w:eastAsia="仿宋" w:cs="仿宋"/>
          <w:bCs/>
          <w:sz w:val="32"/>
          <w:szCs w:val="32"/>
        </w:rPr>
        <w:t>.00%。</w:t>
      </w:r>
      <w:r>
        <w:rPr>
          <w:rFonts w:ascii="仿宋" w:hAnsi="仿宋" w:eastAsia="仿宋" w:cs="仿宋"/>
          <w:bCs/>
          <w:sz w:val="32"/>
          <w:szCs w:val="32"/>
        </w:rPr>
        <w:t xml:space="preserve"> </w:t>
      </w:r>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2.基本支出管理情况</w:t>
      </w:r>
    </w:p>
    <w:p>
      <w:pPr>
        <w:spacing w:line="600" w:lineRule="exact"/>
        <w:ind w:firstLine="640" w:firstLineChars="200"/>
        <w:rPr>
          <w:rFonts w:ascii="仿宋" w:hAnsi="仿宋" w:eastAsia="仿宋" w:cs="仿宋"/>
          <w:bCs/>
          <w:sz w:val="32"/>
          <w:szCs w:val="32"/>
        </w:rPr>
      </w:pPr>
      <w:r>
        <w:rPr>
          <w:rFonts w:hint="eastAsia" w:ascii="仿宋" w:hAnsi="仿宋" w:eastAsia="仿宋" w:cs="仿宋"/>
          <w:bCs/>
          <w:sz w:val="32"/>
          <w:szCs w:val="32"/>
        </w:rPr>
        <w:t>基本支出严格按照财务管理制度执行。人员工资由相关部门严格审核，按月申报及发放。基本公用经费主要用于支付单位日常的办公费、邮电费、差旅费、维修（护）费、劳务费、车辆运行维护费等。公务用车运行维护费主要用于单位车辆加油、维修及购买车辆保险。</w:t>
      </w:r>
    </w:p>
    <w:p>
      <w:pPr>
        <w:pStyle w:val="2"/>
        <w:spacing w:line="600" w:lineRule="exact"/>
        <w:ind w:firstLine="640" w:firstLineChars="200"/>
        <w:rPr>
          <w:rFonts w:ascii="黑体" w:hAnsi="黑体" w:eastAsia="黑体" w:cs="黑体"/>
          <w:b w:val="0"/>
          <w:bCs w:val="0"/>
        </w:rPr>
      </w:pPr>
      <w:r>
        <w:rPr>
          <w:rFonts w:hint="eastAsia" w:ascii="黑体" w:hAnsi="黑体" w:eastAsia="黑体" w:cs="黑体"/>
          <w:b w:val="0"/>
          <w:bCs w:val="0"/>
        </w:rPr>
        <w:t>（二）项目支出投入、管理和使用情况</w:t>
      </w:r>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1.项目支出投入和使用情况</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2023年本单位共安排</w:t>
      </w:r>
      <w:r>
        <w:rPr>
          <w:rFonts w:ascii="仿宋" w:hAnsi="仿宋" w:eastAsia="仿宋" w:cs="仿宋"/>
          <w:sz w:val="32"/>
          <w:szCs w:val="32"/>
        </w:rPr>
        <w:t>5</w:t>
      </w:r>
      <w:r>
        <w:rPr>
          <w:rFonts w:hint="eastAsia" w:ascii="仿宋" w:hAnsi="仿宋" w:eastAsia="仿宋" w:cs="仿宋"/>
          <w:sz w:val="32"/>
          <w:szCs w:val="32"/>
        </w:rPr>
        <w:t>个项目，全年预算数为</w:t>
      </w:r>
      <w:r>
        <w:rPr>
          <w:rFonts w:ascii="仿宋" w:hAnsi="仿宋" w:eastAsia="仿宋" w:cs="仿宋"/>
          <w:sz w:val="32"/>
          <w:szCs w:val="32"/>
        </w:rPr>
        <w:t>26624.23</w:t>
      </w:r>
      <w:r>
        <w:rPr>
          <w:rFonts w:hint="eastAsia" w:ascii="仿宋" w:hAnsi="仿宋" w:eastAsia="仿宋" w:cs="仿宋"/>
          <w:sz w:val="32"/>
          <w:szCs w:val="32"/>
        </w:rPr>
        <w:t>万元，全年实际支出数</w:t>
      </w:r>
      <w:r>
        <w:rPr>
          <w:rFonts w:ascii="仿宋" w:hAnsi="仿宋" w:eastAsia="仿宋" w:cs="仿宋"/>
          <w:sz w:val="32"/>
          <w:szCs w:val="32"/>
        </w:rPr>
        <w:t>26624.23</w:t>
      </w:r>
      <w:r>
        <w:rPr>
          <w:rFonts w:hint="eastAsia" w:ascii="仿宋" w:hAnsi="仿宋" w:eastAsia="仿宋" w:cs="仿宋"/>
          <w:sz w:val="32"/>
          <w:szCs w:val="32"/>
        </w:rPr>
        <w:t>万元，执行率</w:t>
      </w:r>
      <w:r>
        <w:rPr>
          <w:rFonts w:ascii="仿宋" w:hAnsi="仿宋" w:eastAsia="仿宋" w:cs="仿宋"/>
          <w:sz w:val="32"/>
          <w:szCs w:val="32"/>
        </w:rPr>
        <w:t>100</w:t>
      </w:r>
      <w:r>
        <w:rPr>
          <w:rFonts w:hint="eastAsia" w:ascii="仿宋" w:hAnsi="仿宋" w:eastAsia="仿宋" w:cs="仿宋"/>
          <w:sz w:val="32"/>
          <w:szCs w:val="32"/>
        </w:rPr>
        <w:t>.00%。</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其中:上级安排项目</w:t>
      </w:r>
      <w:r>
        <w:rPr>
          <w:rFonts w:ascii="仿宋" w:hAnsi="仿宋" w:eastAsia="仿宋" w:cs="仿宋"/>
          <w:sz w:val="32"/>
          <w:szCs w:val="32"/>
        </w:rPr>
        <w:t>1</w:t>
      </w:r>
      <w:r>
        <w:rPr>
          <w:rFonts w:hint="eastAsia" w:ascii="仿宋" w:hAnsi="仿宋" w:eastAsia="仿宋" w:cs="仿宋"/>
          <w:sz w:val="32"/>
          <w:szCs w:val="32"/>
        </w:rPr>
        <w:t>个</w:t>
      </w:r>
      <w:r>
        <w:rPr>
          <w:rFonts w:ascii="仿宋" w:hAnsi="仿宋" w:eastAsia="仿宋" w:cs="仿宋"/>
          <w:sz w:val="32"/>
          <w:szCs w:val="32"/>
        </w:rPr>
        <w:t>80</w:t>
      </w:r>
      <w:r>
        <w:rPr>
          <w:rFonts w:hint="eastAsia" w:ascii="仿宋" w:hAnsi="仿宋" w:eastAsia="仿宋" w:cs="仿宋"/>
          <w:sz w:val="32"/>
          <w:szCs w:val="32"/>
        </w:rPr>
        <w:t>万元，本级安排项目</w:t>
      </w:r>
      <w:r>
        <w:rPr>
          <w:rFonts w:ascii="仿宋" w:hAnsi="仿宋" w:eastAsia="仿宋" w:cs="仿宋"/>
          <w:sz w:val="32"/>
          <w:szCs w:val="32"/>
        </w:rPr>
        <w:t>4</w:t>
      </w:r>
      <w:r>
        <w:rPr>
          <w:rFonts w:hint="eastAsia" w:ascii="仿宋" w:hAnsi="仿宋" w:eastAsia="仿宋" w:cs="仿宋"/>
          <w:sz w:val="32"/>
          <w:szCs w:val="32"/>
        </w:rPr>
        <w:t>个</w:t>
      </w:r>
      <w:r>
        <w:rPr>
          <w:rFonts w:ascii="仿宋" w:hAnsi="仿宋" w:eastAsia="仿宋" w:cs="仿宋"/>
          <w:sz w:val="32"/>
          <w:szCs w:val="32"/>
        </w:rPr>
        <w:t>26544.23</w:t>
      </w:r>
      <w:r>
        <w:rPr>
          <w:rFonts w:hint="eastAsia" w:ascii="仿宋" w:hAnsi="仿宋" w:eastAsia="仿宋" w:cs="仿宋"/>
          <w:sz w:val="32"/>
          <w:szCs w:val="32"/>
        </w:rPr>
        <w:t>万元,其他资金安排项目</w:t>
      </w:r>
      <w:r>
        <w:rPr>
          <w:rFonts w:ascii="仿宋" w:hAnsi="仿宋" w:eastAsia="仿宋" w:cs="仿宋"/>
          <w:sz w:val="32"/>
          <w:szCs w:val="32"/>
        </w:rPr>
        <w:t>0</w:t>
      </w:r>
      <w:r>
        <w:rPr>
          <w:rFonts w:hint="eastAsia" w:ascii="仿宋" w:hAnsi="仿宋" w:eastAsia="仿宋" w:cs="仿宋"/>
          <w:sz w:val="32"/>
          <w:szCs w:val="32"/>
        </w:rPr>
        <w:t>个</w:t>
      </w:r>
      <w:r>
        <w:rPr>
          <w:rFonts w:ascii="仿宋" w:hAnsi="仿宋" w:eastAsia="仿宋" w:cs="仿宋"/>
          <w:sz w:val="32"/>
          <w:szCs w:val="32"/>
        </w:rPr>
        <w:t>0</w:t>
      </w:r>
      <w:r>
        <w:rPr>
          <w:rFonts w:hint="eastAsia" w:ascii="仿宋" w:hAnsi="仿宋" w:eastAsia="仿宋" w:cs="仿宋"/>
          <w:sz w:val="32"/>
          <w:szCs w:val="32"/>
        </w:rPr>
        <w:t>万元。</w:t>
      </w:r>
    </w:p>
    <w:p>
      <w:pPr>
        <w:spacing w:line="600" w:lineRule="exact"/>
        <w:ind w:firstLine="640" w:firstLineChars="200"/>
        <w:jc w:val="left"/>
        <w:rPr>
          <w:rFonts w:ascii="黑体" w:hAnsi="黑体" w:eastAsia="黑体" w:cs="黑体"/>
          <w:bCs/>
          <w:sz w:val="32"/>
          <w:szCs w:val="32"/>
        </w:rPr>
      </w:pPr>
      <w:r>
        <w:rPr>
          <w:rFonts w:hint="eastAsia" w:ascii="黑体" w:hAnsi="黑体" w:eastAsia="黑体" w:cs="黑体"/>
          <w:bCs/>
          <w:sz w:val="32"/>
          <w:szCs w:val="32"/>
        </w:rPr>
        <w:t>2.项目支出管理情况</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（2）资金拨付审批手续完整。项目资金专款专用，不存在支出依据不合规，序列项目支出，截留，挤占，挪用和超标准支出等现象，使项目资金的运用得到了合理的控制，项目得到了切实的保障。</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3）会计信息质量真实。严格执行《会计法》等财经法规，严格按照相关会计制度办理会计业务，进行会计核算，并做好会计记录，真实的反映项目资金管理情况，并接受财政、审批部门及上级主管部门的检查、监督。</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（4）执行预决算管理。严格按预算管理要求使用资金，严格按进度和合同拨付资金，严格执行政府采购制度；严格执行国库集中支付制度，严防截留、挪用资金。</w:t>
      </w:r>
    </w:p>
    <w:p>
      <w:pPr>
        <w:spacing w:line="600" w:lineRule="exact"/>
        <w:ind w:firstLine="640" w:firstLineChars="200"/>
        <w:rPr>
          <w:rStyle w:val="8"/>
          <w:rFonts w:ascii="仿宋_GB2312" w:hAnsi="楷体" w:eastAsia="仿宋_GB2312" w:cs="Times New Roman"/>
          <w:b w:val="0"/>
          <w:spacing w:val="-4"/>
          <w:sz w:val="32"/>
          <w:szCs w:val="32"/>
        </w:rPr>
      </w:pPr>
      <w:r>
        <w:rPr>
          <w:rFonts w:hint="eastAsia" w:ascii="黑体" w:hAnsi="黑体" w:eastAsia="黑体" w:cs="黑体"/>
          <w:sz w:val="32"/>
          <w:szCs w:val="32"/>
        </w:rPr>
        <w:t>三、部门单位整体支出绩效分析</w:t>
      </w:r>
    </w:p>
    <w:p>
      <w:pPr>
        <w:spacing w:line="600" w:lineRule="exact"/>
        <w:ind w:firstLine="624" w:firstLineChars="200"/>
        <w:rPr>
          <w:rStyle w:val="8"/>
          <w:rFonts w:ascii="仿宋" w:hAnsi="仿宋" w:eastAsia="仿宋" w:cs="仿宋"/>
          <w:b w:val="0"/>
          <w:spacing w:val="-4"/>
          <w:sz w:val="32"/>
          <w:szCs w:val="32"/>
        </w:rPr>
      </w:pPr>
      <w:r>
        <w:rPr>
          <w:rStyle w:val="8"/>
          <w:rFonts w:hint="eastAsia" w:ascii="仿宋" w:hAnsi="仿宋" w:eastAsia="仿宋" w:cs="仿宋"/>
          <w:b w:val="0"/>
          <w:spacing w:val="-4"/>
          <w:sz w:val="32"/>
          <w:szCs w:val="32"/>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pPr>
        <w:spacing w:line="600" w:lineRule="exact"/>
        <w:ind w:firstLine="624" w:firstLineChars="200"/>
        <w:rPr>
          <w:rStyle w:val="8"/>
          <w:rFonts w:ascii="仿宋" w:hAnsi="仿宋" w:eastAsia="仿宋" w:cs="仿宋"/>
          <w:b w:val="0"/>
          <w:spacing w:val="-4"/>
          <w:sz w:val="32"/>
          <w:szCs w:val="32"/>
        </w:rPr>
      </w:pPr>
      <w:r>
        <w:rPr>
          <w:rStyle w:val="8"/>
          <w:rFonts w:hint="eastAsia" w:ascii="仿宋" w:hAnsi="仿宋" w:eastAsia="仿宋" w:cs="仿宋"/>
          <w:b w:val="0"/>
          <w:spacing w:val="-4"/>
          <w:sz w:val="32"/>
          <w:szCs w:val="32"/>
        </w:rPr>
        <w:t>我单位将部门单位整体绩效目标细化分解为具体的绩效指标，一级指标共</w:t>
      </w:r>
      <w:r>
        <w:rPr>
          <w:rStyle w:val="8"/>
          <w:rFonts w:ascii="仿宋" w:hAnsi="仿宋" w:eastAsia="仿宋" w:cs="仿宋"/>
          <w:b w:val="0"/>
          <w:spacing w:val="-4"/>
          <w:sz w:val="32"/>
          <w:szCs w:val="32"/>
        </w:rPr>
        <w:t>1</w:t>
      </w:r>
      <w:r>
        <w:rPr>
          <w:rStyle w:val="8"/>
          <w:rFonts w:hint="eastAsia" w:ascii="仿宋" w:hAnsi="仿宋" w:eastAsia="仿宋" w:cs="仿宋"/>
          <w:b w:val="0"/>
          <w:spacing w:val="-4"/>
          <w:sz w:val="32"/>
          <w:szCs w:val="32"/>
        </w:rPr>
        <w:t>条，二级指标共</w:t>
      </w:r>
      <w:r>
        <w:rPr>
          <w:rStyle w:val="8"/>
          <w:rFonts w:ascii="仿宋" w:hAnsi="仿宋" w:eastAsia="仿宋" w:cs="仿宋"/>
          <w:b w:val="0"/>
          <w:spacing w:val="-4"/>
          <w:sz w:val="32"/>
          <w:szCs w:val="32"/>
        </w:rPr>
        <w:t>1</w:t>
      </w:r>
      <w:r>
        <w:rPr>
          <w:rStyle w:val="8"/>
          <w:rFonts w:hint="eastAsia" w:ascii="仿宋" w:hAnsi="仿宋" w:eastAsia="仿宋" w:cs="仿宋"/>
          <w:b w:val="0"/>
          <w:spacing w:val="-4"/>
          <w:sz w:val="32"/>
          <w:szCs w:val="32"/>
        </w:rPr>
        <w:t>条，三级指标共</w:t>
      </w:r>
      <w:r>
        <w:rPr>
          <w:rStyle w:val="8"/>
          <w:rFonts w:ascii="仿宋" w:hAnsi="仿宋" w:eastAsia="仿宋" w:cs="仿宋"/>
          <w:b w:val="0"/>
          <w:spacing w:val="-4"/>
          <w:sz w:val="32"/>
          <w:szCs w:val="32"/>
        </w:rPr>
        <w:t>5</w:t>
      </w:r>
      <w:r>
        <w:rPr>
          <w:rStyle w:val="8"/>
          <w:rFonts w:hint="eastAsia" w:ascii="仿宋" w:hAnsi="仿宋" w:eastAsia="仿宋" w:cs="仿宋"/>
          <w:b w:val="0"/>
          <w:spacing w:val="-4"/>
          <w:sz w:val="32"/>
          <w:szCs w:val="32"/>
        </w:rPr>
        <w:t>条，其中量化指标条数共</w:t>
      </w:r>
      <w:r>
        <w:rPr>
          <w:rStyle w:val="8"/>
          <w:rFonts w:ascii="仿宋" w:hAnsi="仿宋" w:eastAsia="仿宋" w:cs="仿宋"/>
          <w:b w:val="0"/>
          <w:spacing w:val="-4"/>
          <w:sz w:val="32"/>
          <w:szCs w:val="32"/>
        </w:rPr>
        <w:t>5</w:t>
      </w:r>
      <w:r>
        <w:rPr>
          <w:rStyle w:val="8"/>
          <w:rFonts w:hint="eastAsia" w:ascii="仿宋" w:hAnsi="仿宋" w:eastAsia="仿宋" w:cs="仿宋"/>
          <w:b w:val="0"/>
          <w:spacing w:val="-4"/>
          <w:sz w:val="32"/>
          <w:szCs w:val="32"/>
        </w:rPr>
        <w:t>条，所有绩效指标均通过清晰、可衡量的指标值予以体现。</w:t>
      </w:r>
    </w:p>
    <w:p>
      <w:pPr>
        <w:spacing w:line="600" w:lineRule="exact"/>
        <w:ind w:firstLine="624" w:firstLineChars="200"/>
        <w:rPr>
          <w:rStyle w:val="8"/>
          <w:rFonts w:ascii="黑体" w:hAnsi="黑体" w:eastAsia="黑体" w:cs="黑体"/>
          <w:b w:val="0"/>
          <w:spacing w:val="-4"/>
          <w:sz w:val="32"/>
          <w:szCs w:val="32"/>
        </w:rPr>
      </w:pPr>
      <w:r>
        <w:rPr>
          <w:rStyle w:val="8"/>
          <w:rFonts w:hint="eastAsia" w:ascii="黑体" w:hAnsi="黑体" w:eastAsia="黑体" w:cs="黑体"/>
          <w:b w:val="0"/>
          <w:spacing w:val="-4"/>
          <w:sz w:val="32"/>
          <w:szCs w:val="32"/>
        </w:rPr>
        <w:t>（一）指标一：运行成本</w:t>
      </w:r>
    </w:p>
    <w:p>
      <w:pPr>
        <w:spacing w:line="600" w:lineRule="exact"/>
        <w:ind w:firstLine="624" w:firstLineChars="200"/>
        <w:rPr>
          <w:rStyle w:val="8"/>
          <w:rFonts w:ascii="仿宋" w:hAnsi="仿宋" w:eastAsia="仿宋" w:cs="仿宋"/>
          <w:b w:val="0"/>
          <w:spacing w:val="-4"/>
          <w:sz w:val="32"/>
          <w:szCs w:val="32"/>
        </w:rPr>
      </w:pPr>
      <w:r>
        <w:rPr>
          <w:rStyle w:val="8"/>
          <w:rFonts w:hint="eastAsia" w:ascii="仿宋" w:hAnsi="仿宋" w:eastAsia="仿宋" w:cs="仿宋"/>
          <w:b w:val="0"/>
          <w:spacing w:val="-4"/>
          <w:sz w:val="32"/>
          <w:szCs w:val="32"/>
        </w:rPr>
        <w:t>无此项指标。</w:t>
      </w:r>
    </w:p>
    <w:p>
      <w:pPr>
        <w:spacing w:line="600" w:lineRule="exact"/>
        <w:ind w:firstLine="624" w:firstLineChars="200"/>
        <w:rPr>
          <w:rStyle w:val="8"/>
          <w:rFonts w:ascii="黑体" w:hAnsi="黑体" w:eastAsia="黑体" w:cs="黑体"/>
          <w:b w:val="0"/>
          <w:spacing w:val="-4"/>
          <w:sz w:val="32"/>
          <w:szCs w:val="32"/>
        </w:rPr>
      </w:pPr>
      <w:r>
        <w:rPr>
          <w:rStyle w:val="8"/>
          <w:rFonts w:hint="eastAsia" w:ascii="黑体" w:hAnsi="黑体" w:eastAsia="黑体" w:cs="黑体"/>
          <w:b w:val="0"/>
          <w:spacing w:val="-4"/>
          <w:sz w:val="32"/>
          <w:szCs w:val="32"/>
        </w:rPr>
        <w:t>（二）指标二：管理效率</w:t>
      </w:r>
    </w:p>
    <w:p>
      <w:pPr>
        <w:spacing w:line="600" w:lineRule="exact"/>
        <w:ind w:firstLine="624" w:firstLineChars="200"/>
        <w:rPr>
          <w:rStyle w:val="8"/>
          <w:rFonts w:ascii="仿宋" w:hAnsi="仿宋" w:eastAsia="仿宋" w:cs="仿宋"/>
          <w:b w:val="0"/>
          <w:spacing w:val="-4"/>
          <w:sz w:val="32"/>
          <w:szCs w:val="32"/>
        </w:rPr>
      </w:pPr>
      <w:r>
        <w:rPr>
          <w:rStyle w:val="8"/>
          <w:rFonts w:hint="eastAsia" w:ascii="仿宋" w:hAnsi="仿宋" w:eastAsia="仿宋" w:cs="仿宋"/>
          <w:b w:val="0"/>
          <w:spacing w:val="-4"/>
          <w:sz w:val="32"/>
          <w:szCs w:val="32"/>
        </w:rPr>
        <w:t>无此项指标。</w:t>
      </w:r>
    </w:p>
    <w:p>
      <w:pPr>
        <w:spacing w:line="600" w:lineRule="exact"/>
        <w:ind w:firstLine="624" w:firstLineChars="200"/>
        <w:rPr>
          <w:rStyle w:val="8"/>
          <w:rFonts w:ascii="黑体" w:hAnsi="黑体" w:eastAsia="黑体" w:cs="黑体"/>
          <w:b w:val="0"/>
          <w:spacing w:val="-4"/>
          <w:sz w:val="32"/>
          <w:szCs w:val="32"/>
        </w:rPr>
      </w:pPr>
      <w:r>
        <w:rPr>
          <w:rStyle w:val="8"/>
          <w:rFonts w:hint="eastAsia" w:ascii="黑体" w:hAnsi="黑体" w:eastAsia="黑体" w:cs="黑体"/>
          <w:b w:val="0"/>
          <w:spacing w:val="-4"/>
          <w:sz w:val="32"/>
          <w:szCs w:val="32"/>
        </w:rPr>
        <w:t>（三）指标三：履职效能</w:t>
      </w:r>
    </w:p>
    <w:p>
      <w:pPr>
        <w:spacing w:line="600" w:lineRule="exact"/>
        <w:ind w:firstLine="624" w:firstLineChars="200"/>
        <w:rPr>
          <w:rStyle w:val="8"/>
          <w:rFonts w:ascii="仿宋" w:hAnsi="仿宋" w:eastAsia="仿宋" w:cs="仿宋"/>
          <w:b w:val="0"/>
          <w:spacing w:val="-4"/>
          <w:sz w:val="32"/>
          <w:szCs w:val="32"/>
        </w:rPr>
      </w:pPr>
      <w:r>
        <w:rPr>
          <w:rStyle w:val="8"/>
          <w:rFonts w:hint="eastAsia" w:ascii="仿宋" w:hAnsi="仿宋" w:eastAsia="仿宋" w:cs="仿宋"/>
          <w:b w:val="0"/>
          <w:spacing w:val="-4"/>
          <w:sz w:val="32"/>
          <w:szCs w:val="32"/>
        </w:rPr>
        <w:t>数量指标1：开展地质环境保护及防灾减灾宣传次数,预期指标值为：≥3次；监控节点完成值：=</w:t>
      </w:r>
      <w:r>
        <w:rPr>
          <w:rStyle w:val="8"/>
          <w:rFonts w:ascii="仿宋" w:hAnsi="仿宋" w:eastAsia="仿宋" w:cs="仿宋"/>
          <w:b w:val="0"/>
          <w:spacing w:val="-4"/>
          <w:sz w:val="32"/>
          <w:szCs w:val="32"/>
        </w:rPr>
        <w:t>3</w:t>
      </w:r>
      <w:r>
        <w:rPr>
          <w:rStyle w:val="8"/>
          <w:rFonts w:hint="eastAsia" w:ascii="仿宋" w:hAnsi="仿宋" w:eastAsia="仿宋" w:cs="仿宋"/>
          <w:b w:val="0"/>
          <w:spacing w:val="-4"/>
          <w:sz w:val="32"/>
          <w:szCs w:val="32"/>
        </w:rPr>
        <w:t>次；评价实际完成值：=</w:t>
      </w:r>
      <w:r>
        <w:rPr>
          <w:rStyle w:val="8"/>
          <w:rFonts w:ascii="仿宋" w:hAnsi="仿宋" w:eastAsia="仿宋" w:cs="仿宋"/>
          <w:b w:val="0"/>
          <w:spacing w:val="-4"/>
          <w:sz w:val="32"/>
          <w:szCs w:val="32"/>
        </w:rPr>
        <w:t>3</w:t>
      </w:r>
      <w:r>
        <w:rPr>
          <w:rStyle w:val="8"/>
          <w:rFonts w:hint="eastAsia" w:ascii="仿宋" w:hAnsi="仿宋" w:eastAsia="仿宋" w:cs="仿宋"/>
          <w:b w:val="0"/>
          <w:spacing w:val="-4"/>
          <w:sz w:val="32"/>
          <w:szCs w:val="32"/>
        </w:rPr>
        <w:t>次；指标完成率：</w:t>
      </w:r>
      <w:r>
        <w:rPr>
          <w:rStyle w:val="8"/>
          <w:rFonts w:ascii="仿宋" w:hAnsi="仿宋" w:eastAsia="仿宋" w:cs="仿宋"/>
          <w:b w:val="0"/>
          <w:spacing w:val="-4"/>
          <w:sz w:val="32"/>
          <w:szCs w:val="32"/>
        </w:rPr>
        <w:t>100</w:t>
      </w:r>
      <w:r>
        <w:rPr>
          <w:rStyle w:val="8"/>
          <w:rFonts w:hint="eastAsia" w:ascii="仿宋" w:hAnsi="仿宋" w:eastAsia="仿宋" w:cs="仿宋"/>
          <w:b w:val="0"/>
          <w:spacing w:val="-4"/>
          <w:sz w:val="32"/>
          <w:szCs w:val="32"/>
        </w:rPr>
        <w:t>.00%；成效分析：通过单位正常运转，提高了群众对地质灾害识灾、避灾能力。</w:t>
      </w:r>
    </w:p>
    <w:p>
      <w:pPr>
        <w:pStyle w:val="2"/>
        <w:ind w:firstLine="624" w:firstLineChars="200"/>
        <w:rPr>
          <w:rStyle w:val="8"/>
          <w:rFonts w:ascii="仿宋" w:hAnsi="仿宋" w:eastAsia="仿宋" w:cs="仿宋"/>
          <w:b w:val="0"/>
          <w:bCs/>
          <w:spacing w:val="-4"/>
        </w:rPr>
      </w:pPr>
      <w:r>
        <w:rPr>
          <w:rStyle w:val="8"/>
          <w:rFonts w:hint="eastAsia" w:ascii="仿宋" w:hAnsi="仿宋" w:eastAsia="仿宋" w:cs="仿宋"/>
          <w:b w:val="0"/>
          <w:bCs/>
          <w:spacing w:val="-4"/>
        </w:rPr>
        <w:t>数量指标2：闲置土地处置,预期指标值为：≥</w:t>
      </w:r>
      <w:r>
        <w:rPr>
          <w:rStyle w:val="8"/>
          <w:rFonts w:ascii="仿宋" w:hAnsi="仿宋" w:eastAsia="仿宋" w:cs="仿宋"/>
          <w:b w:val="0"/>
          <w:bCs/>
          <w:spacing w:val="-4"/>
        </w:rPr>
        <w:t>237.54</w:t>
      </w:r>
      <w:r>
        <w:rPr>
          <w:rStyle w:val="8"/>
          <w:rFonts w:hint="eastAsia" w:ascii="仿宋" w:hAnsi="仿宋" w:eastAsia="仿宋" w:cs="仿宋"/>
          <w:b w:val="0"/>
          <w:bCs/>
          <w:spacing w:val="-4"/>
        </w:rPr>
        <w:t>公顷；监控节点完成值：=350公顷；评价实际完成值：=371.09公顷；指标完成率：</w:t>
      </w:r>
      <w:r>
        <w:rPr>
          <w:rStyle w:val="8"/>
          <w:rFonts w:ascii="仿宋" w:hAnsi="仿宋" w:eastAsia="仿宋" w:cs="仿宋"/>
          <w:b w:val="0"/>
          <w:bCs/>
          <w:spacing w:val="-4"/>
        </w:rPr>
        <w:t>100</w:t>
      </w:r>
      <w:r>
        <w:rPr>
          <w:rStyle w:val="8"/>
          <w:rFonts w:hint="eastAsia" w:ascii="仿宋" w:hAnsi="仿宋" w:eastAsia="仿宋" w:cs="仿宋"/>
          <w:b w:val="0"/>
          <w:bCs/>
          <w:spacing w:val="-4"/>
        </w:rPr>
        <w:t>.00%；成效分析：通过单位正常运转，提高了盘活处置低效用地，促进土地高效利用。</w:t>
      </w:r>
    </w:p>
    <w:p>
      <w:pPr>
        <w:pStyle w:val="2"/>
        <w:ind w:firstLine="624" w:firstLineChars="200"/>
        <w:rPr>
          <w:rStyle w:val="8"/>
          <w:rFonts w:ascii="仿宋" w:hAnsi="仿宋" w:eastAsia="仿宋" w:cs="仿宋"/>
          <w:b w:val="0"/>
          <w:bCs/>
          <w:spacing w:val="-4"/>
        </w:rPr>
      </w:pPr>
      <w:r>
        <w:rPr>
          <w:rStyle w:val="8"/>
          <w:rFonts w:hint="eastAsia" w:ascii="仿宋" w:hAnsi="仿宋" w:eastAsia="仿宋" w:cs="仿宋"/>
          <w:b w:val="0"/>
          <w:bCs/>
          <w:spacing w:val="-4"/>
        </w:rPr>
        <w:t>数量指标3：开展房地一体宅基地确权工作,预期指标值为：≥</w:t>
      </w:r>
      <w:r>
        <w:rPr>
          <w:rStyle w:val="8"/>
          <w:rFonts w:ascii="仿宋" w:hAnsi="仿宋" w:eastAsia="仿宋" w:cs="仿宋"/>
          <w:b w:val="0"/>
          <w:bCs/>
          <w:spacing w:val="-4"/>
        </w:rPr>
        <w:t>11000</w:t>
      </w:r>
      <w:r>
        <w:rPr>
          <w:rStyle w:val="8"/>
          <w:rFonts w:hint="eastAsia" w:ascii="仿宋" w:hAnsi="仿宋" w:eastAsia="仿宋" w:cs="仿宋"/>
          <w:b w:val="0"/>
          <w:bCs/>
          <w:spacing w:val="-4"/>
        </w:rPr>
        <w:t>宗；监控节点完成值：=8000宗；评价实际完成值：=</w:t>
      </w:r>
      <w:r>
        <w:rPr>
          <w:rStyle w:val="8"/>
          <w:rFonts w:ascii="仿宋" w:hAnsi="仿宋" w:eastAsia="仿宋" w:cs="仿宋"/>
          <w:b w:val="0"/>
          <w:bCs/>
          <w:spacing w:val="-4"/>
        </w:rPr>
        <w:t>14504</w:t>
      </w:r>
      <w:r>
        <w:rPr>
          <w:rStyle w:val="8"/>
          <w:rFonts w:hint="eastAsia" w:ascii="仿宋" w:hAnsi="仿宋" w:eastAsia="仿宋" w:cs="仿宋"/>
          <w:b w:val="0"/>
          <w:bCs/>
          <w:spacing w:val="-4"/>
        </w:rPr>
        <w:t>宗；指标完成率：</w:t>
      </w:r>
      <w:r>
        <w:rPr>
          <w:rStyle w:val="8"/>
          <w:rFonts w:ascii="仿宋" w:hAnsi="仿宋" w:eastAsia="仿宋" w:cs="仿宋"/>
          <w:b w:val="0"/>
          <w:bCs/>
          <w:spacing w:val="-4"/>
        </w:rPr>
        <w:t>100</w:t>
      </w:r>
      <w:r>
        <w:rPr>
          <w:rStyle w:val="8"/>
          <w:rFonts w:hint="eastAsia" w:ascii="仿宋" w:hAnsi="仿宋" w:eastAsia="仿宋" w:cs="仿宋"/>
          <w:b w:val="0"/>
          <w:bCs/>
          <w:spacing w:val="-4"/>
        </w:rPr>
        <w:t>.00%；成效分析：通过单位正常运转，提高了农村经济发展，是对村民合法权益最好的维护。</w:t>
      </w:r>
    </w:p>
    <w:p/>
    <w:p>
      <w:pPr>
        <w:pStyle w:val="2"/>
        <w:ind w:firstLine="624" w:firstLineChars="200"/>
      </w:pPr>
      <w:r>
        <w:rPr>
          <w:rStyle w:val="8"/>
          <w:rFonts w:hint="eastAsia" w:ascii="仿宋" w:hAnsi="仿宋" w:eastAsia="仿宋" w:cs="仿宋"/>
          <w:b w:val="0"/>
          <w:bCs/>
          <w:spacing w:val="-4"/>
        </w:rPr>
        <w:t>数量指标4：完成库尔勒市国土空间总体规划编制,预期指标值为：≥</w:t>
      </w:r>
      <w:r>
        <w:rPr>
          <w:rStyle w:val="8"/>
          <w:rFonts w:ascii="仿宋" w:hAnsi="仿宋" w:eastAsia="仿宋" w:cs="仿宋"/>
          <w:b w:val="0"/>
          <w:bCs/>
          <w:spacing w:val="-4"/>
        </w:rPr>
        <w:t>1</w:t>
      </w:r>
      <w:r>
        <w:rPr>
          <w:rStyle w:val="8"/>
          <w:rFonts w:hint="eastAsia" w:ascii="仿宋" w:hAnsi="仿宋" w:eastAsia="仿宋" w:cs="仿宋"/>
          <w:b w:val="0"/>
          <w:bCs/>
          <w:spacing w:val="-4"/>
        </w:rPr>
        <w:t>套；监控节点完成值：=</w:t>
      </w:r>
      <w:r>
        <w:rPr>
          <w:rStyle w:val="8"/>
          <w:rFonts w:ascii="仿宋" w:hAnsi="仿宋" w:eastAsia="仿宋" w:cs="仿宋"/>
          <w:b w:val="0"/>
          <w:bCs/>
          <w:spacing w:val="-4"/>
        </w:rPr>
        <w:t>1</w:t>
      </w:r>
      <w:r>
        <w:rPr>
          <w:rStyle w:val="8"/>
          <w:rFonts w:hint="eastAsia" w:ascii="仿宋" w:hAnsi="仿宋" w:eastAsia="仿宋" w:cs="仿宋"/>
          <w:b w:val="0"/>
          <w:bCs/>
          <w:spacing w:val="-4"/>
        </w:rPr>
        <w:t>套；评价实际完成值：=</w:t>
      </w:r>
      <w:r>
        <w:rPr>
          <w:rStyle w:val="8"/>
          <w:rFonts w:ascii="仿宋" w:hAnsi="仿宋" w:eastAsia="仿宋" w:cs="仿宋"/>
          <w:b w:val="0"/>
          <w:bCs/>
          <w:spacing w:val="-4"/>
        </w:rPr>
        <w:t>1</w:t>
      </w:r>
      <w:r>
        <w:rPr>
          <w:rStyle w:val="8"/>
          <w:rFonts w:hint="eastAsia" w:ascii="仿宋" w:hAnsi="仿宋" w:eastAsia="仿宋" w:cs="仿宋"/>
          <w:b w:val="0"/>
          <w:bCs/>
          <w:spacing w:val="-4"/>
        </w:rPr>
        <w:t>套；指标完成率：</w:t>
      </w:r>
      <w:r>
        <w:rPr>
          <w:rStyle w:val="8"/>
          <w:rFonts w:ascii="仿宋" w:hAnsi="仿宋" w:eastAsia="仿宋" w:cs="仿宋"/>
          <w:b w:val="0"/>
          <w:bCs/>
          <w:spacing w:val="-4"/>
        </w:rPr>
        <w:t>100</w:t>
      </w:r>
      <w:r>
        <w:rPr>
          <w:rStyle w:val="8"/>
          <w:rFonts w:hint="eastAsia" w:ascii="仿宋" w:hAnsi="仿宋" w:eastAsia="仿宋" w:cs="仿宋"/>
          <w:b w:val="0"/>
          <w:bCs/>
          <w:spacing w:val="-4"/>
        </w:rPr>
        <w:t>.00%；成效分析：通过单位正常运转，提高了土地利用效率，为经济发展腾挪空间。</w:t>
      </w:r>
    </w:p>
    <w:p/>
    <w:p>
      <w:pPr>
        <w:spacing w:line="600" w:lineRule="exact"/>
        <w:ind w:firstLine="624" w:firstLineChars="200"/>
        <w:rPr>
          <w:rStyle w:val="8"/>
          <w:rFonts w:ascii="仿宋" w:hAnsi="仿宋" w:eastAsia="仿宋" w:cs="仿宋"/>
          <w:b w:val="0"/>
          <w:spacing w:val="-4"/>
          <w:sz w:val="32"/>
          <w:szCs w:val="32"/>
        </w:rPr>
      </w:pPr>
      <w:r>
        <w:rPr>
          <w:rStyle w:val="8"/>
          <w:rFonts w:hint="eastAsia" w:ascii="仿宋" w:hAnsi="仿宋" w:eastAsia="仿宋" w:cs="仿宋"/>
          <w:b w:val="0"/>
          <w:spacing w:val="-4"/>
          <w:sz w:val="32"/>
          <w:szCs w:val="32"/>
        </w:rPr>
        <w:t>数量指标5：采矿权出让,预期指标值为≥3个；监控节点完成值=3个；评价实际完成值：=3个；指标完成率：</w:t>
      </w:r>
      <w:r>
        <w:rPr>
          <w:rStyle w:val="8"/>
          <w:rFonts w:ascii="仿宋" w:hAnsi="仿宋" w:eastAsia="仿宋" w:cs="仿宋"/>
          <w:b w:val="0"/>
          <w:spacing w:val="-4"/>
          <w:sz w:val="32"/>
          <w:szCs w:val="32"/>
        </w:rPr>
        <w:t>100</w:t>
      </w:r>
      <w:r>
        <w:rPr>
          <w:rStyle w:val="8"/>
          <w:rFonts w:hint="eastAsia" w:ascii="仿宋" w:hAnsi="仿宋" w:eastAsia="仿宋" w:cs="仿宋"/>
          <w:b w:val="0"/>
          <w:spacing w:val="-4"/>
          <w:sz w:val="32"/>
          <w:szCs w:val="32"/>
        </w:rPr>
        <w:t>.00%；成效分析：通过单位正常运转，提高了矿产资源保护与合理利用，推动相关行业健康有序发展。</w:t>
      </w:r>
    </w:p>
    <w:p>
      <w:pPr>
        <w:spacing w:line="600" w:lineRule="exact"/>
        <w:ind w:firstLine="624" w:firstLineChars="200"/>
        <w:rPr>
          <w:rStyle w:val="8"/>
          <w:rFonts w:ascii="黑体" w:hAnsi="黑体" w:eastAsia="黑体" w:cs="黑体"/>
          <w:b w:val="0"/>
          <w:spacing w:val="-4"/>
          <w:sz w:val="32"/>
          <w:szCs w:val="32"/>
        </w:rPr>
      </w:pPr>
      <w:r>
        <w:rPr>
          <w:rStyle w:val="8"/>
          <w:rFonts w:hint="eastAsia" w:ascii="黑体" w:hAnsi="黑体" w:eastAsia="黑体" w:cs="黑体"/>
          <w:b w:val="0"/>
          <w:spacing w:val="-4"/>
          <w:sz w:val="32"/>
          <w:szCs w:val="32"/>
        </w:rPr>
        <w:t>（四）指标四：社会效益</w:t>
      </w:r>
    </w:p>
    <w:p>
      <w:pPr>
        <w:spacing w:line="600" w:lineRule="exact"/>
        <w:ind w:firstLine="624" w:firstLineChars="200"/>
        <w:rPr>
          <w:rStyle w:val="8"/>
          <w:rFonts w:ascii="仿宋" w:hAnsi="仿宋" w:eastAsia="仿宋" w:cs="仿宋"/>
          <w:b w:val="0"/>
          <w:spacing w:val="-4"/>
          <w:sz w:val="32"/>
          <w:szCs w:val="32"/>
        </w:rPr>
      </w:pPr>
      <w:r>
        <w:rPr>
          <w:rStyle w:val="8"/>
          <w:rFonts w:hint="eastAsia" w:ascii="仿宋" w:hAnsi="仿宋" w:eastAsia="仿宋" w:cs="仿宋"/>
          <w:b w:val="0"/>
          <w:spacing w:val="-4"/>
          <w:sz w:val="32"/>
          <w:szCs w:val="32"/>
        </w:rPr>
        <w:t>无此项指标</w:t>
      </w:r>
    </w:p>
    <w:p>
      <w:pPr>
        <w:spacing w:line="600" w:lineRule="exact"/>
        <w:ind w:firstLine="624" w:firstLineChars="200"/>
        <w:rPr>
          <w:rStyle w:val="8"/>
          <w:rFonts w:ascii="黑体" w:hAnsi="黑体" w:eastAsia="黑体" w:cs="黑体"/>
          <w:b w:val="0"/>
          <w:spacing w:val="-4"/>
          <w:sz w:val="32"/>
          <w:szCs w:val="32"/>
        </w:rPr>
      </w:pPr>
      <w:r>
        <w:rPr>
          <w:rStyle w:val="8"/>
          <w:rFonts w:hint="eastAsia" w:ascii="黑体" w:hAnsi="黑体" w:eastAsia="黑体" w:cs="黑体"/>
          <w:b w:val="0"/>
          <w:spacing w:val="-4"/>
          <w:sz w:val="32"/>
          <w:szCs w:val="32"/>
        </w:rPr>
        <w:t>（五）指标五：可持续发展能力</w:t>
      </w:r>
    </w:p>
    <w:p>
      <w:pPr>
        <w:spacing w:line="600" w:lineRule="exact"/>
        <w:ind w:firstLine="624" w:firstLineChars="200"/>
        <w:rPr>
          <w:rStyle w:val="8"/>
          <w:rFonts w:ascii="仿宋" w:hAnsi="仿宋" w:eastAsia="仿宋" w:cs="仿宋"/>
          <w:b w:val="0"/>
          <w:spacing w:val="-4"/>
          <w:sz w:val="32"/>
          <w:szCs w:val="32"/>
        </w:rPr>
      </w:pPr>
      <w:r>
        <w:rPr>
          <w:rStyle w:val="8"/>
          <w:rFonts w:hint="eastAsia" w:ascii="仿宋" w:hAnsi="仿宋" w:eastAsia="仿宋" w:cs="仿宋"/>
          <w:b w:val="0"/>
          <w:spacing w:val="-4"/>
          <w:sz w:val="32"/>
          <w:szCs w:val="32"/>
        </w:rPr>
        <w:t>无此项指标。</w:t>
      </w:r>
    </w:p>
    <w:p>
      <w:pPr>
        <w:spacing w:line="600" w:lineRule="exact"/>
        <w:ind w:firstLine="624" w:firstLineChars="200"/>
        <w:rPr>
          <w:rStyle w:val="8"/>
          <w:rFonts w:ascii="黑体" w:hAnsi="黑体" w:eastAsia="黑体" w:cs="黑体"/>
          <w:b w:val="0"/>
          <w:spacing w:val="-4"/>
          <w:sz w:val="32"/>
          <w:szCs w:val="32"/>
        </w:rPr>
      </w:pPr>
      <w:r>
        <w:rPr>
          <w:rStyle w:val="8"/>
          <w:rFonts w:hint="eastAsia" w:ascii="黑体" w:hAnsi="黑体" w:eastAsia="黑体" w:cs="黑体"/>
          <w:b w:val="0"/>
          <w:spacing w:val="-4"/>
          <w:sz w:val="32"/>
          <w:szCs w:val="32"/>
        </w:rPr>
        <w:t>（六）指标六：服务对象满意度</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无此项指标。</w:t>
      </w:r>
    </w:p>
    <w:p>
      <w:pPr>
        <w:pStyle w:val="11"/>
        <w:snapToGrid w:val="0"/>
        <w:spacing w:line="600" w:lineRule="exact"/>
        <w:ind w:firstLine="624"/>
        <w:rPr>
          <w:rStyle w:val="8"/>
          <w:rFonts w:ascii="黑体" w:hAnsi="黑体" w:eastAsia="黑体"/>
          <w:b w:val="0"/>
          <w:bCs w:val="0"/>
          <w:spacing w:val="-4"/>
          <w:sz w:val="32"/>
          <w:szCs w:val="32"/>
        </w:rPr>
      </w:pPr>
      <w:r>
        <w:rPr>
          <w:rStyle w:val="8"/>
          <w:rFonts w:hint="eastAsia" w:ascii="黑体" w:hAnsi="黑体" w:eastAsia="黑体"/>
          <w:b w:val="0"/>
          <w:bCs w:val="0"/>
          <w:spacing w:val="-4"/>
          <w:sz w:val="32"/>
          <w:szCs w:val="32"/>
        </w:rPr>
        <w:t>四、评价结论</w:t>
      </w:r>
    </w:p>
    <w:p>
      <w:pPr>
        <w:spacing w:line="600" w:lineRule="exact"/>
        <w:ind w:firstLine="624" w:firstLineChars="200"/>
        <w:rPr>
          <w:rStyle w:val="8"/>
          <w:rFonts w:ascii="仿宋" w:hAnsi="仿宋" w:eastAsia="仿宋" w:cs="仿宋"/>
          <w:b w:val="0"/>
          <w:spacing w:val="-4"/>
          <w:sz w:val="32"/>
          <w:szCs w:val="32"/>
        </w:rPr>
      </w:pPr>
      <w:r>
        <w:rPr>
          <w:rStyle w:val="8"/>
          <w:rFonts w:hint="eastAsia" w:ascii="仿宋" w:hAnsi="仿宋" w:eastAsia="仿宋" w:cs="仿宋"/>
          <w:b w:val="0"/>
          <w:spacing w:val="-4"/>
          <w:sz w:val="32"/>
          <w:szCs w:val="32"/>
        </w:rPr>
        <w:t>本部门严格按照科学公正、统筹兼顾、激励约束、公开透明的绩效评价原则，对本部门预算执行情况、部门单位整体支出管理及使用情况、部门单位整体支出绩效指标完成情况等进行了综合评价。</w:t>
      </w:r>
    </w:p>
    <w:p>
      <w:pPr>
        <w:spacing w:line="600" w:lineRule="exact"/>
        <w:ind w:firstLine="624" w:firstLineChars="200"/>
        <w:rPr>
          <w:rStyle w:val="8"/>
          <w:rFonts w:ascii="仿宋" w:hAnsi="仿宋" w:eastAsia="仿宋" w:cs="仿宋"/>
          <w:b w:val="0"/>
          <w:spacing w:val="-4"/>
          <w:sz w:val="32"/>
          <w:szCs w:val="32"/>
        </w:rPr>
      </w:pPr>
      <w:r>
        <w:rPr>
          <w:rStyle w:val="8"/>
          <w:rFonts w:hint="eastAsia" w:ascii="仿宋" w:hAnsi="仿宋" w:eastAsia="仿宋" w:cs="仿宋"/>
          <w:b w:val="0"/>
          <w:spacing w:val="-4"/>
          <w:sz w:val="32"/>
          <w:szCs w:val="32"/>
        </w:rPr>
        <w:t>2023年度部门整体支出绩效自评综合得分</w:t>
      </w:r>
      <w:r>
        <w:rPr>
          <w:rStyle w:val="8"/>
          <w:rFonts w:ascii="仿宋" w:hAnsi="仿宋" w:eastAsia="仿宋" w:cs="仿宋"/>
          <w:b w:val="0"/>
          <w:spacing w:val="-4"/>
          <w:sz w:val="32"/>
          <w:szCs w:val="32"/>
        </w:rPr>
        <w:t>100</w:t>
      </w:r>
      <w:r>
        <w:rPr>
          <w:rStyle w:val="8"/>
          <w:rFonts w:hint="eastAsia" w:ascii="仿宋" w:hAnsi="仿宋" w:eastAsia="仿宋" w:cs="仿宋"/>
          <w:b w:val="0"/>
          <w:spacing w:val="-4"/>
          <w:sz w:val="32"/>
          <w:szCs w:val="32"/>
        </w:rPr>
        <w:t>分，评价结果为“优”。</w:t>
      </w:r>
    </w:p>
    <w:p>
      <w:pPr>
        <w:pStyle w:val="11"/>
        <w:snapToGrid w:val="0"/>
        <w:spacing w:line="600" w:lineRule="exact"/>
        <w:ind w:firstLine="624"/>
        <w:rPr>
          <w:rStyle w:val="8"/>
          <w:rFonts w:ascii="黑体" w:hAnsi="黑体" w:eastAsia="黑体" w:cs="黑体"/>
          <w:b w:val="0"/>
          <w:bCs w:val="0"/>
          <w:spacing w:val="-4"/>
          <w:sz w:val="32"/>
          <w:szCs w:val="32"/>
        </w:rPr>
      </w:pPr>
      <w:r>
        <w:rPr>
          <w:rStyle w:val="8"/>
          <w:rFonts w:hint="eastAsia" w:ascii="黑体" w:hAnsi="黑体" w:eastAsia="黑体" w:cs="黑体"/>
          <w:b w:val="0"/>
          <w:bCs w:val="0"/>
          <w:spacing w:val="-4"/>
          <w:sz w:val="32"/>
          <w:szCs w:val="32"/>
        </w:rPr>
        <w:t>五、存在的主要问题及原因分析</w:t>
      </w:r>
    </w:p>
    <w:p>
      <w:pPr>
        <w:pStyle w:val="11"/>
        <w:snapToGrid w:val="0"/>
        <w:spacing w:line="600" w:lineRule="exact"/>
        <w:ind w:firstLine="624"/>
        <w:rPr>
          <w:rStyle w:val="8"/>
          <w:rFonts w:ascii="仿宋" w:hAnsi="仿宋" w:eastAsia="仿宋" w:cs="仿宋"/>
          <w:b w:val="0"/>
          <w:spacing w:val="-4"/>
          <w:sz w:val="32"/>
          <w:szCs w:val="32"/>
        </w:rPr>
      </w:pPr>
      <w:r>
        <w:rPr>
          <w:rStyle w:val="8"/>
          <w:rFonts w:hint="eastAsia" w:ascii="仿宋" w:hAnsi="仿宋" w:eastAsia="仿宋" w:cs="仿宋"/>
          <w:b w:val="0"/>
          <w:spacing w:val="-4"/>
          <w:sz w:val="32"/>
          <w:szCs w:val="32"/>
        </w:rPr>
        <w:t>（1）组织与协调能力不足</w:t>
      </w:r>
    </w:p>
    <w:p>
      <w:pPr>
        <w:pStyle w:val="11"/>
        <w:snapToGrid w:val="0"/>
        <w:spacing w:line="600" w:lineRule="exact"/>
        <w:ind w:firstLine="624"/>
        <w:rPr>
          <w:rStyle w:val="8"/>
          <w:rFonts w:ascii="仿宋" w:hAnsi="仿宋" w:eastAsia="仿宋" w:cs="仿宋"/>
          <w:b w:val="0"/>
          <w:spacing w:val="-4"/>
          <w:sz w:val="32"/>
          <w:szCs w:val="32"/>
        </w:rPr>
      </w:pPr>
      <w:r>
        <w:rPr>
          <w:rStyle w:val="8"/>
          <w:rFonts w:hint="eastAsia" w:ascii="仿宋" w:hAnsi="仿宋" w:eastAsia="仿宋" w:cs="仿宋"/>
          <w:b w:val="0"/>
          <w:spacing w:val="-4"/>
          <w:sz w:val="32"/>
          <w:szCs w:val="32"/>
        </w:rPr>
        <w:t>在项目中，有效地组织和协调各个部门或团队显得尤为重要，然而，在许多项目中，组织与协调能力不足导致了执行的困难，由于沟通不畅、决策延误或者团队合作问题等引起的；</w:t>
      </w:r>
    </w:p>
    <w:p>
      <w:pPr>
        <w:pStyle w:val="11"/>
        <w:snapToGrid w:val="0"/>
        <w:spacing w:line="600" w:lineRule="exact"/>
        <w:ind w:firstLine="624"/>
        <w:rPr>
          <w:rStyle w:val="8"/>
          <w:rFonts w:ascii="仿宋" w:hAnsi="仿宋" w:eastAsia="仿宋" w:cs="仿宋"/>
          <w:b w:val="0"/>
          <w:spacing w:val="-4"/>
          <w:sz w:val="32"/>
          <w:szCs w:val="32"/>
        </w:rPr>
      </w:pPr>
      <w:r>
        <w:rPr>
          <w:rStyle w:val="8"/>
          <w:rFonts w:hint="eastAsia" w:ascii="仿宋" w:hAnsi="仿宋" w:eastAsia="仿宋" w:cs="仿宋"/>
          <w:b w:val="0"/>
          <w:spacing w:val="-4"/>
          <w:sz w:val="32"/>
          <w:szCs w:val="32"/>
        </w:rPr>
        <w:t xml:space="preserve">（2）质量管理不到位 </w:t>
      </w:r>
    </w:p>
    <w:p>
      <w:pPr>
        <w:pStyle w:val="11"/>
        <w:snapToGrid w:val="0"/>
        <w:spacing w:line="600" w:lineRule="exact"/>
        <w:ind w:firstLine="624"/>
        <w:rPr>
          <w:rStyle w:val="8"/>
          <w:rFonts w:ascii="仿宋" w:hAnsi="仿宋" w:eastAsia="仿宋" w:cs="仿宋"/>
          <w:b w:val="0"/>
          <w:spacing w:val="-4"/>
          <w:sz w:val="32"/>
          <w:szCs w:val="32"/>
        </w:rPr>
      </w:pPr>
      <w:r>
        <w:rPr>
          <w:rStyle w:val="8"/>
          <w:rFonts w:hint="eastAsia" w:ascii="仿宋" w:hAnsi="仿宋" w:eastAsia="仿宋" w:cs="仿宋"/>
          <w:b w:val="0"/>
          <w:spacing w:val="-4"/>
          <w:sz w:val="32"/>
          <w:szCs w:val="32"/>
        </w:rPr>
        <w:t>项目绩效不仅与进度和成本相关，还与最终交付的质量息息相关，然而在一些项目中，质量管理并没有得到应有的重视，导致了质量问题的出现，这可能是由于缺乏有效的质量控制机制、技术能力不足或者缺乏专业知识等原因造成的。</w:t>
      </w:r>
    </w:p>
    <w:p>
      <w:pPr>
        <w:pStyle w:val="11"/>
        <w:snapToGrid w:val="0"/>
        <w:spacing w:line="600" w:lineRule="exact"/>
        <w:ind w:firstLine="624"/>
        <w:rPr>
          <w:rStyle w:val="8"/>
          <w:rFonts w:ascii="仿宋" w:hAnsi="仿宋" w:eastAsia="仿宋" w:cs="仿宋"/>
          <w:b w:val="0"/>
          <w:spacing w:val="-4"/>
          <w:sz w:val="32"/>
          <w:szCs w:val="32"/>
        </w:rPr>
      </w:pPr>
      <w:r>
        <w:rPr>
          <w:rStyle w:val="8"/>
          <w:rFonts w:hint="eastAsia" w:ascii="仿宋" w:hAnsi="仿宋" w:eastAsia="仿宋" w:cs="仿宋"/>
          <w:b w:val="0"/>
          <w:spacing w:val="-4"/>
          <w:sz w:val="32"/>
          <w:szCs w:val="32"/>
        </w:rPr>
        <w:t>（3）风险管理不完善</w:t>
      </w:r>
    </w:p>
    <w:p>
      <w:pPr>
        <w:pStyle w:val="11"/>
        <w:snapToGrid w:val="0"/>
        <w:spacing w:line="600" w:lineRule="exact"/>
        <w:ind w:firstLine="624"/>
        <w:rPr>
          <w:rStyle w:val="8"/>
          <w:rFonts w:ascii="仿宋" w:hAnsi="仿宋" w:eastAsia="仿宋" w:cs="仿宋"/>
          <w:b w:val="0"/>
          <w:spacing w:val="-4"/>
          <w:sz w:val="32"/>
          <w:szCs w:val="32"/>
        </w:rPr>
      </w:pPr>
      <w:r>
        <w:rPr>
          <w:rStyle w:val="8"/>
          <w:rFonts w:hint="eastAsia" w:ascii="仿宋" w:hAnsi="仿宋" w:eastAsia="仿宋" w:cs="仿宋"/>
          <w:b w:val="0"/>
          <w:spacing w:val="-4"/>
          <w:sz w:val="32"/>
          <w:szCs w:val="32"/>
        </w:rPr>
        <w:t>风险是项目执行过程中必然存在的，然而，在一些项目中，对风险进行预测和管理并没有得到充分重视，缺乏有效的风险评估和规避策略可能会导致项目发生严重的损失和延误。</w:t>
      </w:r>
    </w:p>
    <w:p>
      <w:pPr>
        <w:pStyle w:val="11"/>
        <w:snapToGrid w:val="0"/>
        <w:spacing w:line="600" w:lineRule="exact"/>
        <w:ind w:firstLine="624"/>
        <w:rPr>
          <w:rStyle w:val="8"/>
          <w:rFonts w:ascii="仿宋" w:hAnsi="仿宋" w:eastAsia="仿宋" w:cs="仿宋"/>
          <w:b w:val="0"/>
          <w:spacing w:val="-4"/>
          <w:sz w:val="32"/>
          <w:szCs w:val="32"/>
        </w:rPr>
      </w:pPr>
    </w:p>
    <w:p>
      <w:pPr>
        <w:pStyle w:val="11"/>
        <w:snapToGrid w:val="0"/>
        <w:spacing w:line="600" w:lineRule="exact"/>
        <w:ind w:firstLine="624"/>
        <w:rPr>
          <w:rStyle w:val="8"/>
          <w:rFonts w:ascii="黑体" w:hAnsi="黑体" w:eastAsia="黑体" w:cs="黑体"/>
          <w:b w:val="0"/>
          <w:bCs w:val="0"/>
          <w:spacing w:val="-4"/>
          <w:sz w:val="32"/>
          <w:szCs w:val="32"/>
        </w:rPr>
      </w:pPr>
      <w:r>
        <w:rPr>
          <w:rStyle w:val="8"/>
          <w:rFonts w:hint="eastAsia" w:ascii="黑体" w:hAnsi="黑体" w:eastAsia="黑体" w:cs="黑体"/>
          <w:b w:val="0"/>
          <w:bCs w:val="0"/>
          <w:spacing w:val="-4"/>
          <w:sz w:val="32"/>
          <w:szCs w:val="32"/>
        </w:rPr>
        <w:t>六、改进措施和建议</w:t>
      </w:r>
    </w:p>
    <w:p>
      <w:pPr>
        <w:spacing w:line="360" w:lineRule="auto"/>
        <w:ind w:firstLine="624" w:firstLineChars="200"/>
        <w:jc w:val="left"/>
        <w:rPr>
          <w:rStyle w:val="8"/>
          <w:rFonts w:ascii="仿宋" w:hAnsi="仿宋" w:eastAsia="仿宋" w:cs="仿宋"/>
          <w:b w:val="0"/>
          <w:spacing w:val="-4"/>
          <w:sz w:val="32"/>
          <w:szCs w:val="32"/>
        </w:rPr>
      </w:pPr>
      <w:r>
        <w:rPr>
          <w:rStyle w:val="8"/>
          <w:rFonts w:hint="eastAsia" w:ascii="仿宋" w:hAnsi="仿宋" w:eastAsia="仿宋" w:cs="仿宋"/>
          <w:b w:val="0"/>
          <w:spacing w:val="-4"/>
          <w:sz w:val="32"/>
          <w:szCs w:val="32"/>
        </w:rPr>
        <w:t>（1）预算绩效观念不深入。</w:t>
      </w:r>
    </w:p>
    <w:p>
      <w:pPr>
        <w:pStyle w:val="11"/>
        <w:snapToGrid w:val="0"/>
        <w:spacing w:line="600" w:lineRule="exact"/>
        <w:ind w:firstLine="624"/>
        <w:rPr>
          <w:rStyle w:val="8"/>
          <w:rFonts w:ascii="仿宋" w:hAnsi="仿宋" w:eastAsia="仿宋" w:cs="仿宋"/>
          <w:b w:val="0"/>
          <w:spacing w:val="-4"/>
          <w:sz w:val="32"/>
          <w:szCs w:val="32"/>
        </w:rPr>
      </w:pPr>
      <w:r>
        <w:rPr>
          <w:rStyle w:val="8"/>
          <w:rFonts w:hint="eastAsia" w:ascii="仿宋" w:hAnsi="仿宋" w:eastAsia="仿宋" w:cs="仿宋"/>
          <w:b w:val="0"/>
          <w:spacing w:val="-4"/>
          <w:sz w:val="32"/>
          <w:szCs w:val="32"/>
        </w:rPr>
        <w:t>在日常绩效监控工作中存在着一定程度的“重分配、轻管理、重支出、轻绩效”的情况，造成该问题的主要原因是自身绩效理念较薄弱，单位绩效目标编制仍有缺失，需要进一步加强对资金绩效管理的重视程度。</w:t>
      </w:r>
    </w:p>
    <w:p>
      <w:pPr>
        <w:pStyle w:val="11"/>
        <w:snapToGrid w:val="0"/>
        <w:spacing w:line="600" w:lineRule="exact"/>
        <w:ind w:firstLine="624"/>
        <w:rPr>
          <w:rStyle w:val="8"/>
          <w:rFonts w:ascii="仿宋" w:hAnsi="仿宋" w:eastAsia="仿宋" w:cs="仿宋"/>
          <w:b w:val="0"/>
          <w:spacing w:val="-4"/>
          <w:sz w:val="32"/>
          <w:szCs w:val="32"/>
        </w:rPr>
      </w:pPr>
      <w:r>
        <w:rPr>
          <w:rStyle w:val="8"/>
          <w:rFonts w:hint="eastAsia" w:ascii="仿宋" w:hAnsi="仿宋" w:eastAsia="仿宋" w:cs="仿宋"/>
          <w:b w:val="0"/>
          <w:spacing w:val="-4"/>
          <w:sz w:val="32"/>
          <w:szCs w:val="32"/>
        </w:rPr>
        <w:t>（2）预算绩效规范管理有盲点。</w:t>
      </w:r>
    </w:p>
    <w:p>
      <w:pPr>
        <w:pStyle w:val="11"/>
        <w:snapToGrid w:val="0"/>
        <w:spacing w:line="600" w:lineRule="exact"/>
        <w:ind w:firstLine="624"/>
        <w:rPr>
          <w:rStyle w:val="8"/>
          <w:rFonts w:ascii="仿宋" w:hAnsi="仿宋" w:eastAsia="仿宋" w:cs="仿宋"/>
          <w:b w:val="0"/>
          <w:spacing w:val="-4"/>
          <w:sz w:val="32"/>
          <w:szCs w:val="32"/>
        </w:rPr>
      </w:pPr>
      <w:r>
        <w:rPr>
          <w:rStyle w:val="8"/>
          <w:rFonts w:hint="eastAsia" w:ascii="仿宋" w:hAnsi="仿宋" w:eastAsia="仿宋" w:cs="仿宋"/>
          <w:b w:val="0"/>
          <w:spacing w:val="-4"/>
          <w:sz w:val="32"/>
          <w:szCs w:val="32"/>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pPr>
        <w:pStyle w:val="11"/>
        <w:snapToGrid w:val="0"/>
        <w:spacing w:line="600" w:lineRule="exact"/>
        <w:ind w:firstLine="624"/>
        <w:rPr>
          <w:rStyle w:val="8"/>
          <w:rFonts w:ascii="黑体" w:hAnsi="黑体" w:eastAsia="黑体" w:cs="黑体"/>
          <w:b w:val="0"/>
          <w:bCs w:val="0"/>
          <w:spacing w:val="-4"/>
          <w:sz w:val="32"/>
          <w:szCs w:val="32"/>
        </w:rPr>
      </w:pPr>
      <w:r>
        <w:rPr>
          <w:rStyle w:val="8"/>
          <w:rFonts w:hint="eastAsia" w:ascii="黑体" w:hAnsi="黑体" w:eastAsia="黑体" w:cs="黑体"/>
          <w:b w:val="0"/>
          <w:bCs w:val="0"/>
          <w:spacing w:val="-4"/>
          <w:sz w:val="32"/>
          <w:szCs w:val="32"/>
        </w:rPr>
        <w:t>七、附表：《部门整体支出绩效自评表》</w:t>
      </w:r>
    </w:p>
    <w:sectPr>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44DA022-BA36-4C72-850C-76F6ECDFB32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embedRegular r:id="rId2" w:fontKey="{F68AF0AD-1A0B-461A-BEF0-CAB762B787FF}"/>
  </w:font>
  <w:font w:name="仿宋_GB2312">
    <w:altName w:val="仿宋"/>
    <w:panose1 w:val="00000000000000000000"/>
    <w:charset w:val="86"/>
    <w:family w:val="modern"/>
    <w:pitch w:val="default"/>
    <w:sig w:usb0="00000000" w:usb1="00000000" w:usb2="00000000" w:usb3="00000000" w:csb0="00040000" w:csb1="00000000"/>
    <w:embedRegular r:id="rId3" w:fontKey="{3271EDC1-AEF0-44F4-B024-5A8C3C6C8198}"/>
  </w:font>
  <w:font w:name="楷体">
    <w:panose1 w:val="02010609060101010101"/>
    <w:charset w:val="86"/>
    <w:family w:val="modern"/>
    <w:pitch w:val="default"/>
    <w:sig w:usb0="800002BF" w:usb1="38CF7CFA" w:usb2="00000016" w:usb3="00000000" w:csb0="00040001" w:csb1="00000000"/>
    <w:embedRegular r:id="rId4" w:fontKey="{E0EDD8F5-0B53-480C-A169-1302677D24F2}"/>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VkM2Y3OTk4YWJkMTlhY2M0M2NiNzUzNWU4NjU4YjYifQ=="/>
    <w:docVar w:name="KSO_WPS_MARK_KEY" w:val="40e95650-004b-4697-ae2b-25bffeeac740"/>
  </w:docVars>
  <w:rsids>
    <w:rsidRoot w:val="00633862"/>
    <w:rsid w:val="000971D6"/>
    <w:rsid w:val="000D12F4"/>
    <w:rsid w:val="000D3AFA"/>
    <w:rsid w:val="00145C68"/>
    <w:rsid w:val="00191BA3"/>
    <w:rsid w:val="001B6536"/>
    <w:rsid w:val="001D607C"/>
    <w:rsid w:val="0022744B"/>
    <w:rsid w:val="0026461F"/>
    <w:rsid w:val="002D7900"/>
    <w:rsid w:val="003073B9"/>
    <w:rsid w:val="00341333"/>
    <w:rsid w:val="003602C8"/>
    <w:rsid w:val="003A5ADA"/>
    <w:rsid w:val="003B2A51"/>
    <w:rsid w:val="003E4E70"/>
    <w:rsid w:val="004E3989"/>
    <w:rsid w:val="005B1250"/>
    <w:rsid w:val="005D1220"/>
    <w:rsid w:val="005E2E70"/>
    <w:rsid w:val="00633862"/>
    <w:rsid w:val="00676817"/>
    <w:rsid w:val="006C5BED"/>
    <w:rsid w:val="00702D4A"/>
    <w:rsid w:val="007115C8"/>
    <w:rsid w:val="00724B42"/>
    <w:rsid w:val="00766AAC"/>
    <w:rsid w:val="007A0BB6"/>
    <w:rsid w:val="007A1A03"/>
    <w:rsid w:val="007B0BFA"/>
    <w:rsid w:val="008463E0"/>
    <w:rsid w:val="008635E8"/>
    <w:rsid w:val="00867FFD"/>
    <w:rsid w:val="0097614B"/>
    <w:rsid w:val="009D6C56"/>
    <w:rsid w:val="00AA5126"/>
    <w:rsid w:val="00AD16CD"/>
    <w:rsid w:val="00C600C5"/>
    <w:rsid w:val="00C976A3"/>
    <w:rsid w:val="00CC47C0"/>
    <w:rsid w:val="00CD2F35"/>
    <w:rsid w:val="00D43131"/>
    <w:rsid w:val="00D61448"/>
    <w:rsid w:val="00D86502"/>
    <w:rsid w:val="00DB1085"/>
    <w:rsid w:val="00DF7DFC"/>
    <w:rsid w:val="00E35EA6"/>
    <w:rsid w:val="00E55325"/>
    <w:rsid w:val="00E63BF5"/>
    <w:rsid w:val="00EA14FA"/>
    <w:rsid w:val="00ED4612"/>
    <w:rsid w:val="00EE7D1C"/>
    <w:rsid w:val="00F50C9D"/>
    <w:rsid w:val="00F84215"/>
    <w:rsid w:val="00FB00E2"/>
    <w:rsid w:val="010E0C0C"/>
    <w:rsid w:val="016D0077"/>
    <w:rsid w:val="02355837"/>
    <w:rsid w:val="023B0973"/>
    <w:rsid w:val="02610413"/>
    <w:rsid w:val="02F163A2"/>
    <w:rsid w:val="02FE786C"/>
    <w:rsid w:val="03341650"/>
    <w:rsid w:val="036F2FCB"/>
    <w:rsid w:val="03B2599D"/>
    <w:rsid w:val="043C5F8E"/>
    <w:rsid w:val="049941F3"/>
    <w:rsid w:val="04A60F90"/>
    <w:rsid w:val="04D2103C"/>
    <w:rsid w:val="04D550AF"/>
    <w:rsid w:val="05C72C4A"/>
    <w:rsid w:val="06B83B39"/>
    <w:rsid w:val="06DE29E2"/>
    <w:rsid w:val="071579E5"/>
    <w:rsid w:val="0764271A"/>
    <w:rsid w:val="07702E6D"/>
    <w:rsid w:val="07A86AAB"/>
    <w:rsid w:val="07C65825"/>
    <w:rsid w:val="08065580"/>
    <w:rsid w:val="08B60D54"/>
    <w:rsid w:val="09067414"/>
    <w:rsid w:val="09170A81"/>
    <w:rsid w:val="0AC27E84"/>
    <w:rsid w:val="0B0F5B25"/>
    <w:rsid w:val="0B424B21"/>
    <w:rsid w:val="0BD256C9"/>
    <w:rsid w:val="0C112E71"/>
    <w:rsid w:val="0C5701CA"/>
    <w:rsid w:val="0D3F0613"/>
    <w:rsid w:val="0D617282"/>
    <w:rsid w:val="0F661726"/>
    <w:rsid w:val="0F772EC6"/>
    <w:rsid w:val="0F877334"/>
    <w:rsid w:val="10182B28"/>
    <w:rsid w:val="109160DD"/>
    <w:rsid w:val="10947BCD"/>
    <w:rsid w:val="114B3E5E"/>
    <w:rsid w:val="115E3FEE"/>
    <w:rsid w:val="116B384E"/>
    <w:rsid w:val="11DD16C8"/>
    <w:rsid w:val="127A77C1"/>
    <w:rsid w:val="130A20A3"/>
    <w:rsid w:val="13352CE1"/>
    <w:rsid w:val="13E07D60"/>
    <w:rsid w:val="150177FB"/>
    <w:rsid w:val="15875F52"/>
    <w:rsid w:val="15B73666"/>
    <w:rsid w:val="15C42D02"/>
    <w:rsid w:val="168A2EA6"/>
    <w:rsid w:val="17D5194F"/>
    <w:rsid w:val="180A4FDB"/>
    <w:rsid w:val="1840056E"/>
    <w:rsid w:val="192177D8"/>
    <w:rsid w:val="196A001E"/>
    <w:rsid w:val="198331C0"/>
    <w:rsid w:val="19AD1CFF"/>
    <w:rsid w:val="19C92FDD"/>
    <w:rsid w:val="19DB061A"/>
    <w:rsid w:val="19E576EB"/>
    <w:rsid w:val="19FF664E"/>
    <w:rsid w:val="1A091F78"/>
    <w:rsid w:val="1A6D6D72"/>
    <w:rsid w:val="1AEB4D61"/>
    <w:rsid w:val="1C230AC0"/>
    <w:rsid w:val="1C615CEF"/>
    <w:rsid w:val="1CDA72AF"/>
    <w:rsid w:val="1D632B53"/>
    <w:rsid w:val="1D7602A9"/>
    <w:rsid w:val="1DC83D3D"/>
    <w:rsid w:val="1E613949"/>
    <w:rsid w:val="1EAE0073"/>
    <w:rsid w:val="1F195A2C"/>
    <w:rsid w:val="205102FB"/>
    <w:rsid w:val="20762FC4"/>
    <w:rsid w:val="212C60E2"/>
    <w:rsid w:val="21DB6E7F"/>
    <w:rsid w:val="21DE15EF"/>
    <w:rsid w:val="224020DE"/>
    <w:rsid w:val="23021A8B"/>
    <w:rsid w:val="2320540D"/>
    <w:rsid w:val="23254B60"/>
    <w:rsid w:val="236E0539"/>
    <w:rsid w:val="23E6478B"/>
    <w:rsid w:val="2422471A"/>
    <w:rsid w:val="24A85EE5"/>
    <w:rsid w:val="24DB72C2"/>
    <w:rsid w:val="25983863"/>
    <w:rsid w:val="263962DE"/>
    <w:rsid w:val="276460F3"/>
    <w:rsid w:val="27660FAF"/>
    <w:rsid w:val="277166D1"/>
    <w:rsid w:val="277B4318"/>
    <w:rsid w:val="27B7194D"/>
    <w:rsid w:val="27E37B45"/>
    <w:rsid w:val="280600C8"/>
    <w:rsid w:val="28081174"/>
    <w:rsid w:val="28481571"/>
    <w:rsid w:val="28722F64"/>
    <w:rsid w:val="289B5D70"/>
    <w:rsid w:val="290A1EBC"/>
    <w:rsid w:val="296B40D0"/>
    <w:rsid w:val="29980ADF"/>
    <w:rsid w:val="29B460DC"/>
    <w:rsid w:val="29D532D8"/>
    <w:rsid w:val="29E74DB9"/>
    <w:rsid w:val="2A0B6FEB"/>
    <w:rsid w:val="2A2A3694"/>
    <w:rsid w:val="2A6B1740"/>
    <w:rsid w:val="2AB71864"/>
    <w:rsid w:val="2AD30362"/>
    <w:rsid w:val="2B161A0E"/>
    <w:rsid w:val="2B1D67DB"/>
    <w:rsid w:val="2B2D4A4E"/>
    <w:rsid w:val="2BCA3DF7"/>
    <w:rsid w:val="2BFA5278"/>
    <w:rsid w:val="2C3F44FD"/>
    <w:rsid w:val="2C8903AA"/>
    <w:rsid w:val="2CD01740"/>
    <w:rsid w:val="2CD86C3B"/>
    <w:rsid w:val="2CE43832"/>
    <w:rsid w:val="2DAA6B58"/>
    <w:rsid w:val="2DB034FA"/>
    <w:rsid w:val="2E4A4A48"/>
    <w:rsid w:val="2F57478F"/>
    <w:rsid w:val="2F8715FA"/>
    <w:rsid w:val="2FB43990"/>
    <w:rsid w:val="2FC040E2"/>
    <w:rsid w:val="30143D58"/>
    <w:rsid w:val="30240D0F"/>
    <w:rsid w:val="308158E7"/>
    <w:rsid w:val="309817B5"/>
    <w:rsid w:val="30A86679"/>
    <w:rsid w:val="31505F30"/>
    <w:rsid w:val="3177520D"/>
    <w:rsid w:val="31C7249B"/>
    <w:rsid w:val="31FB7654"/>
    <w:rsid w:val="32565D7D"/>
    <w:rsid w:val="32B40F69"/>
    <w:rsid w:val="336E47B8"/>
    <w:rsid w:val="337D2302"/>
    <w:rsid w:val="33935522"/>
    <w:rsid w:val="33DE0EF4"/>
    <w:rsid w:val="3416678C"/>
    <w:rsid w:val="34486A39"/>
    <w:rsid w:val="34C13400"/>
    <w:rsid w:val="34D34F1A"/>
    <w:rsid w:val="34DF14AF"/>
    <w:rsid w:val="34F32864"/>
    <w:rsid w:val="35386E11"/>
    <w:rsid w:val="35612ABD"/>
    <w:rsid w:val="375B2943"/>
    <w:rsid w:val="38086A4E"/>
    <w:rsid w:val="38C32119"/>
    <w:rsid w:val="38EE054F"/>
    <w:rsid w:val="39440A0C"/>
    <w:rsid w:val="398443D3"/>
    <w:rsid w:val="398C3287"/>
    <w:rsid w:val="39A60AF6"/>
    <w:rsid w:val="3AA12D62"/>
    <w:rsid w:val="3B2319C9"/>
    <w:rsid w:val="3B5D5890"/>
    <w:rsid w:val="3BA6683D"/>
    <w:rsid w:val="3BC431AC"/>
    <w:rsid w:val="3C012639"/>
    <w:rsid w:val="3DA52B6A"/>
    <w:rsid w:val="3E833FCF"/>
    <w:rsid w:val="3EE3321B"/>
    <w:rsid w:val="3EE93EED"/>
    <w:rsid w:val="3F177A97"/>
    <w:rsid w:val="3FF57BF1"/>
    <w:rsid w:val="41590DEA"/>
    <w:rsid w:val="416C231C"/>
    <w:rsid w:val="41C31810"/>
    <w:rsid w:val="41D659E7"/>
    <w:rsid w:val="428A15BF"/>
    <w:rsid w:val="42BB7663"/>
    <w:rsid w:val="432A3936"/>
    <w:rsid w:val="434765EB"/>
    <w:rsid w:val="43A3164E"/>
    <w:rsid w:val="43C43532"/>
    <w:rsid w:val="43F77637"/>
    <w:rsid w:val="44332E1A"/>
    <w:rsid w:val="44692B43"/>
    <w:rsid w:val="44BF2CE3"/>
    <w:rsid w:val="44BF6C07"/>
    <w:rsid w:val="462C7B1B"/>
    <w:rsid w:val="46733805"/>
    <w:rsid w:val="46BF2EEE"/>
    <w:rsid w:val="47013FF5"/>
    <w:rsid w:val="484A2C8B"/>
    <w:rsid w:val="48500FEB"/>
    <w:rsid w:val="48A64365"/>
    <w:rsid w:val="48FD7CFE"/>
    <w:rsid w:val="49284D7B"/>
    <w:rsid w:val="49487285"/>
    <w:rsid w:val="49543DC1"/>
    <w:rsid w:val="4A0F39E7"/>
    <w:rsid w:val="4A6E0EB3"/>
    <w:rsid w:val="4B364032"/>
    <w:rsid w:val="4B3B68BB"/>
    <w:rsid w:val="4B443785"/>
    <w:rsid w:val="4B537C75"/>
    <w:rsid w:val="4BE53646"/>
    <w:rsid w:val="4C431ECB"/>
    <w:rsid w:val="4CC33C9F"/>
    <w:rsid w:val="4E760D0B"/>
    <w:rsid w:val="4E8F65E3"/>
    <w:rsid w:val="4EC80245"/>
    <w:rsid w:val="4ED65AC3"/>
    <w:rsid w:val="4F245FE4"/>
    <w:rsid w:val="4F596A69"/>
    <w:rsid w:val="50063DD3"/>
    <w:rsid w:val="504133D8"/>
    <w:rsid w:val="505863A4"/>
    <w:rsid w:val="50591CBD"/>
    <w:rsid w:val="50A240F7"/>
    <w:rsid w:val="512A18AC"/>
    <w:rsid w:val="51971C1E"/>
    <w:rsid w:val="51FF2E33"/>
    <w:rsid w:val="525877BC"/>
    <w:rsid w:val="5272504D"/>
    <w:rsid w:val="52B94C95"/>
    <w:rsid w:val="52CA50F4"/>
    <w:rsid w:val="543D24BF"/>
    <w:rsid w:val="54556C40"/>
    <w:rsid w:val="548754B8"/>
    <w:rsid w:val="54CA318A"/>
    <w:rsid w:val="55517AB0"/>
    <w:rsid w:val="57090374"/>
    <w:rsid w:val="57192BB8"/>
    <w:rsid w:val="5734671F"/>
    <w:rsid w:val="57423EBA"/>
    <w:rsid w:val="57813298"/>
    <w:rsid w:val="57AE7CE9"/>
    <w:rsid w:val="57BB500C"/>
    <w:rsid w:val="58753EBA"/>
    <w:rsid w:val="58E426FC"/>
    <w:rsid w:val="58FC3B2E"/>
    <w:rsid w:val="59063548"/>
    <w:rsid w:val="5A6776CD"/>
    <w:rsid w:val="5ADD1E8F"/>
    <w:rsid w:val="5AE6303A"/>
    <w:rsid w:val="5B155A7C"/>
    <w:rsid w:val="5B442B97"/>
    <w:rsid w:val="5B745BFD"/>
    <w:rsid w:val="5B977B3E"/>
    <w:rsid w:val="5C5B0B6B"/>
    <w:rsid w:val="5CB643E4"/>
    <w:rsid w:val="5D8D11F8"/>
    <w:rsid w:val="5E2D5305"/>
    <w:rsid w:val="5E9465B6"/>
    <w:rsid w:val="5F1D65AC"/>
    <w:rsid w:val="5F230066"/>
    <w:rsid w:val="5F41229A"/>
    <w:rsid w:val="5F814D8D"/>
    <w:rsid w:val="5FA47678"/>
    <w:rsid w:val="5FE455B0"/>
    <w:rsid w:val="60504E56"/>
    <w:rsid w:val="60535261"/>
    <w:rsid w:val="627A5057"/>
    <w:rsid w:val="62A033DD"/>
    <w:rsid w:val="62B113CD"/>
    <w:rsid w:val="62D376AD"/>
    <w:rsid w:val="63002758"/>
    <w:rsid w:val="63886101"/>
    <w:rsid w:val="63AB062A"/>
    <w:rsid w:val="63E072F9"/>
    <w:rsid w:val="63E738F2"/>
    <w:rsid w:val="648B2856"/>
    <w:rsid w:val="64AD2180"/>
    <w:rsid w:val="64F46001"/>
    <w:rsid w:val="658E5B0E"/>
    <w:rsid w:val="65D86017"/>
    <w:rsid w:val="65E6594A"/>
    <w:rsid w:val="660E1EAC"/>
    <w:rsid w:val="661600DA"/>
    <w:rsid w:val="66DF5346"/>
    <w:rsid w:val="66E14AAB"/>
    <w:rsid w:val="6736630B"/>
    <w:rsid w:val="67694A84"/>
    <w:rsid w:val="67EE0E11"/>
    <w:rsid w:val="68B00491"/>
    <w:rsid w:val="68DF3109"/>
    <w:rsid w:val="693F2885"/>
    <w:rsid w:val="699F5DE9"/>
    <w:rsid w:val="6A9776F8"/>
    <w:rsid w:val="6AAF0A00"/>
    <w:rsid w:val="6AEF34F2"/>
    <w:rsid w:val="6B234F4A"/>
    <w:rsid w:val="6C2076DB"/>
    <w:rsid w:val="6C5F0204"/>
    <w:rsid w:val="6C69186D"/>
    <w:rsid w:val="6C7D443F"/>
    <w:rsid w:val="6C8851EE"/>
    <w:rsid w:val="6CA34594"/>
    <w:rsid w:val="6CCF1622"/>
    <w:rsid w:val="6CE7035E"/>
    <w:rsid w:val="6DB1246A"/>
    <w:rsid w:val="6EAE5472"/>
    <w:rsid w:val="6F045092"/>
    <w:rsid w:val="702F5608"/>
    <w:rsid w:val="708F2CC4"/>
    <w:rsid w:val="709444F0"/>
    <w:rsid w:val="71182116"/>
    <w:rsid w:val="71205936"/>
    <w:rsid w:val="71477CCB"/>
    <w:rsid w:val="7178018F"/>
    <w:rsid w:val="718D5813"/>
    <w:rsid w:val="71BA40BB"/>
    <w:rsid w:val="71CD052F"/>
    <w:rsid w:val="72785B7B"/>
    <w:rsid w:val="73740A39"/>
    <w:rsid w:val="73D43285"/>
    <w:rsid w:val="742B746E"/>
    <w:rsid w:val="74736F42"/>
    <w:rsid w:val="74CA7F29"/>
    <w:rsid w:val="752B1D3E"/>
    <w:rsid w:val="75913D16"/>
    <w:rsid w:val="763C0048"/>
    <w:rsid w:val="763D7808"/>
    <w:rsid w:val="77135965"/>
    <w:rsid w:val="77262B54"/>
    <w:rsid w:val="772D4414"/>
    <w:rsid w:val="773A5C43"/>
    <w:rsid w:val="775947BB"/>
    <w:rsid w:val="77AD276B"/>
    <w:rsid w:val="77B87094"/>
    <w:rsid w:val="77C96E08"/>
    <w:rsid w:val="78E27C50"/>
    <w:rsid w:val="79500F4C"/>
    <w:rsid w:val="7986195D"/>
    <w:rsid w:val="79E005EE"/>
    <w:rsid w:val="7A044DC4"/>
    <w:rsid w:val="7A865511"/>
    <w:rsid w:val="7AA20E97"/>
    <w:rsid w:val="7AAA4D40"/>
    <w:rsid w:val="7ABC4A73"/>
    <w:rsid w:val="7AC10876"/>
    <w:rsid w:val="7B2F16E9"/>
    <w:rsid w:val="7B334ED0"/>
    <w:rsid w:val="7C4B6886"/>
    <w:rsid w:val="7C71236F"/>
    <w:rsid w:val="7C7B25BC"/>
    <w:rsid w:val="7C8D2B6B"/>
    <w:rsid w:val="7D360B0D"/>
    <w:rsid w:val="7D55069E"/>
    <w:rsid w:val="7D670C49"/>
    <w:rsid w:val="7D711B45"/>
    <w:rsid w:val="7E5F5E41"/>
    <w:rsid w:val="7E78432D"/>
    <w:rsid w:val="7E8E02D3"/>
    <w:rsid w:val="7EA902C5"/>
    <w:rsid w:val="7EAA3560"/>
    <w:rsid w:val="7EB02B41"/>
    <w:rsid w:val="7ECF553C"/>
    <w:rsid w:val="7EF10E29"/>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line="560" w:lineRule="exact"/>
      <w:outlineLvl w:val="2"/>
    </w:pPr>
    <w:rPr>
      <w:b/>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character" w:styleId="8">
    <w:name w:val="Strong"/>
    <w:basedOn w:val="7"/>
    <w:qFormat/>
    <w:uiPriority w:val="0"/>
    <w:rPr>
      <w:b/>
      <w:bCs/>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766</Words>
  <Characters>4367</Characters>
  <Lines>36</Lines>
  <Paragraphs>10</Paragraphs>
  <TotalTime>1</TotalTime>
  <ScaleCrop>false</ScaleCrop>
  <LinksUpToDate>false</LinksUpToDate>
  <CharactersWithSpaces>5123</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2024-08-21T08:24:00Z</dcterms:created>
  <dc:creator>jc</dc:creator>
  <cp:lastModifiedBy>Administrator</cp:lastModifiedBy>
  <cp:lastPrinted>2024-03-04T11:32:00Z</cp:lastPrinted>
  <dcterms:modified xsi:type="dcterms:W3CDTF">2024-12-02T03:43:19Z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AA31C5B87E84454680B9413E030FB00D_13</vt:lpwstr>
  </property>
</Properties>
</file>