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库尔勒市红十字会</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hAnsi="仿宋" w:eastAsia="仿宋_GB2312"/>
          <w:sz w:val="32"/>
          <w:szCs w:val="32"/>
        </w:rPr>
      </w:pPr>
      <w:bookmarkStart w:id="4" w:name="_Toc31238"/>
      <w:bookmarkStart w:id="5" w:name="_Toc2151"/>
      <w:r>
        <w:rPr>
          <w:rFonts w:hint="eastAsia" w:ascii="仿宋_GB2312" w:hAnsi="仿宋" w:eastAsia="仿宋_GB2312"/>
          <w:sz w:val="32"/>
          <w:szCs w:val="32"/>
          <w:lang w:val="en-US" w:eastAsia="zh-CN"/>
        </w:rPr>
        <w:t>宣传、贯彻、落实《中华人民共和国红十字会法》和中国红十字会总会制定的各项工作方针、政策。研究制定全市红十字会工作标准和实施方案，并组织实施。开展救灾准备工作，组织社会开展募捐，接受国内外援助，监督救灾款物的使用。开展人道领域内的社会服务和社会公益活动；组织开展群众性的初级卫生救护训练和现场急救；参与推动无偿献血和非血缘关系骨髓移植供者的动员、宣传、组织和供髓者资料数据的储存、检索工作。组织红十字青少年开展社会精神文明和弘扬人道主义活动。向社会宣传红十字会与红新月运动确立的基本原则、日内瓦公约及附加议定书各项法律法规。依照国际红十字会与红新月运动的七项基本原则和日内瓦公约及其附加议定的有关规定开展工作，通过中国红十字会建立关系，开展人道主义方面和技术交流与合作。协助政府开展对台工作，促进海峡两岸红十字会组织的宣传与合作。承办市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库尔勒市红十字会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黑体" w:eastAsia="仿宋_GB2312" w:cs="宋体"/>
          <w:bCs/>
          <w:color w:val="auto"/>
          <w:kern w:val="0"/>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我单位</w:t>
      </w:r>
      <w:r>
        <w:rPr>
          <w:rFonts w:hint="eastAsia" w:ascii="仿宋_GB2312" w:hAnsi="黑体" w:eastAsia="仿宋_GB2312" w:cs="宋体"/>
          <w:bCs/>
          <w:color w:val="auto"/>
          <w:kern w:val="0"/>
          <w:sz w:val="32"/>
          <w:szCs w:val="32"/>
          <w:highlight w:val="none"/>
        </w:rPr>
        <w:t>无下属单位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下 设 1 个处室，分别是：办公室。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77.53万元，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77.53万元，使用非财政拨款结余0.00万元，年初结转和结余0.00万元。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77.53万元，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77.53万元，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增加7.99万元</w:t>
      </w:r>
      <w:r>
        <w:rPr>
          <w:rFonts w:hint="eastAsia" w:ascii="仿宋_GB2312" w:eastAsia="仿宋_GB2312"/>
          <w:color w:val="auto"/>
          <w:spacing w:val="0"/>
          <w:sz w:val="32"/>
          <w:szCs w:val="32"/>
          <w:highlight w:val="none"/>
          <w:lang w:eastAsia="zh-CN"/>
        </w:rPr>
        <w:t>，增长11.48%，主要原因是：本年度因业务工作需要，增加了应急救护培训授课费和教具采购经费。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77.53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77.53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本年支出77.53万元，其中：基本支出77.53万元，占100.00%；项目支出0.00万元，占0.00%；上缴上级支出0.00万元，占0.00%；经营支出0.00万元，占0.00%；对附属单位补助支出0.00万元，占0.00%。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增长11.48%,</w:t>
      </w:r>
      <w:r>
        <w:rPr>
          <w:rFonts w:hint="eastAsia" w:ascii="仿宋_GB2312" w:eastAsia="仿宋_GB2312"/>
          <w:color w:val="auto"/>
          <w:spacing w:val="0"/>
          <w:sz w:val="32"/>
          <w:szCs w:val="32"/>
          <w:highlight w:val="none"/>
          <w:lang w:eastAsia="zh-CN"/>
        </w:rPr>
        <w:t>主要原因是：本年度因业务工作需要，增加了应急救护培训授课费和教具采购经费。与年初预算相比，年初预算数</w:t>
      </w:r>
      <w:r>
        <w:rPr>
          <w:rFonts w:hint="eastAsia" w:ascii="仿宋_GB2312" w:eastAsia="仿宋_GB2312"/>
          <w:color w:val="auto"/>
          <w:spacing w:val="0"/>
          <w:sz w:val="32"/>
          <w:szCs w:val="32"/>
          <w:highlight w:val="none"/>
          <w:lang w:val="zh-CN" w:eastAsia="zh-CN"/>
        </w:rPr>
        <w:t>75.04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万元，预决算差异率3.32%，主要原因是：本年度因业务工作需要，增加了应急救护培训授课费和教具采购经费。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2023年度一般公共预算财政拨款支出77.53万元，占本年支出合计的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增长11.48%,</w:t>
      </w:r>
      <w:r>
        <w:rPr>
          <w:rFonts w:hint="eastAsia" w:ascii="仿宋_GB2312" w:eastAsia="仿宋_GB2312"/>
          <w:color w:val="auto"/>
          <w:spacing w:val="0"/>
          <w:sz w:val="32"/>
          <w:szCs w:val="32"/>
          <w:highlight w:val="none"/>
          <w:lang w:eastAsia="zh-CN"/>
        </w:rPr>
        <w:t>主要原因是：本年度因业务工作需要，增加了应急救护培训授课费和教具采购经费。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75.04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77.53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3.32%</w:t>
      </w:r>
      <w:r>
        <w:rPr>
          <w:rFonts w:hint="eastAsia" w:ascii="仿宋_GB2312" w:eastAsia="仿宋_GB2312"/>
          <w:color w:val="auto"/>
          <w:spacing w:val="0"/>
          <w:sz w:val="32"/>
          <w:szCs w:val="32"/>
          <w:highlight w:val="none"/>
          <w:lang w:eastAsia="zh-CN"/>
        </w:rPr>
        <w:t>，主要原因是：本年度因业务工作需要，增加了应急救护培训授课费和教具采购经费。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68.32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88.12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13.66%，主要原因是：</w:t>
      </w:r>
      <w:r>
        <w:rPr>
          <w:rFonts w:hint="eastAsia" w:ascii="Times New Roman" w:hAnsi="Times New Roman" w:eastAsia="仿宋_GB2312" w:cs="Times New Roman"/>
          <w:color w:val="auto"/>
          <w:kern w:val="2"/>
          <w:sz w:val="32"/>
          <w:szCs w:val="32"/>
          <w:highlight w:val="none"/>
          <w:lang w:val="zh-CN" w:eastAsia="zh-CN" w:bidi="ar-SA"/>
        </w:rPr>
        <w:t>本年度因业务工作需要，培训费用增加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194.00%，主要原因是：</w:t>
      </w:r>
      <w:r>
        <w:rPr>
          <w:rFonts w:hint="eastAsia" w:ascii="Times New Roman" w:hAnsi="Times New Roman" w:eastAsia="仿宋_GB2312" w:cs="Times New Roman"/>
          <w:color w:val="auto"/>
          <w:kern w:val="2"/>
          <w:sz w:val="32"/>
          <w:szCs w:val="32"/>
          <w:highlight w:val="none"/>
          <w:lang w:val="zh-CN" w:eastAsia="zh-CN" w:bidi="ar-SA"/>
        </w:rPr>
        <w:t>因本年度工资调整，社保、医保、公积金缴费基数增加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.社会保障和就业支出（类）行政事业单位养老支出（款）机关事业单位基本养老保险缴费支出（项）:支出决算数为5.60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3.01%，主要原因是：</w:t>
      </w:r>
      <w:r>
        <w:rPr>
          <w:rFonts w:hint="eastAsia" w:ascii="Times New Roman" w:hAnsi="Times New Roman" w:eastAsia="仿宋_GB2312" w:cs="Times New Roman"/>
          <w:color w:val="auto"/>
          <w:kern w:val="2"/>
          <w:sz w:val="32"/>
          <w:szCs w:val="32"/>
          <w:highlight w:val="none"/>
          <w:lang w:val="zh-CN" w:eastAsia="zh-CN" w:bidi="ar-SA"/>
        </w:rPr>
        <w:t>因本年度工资调整，社保、医保、公积金缴费基数增加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.社会保障和就业支出（类）行政事业单位养老支出（款）机关事业单位职业年金缴费支出（项）:支出决算数为5.57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227.29%，主要原因是：本年新增退休人员 1人，导致职业年金缴费支出增</w:t>
      </w:r>
      <w:r>
        <w:rPr>
          <w:rFonts w:hint="eastAsia" w:eastAsia="仿宋_GB2312" w:cs="Times New Roman"/>
          <w:color w:val="auto"/>
          <w:kern w:val="2"/>
          <w:sz w:val="32"/>
          <w:szCs w:val="32"/>
          <w:highlight w:val="none"/>
          <w:lang w:val="en-US" w:eastAsia="zh-CN" w:bidi="ar-SA"/>
        </w:rPr>
        <w:t>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0.50%，主要原因是：</w:t>
      </w:r>
      <w:r>
        <w:rPr>
          <w:rFonts w:hint="eastAsia" w:eastAsia="仿宋_GB2312" w:cs="Times New Roman"/>
          <w:color w:val="auto"/>
          <w:kern w:val="2"/>
          <w:sz w:val="32"/>
          <w:szCs w:val="32"/>
          <w:highlight w:val="none"/>
          <w:lang w:val="en-US" w:eastAsia="zh-CN" w:bidi="ar-SA"/>
        </w:rPr>
        <w:t>公益性岗位社保缴费与扣款不一致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6.社会保障和就业支出（类）红十字事业（款）行政运行（项）:支出决算数为52.72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6.54%，主要原因是：</w:t>
      </w:r>
      <w:r>
        <w:rPr>
          <w:rFonts w:hint="eastAsia" w:ascii="Times New Roman" w:hAnsi="Times New Roman" w:eastAsia="仿宋_GB2312" w:cs="Times New Roman"/>
          <w:color w:val="auto"/>
          <w:kern w:val="2"/>
          <w:sz w:val="32"/>
          <w:szCs w:val="32"/>
          <w:highlight w:val="none"/>
          <w:lang w:val="zh-CN" w:eastAsia="zh-CN" w:bidi="ar-SA"/>
        </w:rPr>
        <w:t>因本年度工资调整，社保、医保、公积金缴费基数增加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.卫生健康支出（类）行政事业单位医疗（款）行政单位医疗（项）:支出决算数为2.83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14.70%，主要原因是：</w:t>
      </w:r>
      <w:r>
        <w:rPr>
          <w:rFonts w:hint="eastAsia" w:eastAsia="仿宋_GB2312" w:cs="Times New Roman"/>
          <w:color w:val="auto"/>
          <w:kern w:val="2"/>
          <w:sz w:val="32"/>
          <w:szCs w:val="32"/>
          <w:highlight w:val="none"/>
          <w:lang w:val="en-US" w:eastAsia="zh-CN" w:bidi="ar-SA"/>
        </w:rPr>
        <w:t>因本年度新增退休人员一人，导致该项较上年决算下降</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55.04%，主要原因是：</w:t>
      </w:r>
      <w:r>
        <w:rPr>
          <w:rFonts w:hint="eastAsia" w:ascii="Times New Roman" w:hAnsi="Times New Roman" w:eastAsia="仿宋_GB2312" w:cs="Times New Roman"/>
          <w:color w:val="auto"/>
          <w:kern w:val="2"/>
          <w:sz w:val="32"/>
          <w:szCs w:val="32"/>
          <w:highlight w:val="none"/>
          <w:lang w:val="zh-CN" w:eastAsia="zh-CN" w:bidi="ar-SA"/>
        </w:rPr>
        <w:t>因本年度工资调整，社保、医保、公积金缴费基数增加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.住房保障支出（类）住房改革支出（款）住房公积金（项）:支出决算数为4.52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4.26%，主要原因是：</w:t>
      </w:r>
      <w:r>
        <w:rPr>
          <w:rFonts w:hint="eastAsia" w:ascii="Times New Roman" w:hAnsi="Times New Roman" w:eastAsia="仿宋_GB2312" w:cs="Times New Roman"/>
          <w:color w:val="auto"/>
          <w:kern w:val="2"/>
          <w:sz w:val="32"/>
          <w:szCs w:val="32"/>
          <w:highlight w:val="none"/>
          <w:lang w:val="zh-CN" w:eastAsia="zh-CN" w:bidi="ar-SA"/>
        </w:rPr>
        <w:t>因本年度工资调整，社保、医保、公积金缴费基数增加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77.53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68.88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8.65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办公费、印刷费、邮电费、培训费、劳务费、工会经费、福利费、公务用车运行维护费、其他交通费用。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“三公”经费支出1.11万元，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因严格控制“三公”经费支出，厉行节约，与上年保持一致。</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主要原因是：本年无因公出国（境）费支出；公务用车购置及运行维护费支出1.11万元，占100.00%，比上年增加0.00万元，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厉行节约，与上年保持一致</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主要原因是：本年无公务接待支出。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Times New Roman" w:hAnsi="Times New Roman" w:eastAsia="方正仿宋_GBK" w:cs="方正仿宋_GBK"/>
          <w:color w:val="auto"/>
          <w:sz w:val="31"/>
          <w:szCs w:val="31"/>
          <w:lang w:val="en-US" w:eastAsia="zh-CN"/>
        </w:rPr>
        <w:t>本年度未安排</w:t>
      </w:r>
      <w:r>
        <w:rPr>
          <w:rFonts w:hint="eastAsia" w:ascii="Times New Roman" w:hAnsi="Times New Roman" w:eastAsia="方正仿宋_GBK" w:cs="方正仿宋_GBK"/>
          <w:color w:val="auto"/>
          <w:sz w:val="31"/>
          <w:szCs w:val="31"/>
        </w:rPr>
        <w:t>因公出国（境）费支出</w:t>
      </w:r>
      <w:r>
        <w:rPr>
          <w:rFonts w:hint="eastAsia" w:ascii="Times New Roman" w:hAnsi="Times New Roman" w:eastAsia="方正仿宋_GBK" w:cs="方正仿宋_GBK"/>
          <w:color w:val="auto"/>
          <w:sz w:val="31"/>
          <w:szCs w:val="31"/>
          <w:lang w:eastAsia="zh-CN"/>
        </w:rPr>
        <w:t>，</w:t>
      </w:r>
      <w:r>
        <w:rPr>
          <w:rFonts w:hint="eastAsia" w:ascii="Times New Roman" w:hAnsi="Times New Roman" w:eastAsia="方正仿宋_GBK" w:cs="方正仿宋_GBK"/>
          <w:color w:val="auto"/>
          <w:sz w:val="31"/>
          <w:szCs w:val="31"/>
          <w:lang w:val="en-US" w:eastAsia="zh-CN"/>
        </w:rPr>
        <w:t>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1.11万元，其中：公务用车购置费0.00万元，公务用车运行维护费1.11万元。公务用车运行维护费开支内容包括公务用车保险费、燃油费支出。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Times New Roman" w:hAnsi="Times New Roman" w:eastAsia="方正仿宋_GBK" w:cs="方正仿宋_GBK"/>
          <w:color w:val="auto"/>
          <w:sz w:val="31"/>
          <w:szCs w:val="31"/>
          <w:lang w:val="en-US" w:eastAsia="zh-CN"/>
        </w:rPr>
        <w:t>本年度未安排</w:t>
      </w:r>
      <w:r>
        <w:rPr>
          <w:rFonts w:hint="eastAsia" w:ascii="Times New Roman" w:hAnsi="Times New Roman" w:eastAsia="方正仿宋_GBK" w:cs="方正仿宋_GBK"/>
          <w:color w:val="auto"/>
          <w:sz w:val="31"/>
          <w:szCs w:val="31"/>
        </w:rPr>
        <w:t>公务接待费支出</w:t>
      </w:r>
      <w:r>
        <w:rPr>
          <w:rFonts w:hint="eastAsia" w:ascii="Times New Roman" w:hAnsi="Times New Roman" w:eastAsia="方正仿宋_GBK" w:cs="方正仿宋_GBK"/>
          <w:color w:val="auto"/>
          <w:sz w:val="31"/>
          <w:szCs w:val="31"/>
          <w:lang w:eastAsia="zh-CN"/>
        </w:rPr>
        <w:t>，</w:t>
      </w:r>
      <w:r>
        <w:rPr>
          <w:rFonts w:hint="eastAsia" w:ascii="Times New Roman" w:hAnsi="Times New Roman" w:eastAsia="方正仿宋_GBK" w:cs="方正仿宋_GBK"/>
          <w:color w:val="auto"/>
          <w:sz w:val="31"/>
          <w:szCs w:val="31"/>
          <w:lang w:val="en-US" w:eastAsia="zh-CN"/>
        </w:rPr>
        <w:t>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预算数1.11万元，决算数1.11万元，预决算差异率0.00%，主要原因是：</w:t>
      </w:r>
      <w:r>
        <w:rPr>
          <w:rFonts w:hint="eastAsia" w:ascii="Times New Roman" w:hAnsi="Times New Roman" w:eastAsia="方正仿宋_GBK" w:cs="方正仿宋_GBK"/>
          <w:color w:val="auto"/>
          <w:sz w:val="31"/>
          <w:szCs w:val="31"/>
          <w:lang w:val="en-US" w:eastAsia="zh-CN"/>
        </w:rPr>
        <w:t>严格控制三公经费，厉行节约</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Times New Roman" w:hAnsi="Times New Roman" w:eastAsia="方正仿宋_GBK" w:cs="方正仿宋_GBK"/>
          <w:color w:val="auto"/>
          <w:sz w:val="31"/>
          <w:szCs w:val="31"/>
          <w:lang w:val="en-US" w:eastAsia="zh-CN"/>
        </w:rPr>
        <w:t>我单位无</w:t>
      </w:r>
      <w:r>
        <w:rPr>
          <w:rFonts w:hint="eastAsia" w:ascii="Times New Roman" w:hAnsi="Times New Roman" w:eastAsia="方正仿宋_GBK" w:cs="方正仿宋_GBK"/>
          <w:color w:val="auto"/>
          <w:sz w:val="31"/>
          <w:szCs w:val="31"/>
        </w:rPr>
        <w:t>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方正仿宋_GBK" w:cs="方正仿宋_GBK"/>
          <w:color w:val="auto"/>
          <w:sz w:val="31"/>
          <w:szCs w:val="31"/>
          <w:lang w:val="en-US" w:eastAsia="zh-CN"/>
        </w:rPr>
        <w:t>我单位无</w:t>
      </w:r>
      <w:r>
        <w:rPr>
          <w:rFonts w:hint="eastAsia" w:ascii="Times New Roman" w:hAnsi="Times New Roman" w:eastAsia="方正仿宋_GBK" w:cs="方正仿宋_GBK"/>
          <w:color w:val="auto"/>
          <w:sz w:val="31"/>
          <w:szCs w:val="31"/>
        </w:rPr>
        <w:t>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预算数1.11万元，决算数1.11万元，预决算差异率0.00%，主要原因是：</w:t>
      </w:r>
      <w:r>
        <w:rPr>
          <w:rFonts w:hint="eastAsia" w:ascii="Times New Roman" w:hAnsi="Times New Roman" w:eastAsia="方正仿宋_GBK" w:cs="方正仿宋_GBK"/>
          <w:color w:val="auto"/>
          <w:sz w:val="31"/>
          <w:szCs w:val="31"/>
          <w:lang w:val="en-US" w:eastAsia="zh-CN"/>
        </w:rPr>
        <w:t>严格控制三公经费，厉行节约</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方正仿宋_GBK" w:cs="方正仿宋_GBK"/>
          <w:color w:val="auto"/>
          <w:sz w:val="31"/>
          <w:szCs w:val="31"/>
          <w:lang w:val="en-US" w:eastAsia="zh-CN"/>
        </w:rPr>
        <w:t>我单位无</w:t>
      </w:r>
      <w:r>
        <w:rPr>
          <w:rFonts w:hint="eastAsia" w:ascii="Times New Roman" w:hAnsi="Times New Roman" w:eastAsia="方正仿宋_GBK" w:cs="方正仿宋_GBK"/>
          <w:color w:val="auto"/>
          <w:sz w:val="31"/>
          <w:szCs w:val="31"/>
        </w:rPr>
        <w:t>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库尔勒市红十字会（行政单位和参照公务员法管理事业单位）机关运行经费支出8.65万元，</w:t>
      </w:r>
      <w:r>
        <w:rPr>
          <w:rFonts w:hint="eastAsia" w:ascii="Times New Roman" w:hAnsi="Times New Roman" w:eastAsia="仿宋_GB2312" w:cs="Times New Roman"/>
          <w:color w:val="auto"/>
          <w:sz w:val="32"/>
          <w:szCs w:val="32"/>
          <w:highlight w:val="none"/>
          <w:lang w:val="zh-CN" w:eastAsia="zh-CN"/>
        </w:rPr>
        <w:t>比上年增加5.65万元，增长188.78%，主要原因是：本年度其他交通费支出增加</w:t>
      </w:r>
      <w:r>
        <w:rPr>
          <w:rFonts w:hint="eastAsia" w:eastAsia="仿宋_GB2312" w:cs="Times New Roman"/>
          <w:color w:val="auto"/>
          <w:sz w:val="32"/>
          <w:szCs w:val="32"/>
          <w:highlight w:val="none"/>
          <w:lang w:val="zh-CN" w:eastAsia="zh-CN"/>
        </w:rPr>
        <w:t>，</w:t>
      </w:r>
      <w:r>
        <w:rPr>
          <w:rFonts w:hint="eastAsia" w:eastAsia="仿宋_GB2312" w:cs="Times New Roman"/>
          <w:color w:val="auto"/>
          <w:sz w:val="32"/>
          <w:szCs w:val="32"/>
          <w:highlight w:val="none"/>
          <w:lang w:val="en-US" w:eastAsia="zh-CN"/>
        </w:rPr>
        <w:t>导致该支出增加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3.04万元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其中：政府采购货物支出1.81万元、政府采购工程支出0.00万元、政府采购服务支出1.23万元。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授予中小企业合同金额3.04万元，占政府采购支出总额的100.00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，其中：授予小微企业合同金额3.04万元，占政府采购支出总额的100.00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40.33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屋0.00平方米，价值0.00万元。车辆1辆，价值15.00万元，其中：副部（省）级及以上领导用车0辆、主要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预算总额77.53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实际执行总额77.53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Style w:val="12"/>
          <w:rFonts w:hint="eastAsia" w:ascii="仿宋" w:hAnsi="仿宋" w:eastAsia="仿宋" w:cs="仿宋"/>
          <w:b w:val="0"/>
          <w:color w:val="auto"/>
          <w:spacing w:val="-4"/>
          <w:sz w:val="32"/>
          <w:szCs w:val="32"/>
          <w:highlight w:val="none"/>
          <w:lang w:val="en-US" w:eastAsia="zh-CN"/>
        </w:rPr>
        <w:t>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kinsoku/>
        <w:wordWrap/>
        <w:overflowPunct/>
        <w:topLinePunct w:val="0"/>
        <w:autoSpaceDE/>
        <w:autoSpaceDN/>
        <w:bidi w:val="0"/>
        <w:adjustRightInd/>
        <w:spacing w:line="360" w:lineRule="auto"/>
        <w:jc w:val="left"/>
        <w:textAlignment w:val="auto"/>
        <w:rPr>
          <w:rFonts w:ascii="仿宋_GB2312" w:hAnsi="仿宋" w:eastAsia="仿宋_GB2312"/>
          <w:color w:val="auto"/>
          <w:sz w:val="32"/>
          <w:szCs w:val="32"/>
          <w:highlight w:val="none"/>
        </w:rPr>
      </w:pPr>
      <w:r>
        <w:rPr>
          <w:rFonts w:hint="eastAsia" w:ascii="仿宋_GB2312" w:eastAsia="仿宋_GB2312"/>
          <w:color w:val="auto"/>
          <w:sz w:val="32"/>
          <w:szCs w:val="32"/>
          <w:highlight w:val="none"/>
          <w:lang w:eastAsia="zh-CN"/>
        </w:rPr>
        <w:t>发现的问题及原因：一是</w:t>
      </w:r>
      <w:r>
        <w:rPr>
          <w:rFonts w:hint="eastAsia" w:ascii="仿宋_GB2312" w:hAnsi="仿宋_GB2312" w:eastAsia="仿宋_GB2312" w:cs="仿宋_GB2312"/>
          <w:bCs/>
          <w:color w:val="auto"/>
          <w:sz w:val="32"/>
          <w:szCs w:val="32"/>
          <w:highlight w:val="none"/>
        </w:rPr>
        <w:t>在日常绩效工作中存在着一定程度的“重分配、轻管理、重支出、轻绩效”的情况，造成该问题的主要原因是自身绩效理念较薄弱，单位绩效目标编制仍有缺失，需要进一步加强对资金绩效管理的重视程度。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eastAsia="仿宋_GB2312"/>
          <w:color w:val="auto"/>
          <w:sz w:val="32"/>
          <w:szCs w:val="32"/>
          <w:highlight w:val="none"/>
          <w:lang w:eastAsia="zh-CN"/>
        </w:rPr>
        <w:t>二是</w:t>
      </w:r>
      <w:r>
        <w:rPr>
          <w:rFonts w:hint="eastAsia" w:ascii="仿宋_GB2312" w:hAnsi="仿宋_GB2312" w:eastAsia="仿宋_GB2312" w:cs="仿宋_GB2312"/>
          <w:bCs/>
          <w:color w:val="auto"/>
          <w:sz w:val="32"/>
          <w:szCs w:val="32"/>
          <w:highlight w:val="none"/>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r>
        <w:rPr>
          <w:rFonts w:hint="eastAsia" w:ascii="仿宋_GB2312" w:eastAsia="仿宋_GB2312"/>
          <w:color w:val="auto"/>
          <w:sz w:val="32"/>
          <w:szCs w:val="32"/>
          <w:highlight w:val="none"/>
          <w:lang w:eastAsia="zh-CN"/>
        </w:rPr>
        <w:t>下一步改进措施：一是</w:t>
      </w:r>
      <w:r>
        <w:rPr>
          <w:rFonts w:hint="eastAsia" w:ascii="仿宋_GB2312" w:hAnsi="仿宋" w:eastAsia="仿宋_GB2312"/>
          <w:color w:val="auto"/>
          <w:sz w:val="32"/>
          <w:szCs w:val="32"/>
          <w:highlight w:val="none"/>
        </w:rPr>
        <w:t>建立绩效评价与内控体系和管理会计有机结合共同推进的工作机制，财政支出绩效评价和行政事业单位内部控制，都是以《预算法》为根本依据，围绕“预算”开展工作；单位层面和业务层面的风险点与控制，提高管理绩效的水平，有效保证绩效项目资金及时落实到位，保质保量完成各项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textAlignment w:val="auto"/>
        <w:rPr>
          <w:rFonts w:ascii="仿宋_GB2312" w:hAnsi="仿宋" w:eastAsia="仿宋_GB2312"/>
          <w:color w:val="auto"/>
          <w:sz w:val="32"/>
          <w:szCs w:val="32"/>
          <w:highlight w:val="none"/>
        </w:rPr>
      </w:pPr>
      <w:r>
        <w:rPr>
          <w:rFonts w:hint="eastAsia" w:ascii="仿宋_GB2312" w:eastAsia="仿宋_GB2312"/>
          <w:color w:val="auto"/>
          <w:sz w:val="32"/>
          <w:szCs w:val="32"/>
          <w:highlight w:val="none"/>
          <w:lang w:eastAsia="zh-CN"/>
        </w:rPr>
        <w:t>二是</w:t>
      </w:r>
      <w:r>
        <w:rPr>
          <w:rFonts w:hint="eastAsia" w:ascii="仿宋_GB2312" w:hAnsi="仿宋" w:eastAsia="仿宋_GB2312"/>
          <w:color w:val="auto"/>
          <w:sz w:val="32"/>
          <w:szCs w:val="32"/>
          <w:highlight w:val="none"/>
        </w:rPr>
        <w:t>按照财政支出功能分类，制定绩效监控评价指标分类，提高单位各部门绩效工作意识，各部门相互协作，进一步提高单位绩效评价和绩效管理水平。</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8" w:name="_GoBack"/>
      <w:bookmarkStart w:id="46" w:name="_Toc5453"/>
      <w:bookmarkStart w:id="47" w:name="_Toc764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default" w:ascii="黑体" w:hAnsi="黑体" w:eastAsia="仿宋_GB2312" w:cs="宋体"/>
          <w:bCs/>
          <w:color w:val="auto"/>
          <w:w w:val="90"/>
          <w:kern w:val="0"/>
          <w:sz w:val="32"/>
          <w:szCs w:val="32"/>
          <w:highlight w:val="none"/>
          <w:lang w:val="en-US"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p>
    <w:bookmarkEnd w:id="48"/>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footerReference r:id="rId4" w:type="default"/>
          <w:pgSz w:w="11906" w:h="16838"/>
          <w:pgMar w:top="1440" w:right="1800" w:bottom="1440" w:left="1800" w:header="851" w:footer="992" w:gutter="0"/>
          <w:cols w:space="720" w:num="1"/>
          <w:docGrid w:type="lines" w:linePitch="312" w:charSpace="0"/>
        </w:sectPr>
      </w:pP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-591820</wp:posOffset>
            </wp:positionH>
            <wp:positionV relativeFrom="paragraph">
              <wp:posOffset>111125</wp:posOffset>
            </wp:positionV>
            <wp:extent cx="6729095" cy="7663815"/>
            <wp:effectExtent l="0" t="0" r="14605" b="1333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729095" cy="7663815"/>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-840740</wp:posOffset>
            </wp:positionH>
            <wp:positionV relativeFrom="paragraph">
              <wp:posOffset>76835</wp:posOffset>
            </wp:positionV>
            <wp:extent cx="7070725" cy="7061200"/>
            <wp:effectExtent l="0" t="0" r="15875" b="635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7070725" cy="706120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2336" behindDoc="0" locked="0" layoutInCell="1" allowOverlap="1">
            <wp:simplePos x="0" y="0"/>
            <wp:positionH relativeFrom="column">
              <wp:posOffset>-999490</wp:posOffset>
            </wp:positionH>
            <wp:positionV relativeFrom="paragraph">
              <wp:posOffset>120650</wp:posOffset>
            </wp:positionV>
            <wp:extent cx="7273290" cy="5904230"/>
            <wp:effectExtent l="0" t="0" r="3810" b="127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7273290" cy="590423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3360" behindDoc="0" locked="0" layoutInCell="1" allowOverlap="1">
            <wp:simplePos x="0" y="0"/>
            <wp:positionH relativeFrom="column">
              <wp:posOffset>-1042035</wp:posOffset>
            </wp:positionH>
            <wp:positionV relativeFrom="paragraph">
              <wp:posOffset>122555</wp:posOffset>
            </wp:positionV>
            <wp:extent cx="7272655" cy="7102475"/>
            <wp:effectExtent l="0" t="0" r="4445" b="317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7272655" cy="7102475"/>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4384" behindDoc="0" locked="0" layoutInCell="1" allowOverlap="1">
            <wp:simplePos x="0" y="0"/>
            <wp:positionH relativeFrom="column">
              <wp:posOffset>-831215</wp:posOffset>
            </wp:positionH>
            <wp:positionV relativeFrom="paragraph">
              <wp:posOffset>48260</wp:posOffset>
            </wp:positionV>
            <wp:extent cx="6932295" cy="6644005"/>
            <wp:effectExtent l="0" t="0" r="1905" b="444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6932295" cy="6644005"/>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-1017905</wp:posOffset>
            </wp:positionH>
            <wp:positionV relativeFrom="paragraph">
              <wp:posOffset>80645</wp:posOffset>
            </wp:positionV>
            <wp:extent cx="7332980" cy="7034530"/>
            <wp:effectExtent l="0" t="0" r="1270" b="1397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7332980" cy="703453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6432" behindDoc="0" locked="0" layoutInCell="1" allowOverlap="1">
            <wp:simplePos x="0" y="0"/>
            <wp:positionH relativeFrom="column">
              <wp:posOffset>-1059180</wp:posOffset>
            </wp:positionH>
            <wp:positionV relativeFrom="paragraph">
              <wp:posOffset>112395</wp:posOffset>
            </wp:positionV>
            <wp:extent cx="7419340" cy="4289425"/>
            <wp:effectExtent l="0" t="0" r="10160" b="15875"/>
            <wp:wrapSquare wrapText="bothSides"/>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2"/>
                    <a:stretch>
                      <a:fillRect/>
                    </a:stretch>
                  </pic:blipFill>
                  <pic:spPr>
                    <a:xfrm>
                      <a:off x="0" y="0"/>
                      <a:ext cx="7419340" cy="4289425"/>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7456" behindDoc="0" locked="0" layoutInCell="1" allowOverlap="1">
            <wp:simplePos x="0" y="0"/>
            <wp:positionH relativeFrom="column">
              <wp:posOffset>-919480</wp:posOffset>
            </wp:positionH>
            <wp:positionV relativeFrom="paragraph">
              <wp:posOffset>495935</wp:posOffset>
            </wp:positionV>
            <wp:extent cx="7148195" cy="4166870"/>
            <wp:effectExtent l="0" t="0" r="14605" b="5080"/>
            <wp:wrapSquare wrapText="bothSides"/>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7148195" cy="4166870"/>
                    </a:xfrm>
                    <a:prstGeom prst="rect">
                      <a:avLst/>
                    </a:prstGeom>
                    <a:noFill/>
                    <a:ln>
                      <a:noFill/>
                    </a:ln>
                  </pic:spPr>
                </pic:pic>
              </a:graphicData>
            </a:graphic>
          </wp:anchor>
        </w:drawing>
      </w:r>
    </w:p>
    <w:p>
      <w:pPr>
        <w:pStyle w:val="2"/>
        <w:rPr>
          <w:rFonts w:hint="eastAsia"/>
          <w:lang w:eastAsia="zh-CN"/>
        </w:rPr>
      </w:pPr>
      <w:r>
        <w:drawing>
          <wp:anchor distT="0" distB="0" distL="114300" distR="114300" simplePos="0" relativeHeight="251668480" behindDoc="0" locked="0" layoutInCell="1" allowOverlap="1">
            <wp:simplePos x="0" y="0"/>
            <wp:positionH relativeFrom="column">
              <wp:posOffset>-892175</wp:posOffset>
            </wp:positionH>
            <wp:positionV relativeFrom="paragraph">
              <wp:posOffset>73025</wp:posOffset>
            </wp:positionV>
            <wp:extent cx="7119620" cy="3609975"/>
            <wp:effectExtent l="0" t="0" r="5080" b="9525"/>
            <wp:wrapSquare wrapText="bothSides"/>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4"/>
                    <a:stretch>
                      <a:fillRect/>
                    </a:stretch>
                  </pic:blipFill>
                  <pic:spPr>
                    <a:xfrm>
                      <a:off x="0" y="0"/>
                      <a:ext cx="7119620" cy="360997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123E31"/>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D3439"/>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224F5"/>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9F2584"/>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8443EA"/>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61"/>
      <w:ind w:left="117"/>
    </w:pPr>
    <w:rPr>
      <w:szCs w:val="30"/>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2024-08-23T09:12:07Z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