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库尔勒市红十字会</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int="default" w:ascii="黑体" w:hAnsi="黑体" w:eastAsia="黑体" w:cs="黑体"/>
          <w:b w:val="0"/>
          <w:bCs w:val="0"/>
          <w:color w:val="auto"/>
          <w:sz w:val="32"/>
          <w:szCs w:val="32"/>
          <w:highlight w:val="none"/>
          <w:lang w:val="en-US" w:eastAsia="zh-CN"/>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开展救援、救灾的相关工作，建立红十字应急救援体系。在战争、武装冲突和自然灾害、事故灾难、公共卫生事件等突发事件中，对伤病人员和其他受害者提供紧急救援和人道救助。</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开展应急救护培训，普及应急救护、防灾避险和卫生健康知识，组织志愿者参与现场救护。</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参与、推动无偿献血、遗体和人体器官捐献工作，参与开展造血干细胞捐献的相关工作。</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rPr>
        <w:t>组织开展红十字志愿服务、红十字青少年工作。</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参加国际人道主义救援工作。</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rPr>
        <w:t>宣传国际红十字和红新月运动的基本原则和日内瓦公约及其附加议定书。</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7.</w:t>
      </w:r>
      <w:r>
        <w:rPr>
          <w:rFonts w:hint="eastAsia" w:ascii="仿宋_GB2312" w:hAnsi="仿宋_GB2312" w:eastAsia="仿宋_GB2312" w:cs="仿宋_GB2312"/>
          <w:color w:val="auto"/>
          <w:sz w:val="32"/>
          <w:szCs w:val="32"/>
          <w:highlight w:val="none"/>
        </w:rPr>
        <w:t>依照国际红十字和红新月运动的基本原则，完成人民政府委托事宜。</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8.</w:t>
      </w:r>
      <w:r>
        <w:rPr>
          <w:rFonts w:hint="eastAsia" w:ascii="仿宋_GB2312" w:hAnsi="仿宋_GB2312" w:eastAsia="仿宋_GB2312" w:cs="仿宋_GB2312"/>
          <w:color w:val="auto"/>
          <w:sz w:val="32"/>
          <w:szCs w:val="32"/>
          <w:highlight w:val="none"/>
        </w:rPr>
        <w:t>依照日内瓦公约及其附加议定书的有关规定开展工作。</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9.</w:t>
      </w:r>
      <w:r>
        <w:rPr>
          <w:rFonts w:hint="eastAsia" w:ascii="仿宋_GB2312" w:hAnsi="仿宋_GB2312" w:eastAsia="仿宋_GB2312" w:cs="仿宋_GB2312"/>
          <w:color w:val="auto"/>
          <w:sz w:val="32"/>
          <w:szCs w:val="32"/>
          <w:highlight w:val="none"/>
        </w:rPr>
        <w:t>协助市委、市人民政府开展与其职责相关的其他人道主义服务活动。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库尔勒市红十字会</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auto"/>
          <w:kern w:val="2"/>
          <w:sz w:val="32"/>
          <w:szCs w:val="32"/>
          <w:highlight w:val="none"/>
          <w:lang w:val="en-US" w:eastAsia="zh-CN" w:bidi="ar-SA"/>
        </w:rPr>
        <w:t>4</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auto"/>
          <w:kern w:val="2"/>
          <w:sz w:val="32"/>
          <w:szCs w:val="32"/>
          <w:highlight w:val="none"/>
          <w:lang w:val="en-US" w:eastAsia="zh-CN" w:bidi="ar-SA"/>
        </w:rPr>
        <w:t>6</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auto"/>
          <w:kern w:val="2"/>
          <w:sz w:val="32"/>
          <w:szCs w:val="32"/>
          <w:highlight w:val="none"/>
          <w:lang w:val="en-US" w:eastAsia="zh-CN" w:bidi="ar-SA"/>
        </w:rPr>
        <w:t>4</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auto"/>
          <w:kern w:val="2"/>
          <w:sz w:val="32"/>
          <w:szCs w:val="32"/>
          <w:highlight w:val="none"/>
          <w:lang w:val="en-US" w:eastAsia="zh-CN" w:bidi="ar-SA"/>
        </w:rPr>
        <w:t>2</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继续积极主动向上级红会申请救灾备灾相关物资，不断规范和充实库尔勒市救灾备灾物资储备，当好党和政府应急救援工作的助手。组建1-2支库尔勒市红十字应急救援队伍，提升红十字应急救援能力。</w:t>
      </w:r>
      <w:r>
        <w:rPr>
          <w:rFonts w:hint="eastAsia" w:ascii="仿宋_GB2312" w:hAnsi="仿宋_GB2312" w:eastAsia="仿宋_GB2312" w:cs="仿宋_GB2312"/>
          <w:color w:val="auto"/>
          <w:sz w:val="32"/>
          <w:szCs w:val="32"/>
          <w:highlight w:val="none"/>
          <w:lang w:val="en-US" w:eastAsia="zh-CN"/>
        </w:rPr>
        <w:t>开展应急救护</w:t>
      </w:r>
      <w:bookmarkStart w:id="0" w:name="_GoBack"/>
      <w:bookmarkEnd w:id="0"/>
      <w:r>
        <w:rPr>
          <w:rFonts w:hint="eastAsia" w:ascii="仿宋_GB2312" w:hAnsi="仿宋_GB2312" w:eastAsia="仿宋_GB2312" w:cs="仿宋_GB2312"/>
          <w:color w:val="auto"/>
          <w:sz w:val="32"/>
          <w:szCs w:val="32"/>
          <w:highlight w:val="none"/>
          <w:lang w:val="en-US" w:eastAsia="zh-CN"/>
        </w:rPr>
        <w:t>演练不少于1次。</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结合库尔勒市实际情况，加大红十字十项基金七项医疗救助项目申请申报力度，加大等医疗救助项目，让更多先心病患儿、白血病患儿、唇腭裂患儿等救助群体收益，当好党和政府人道救助工作的助手。</w:t>
      </w:r>
      <w:r>
        <w:rPr>
          <w:rFonts w:hint="eastAsia" w:ascii="仿宋_GB2312" w:hAnsi="仿宋_GB2312" w:eastAsia="仿宋_GB2312" w:cs="仿宋_GB2312"/>
          <w:color w:val="auto"/>
          <w:sz w:val="32"/>
          <w:szCs w:val="32"/>
          <w:highlight w:val="none"/>
          <w:lang w:val="en-US" w:eastAsia="zh-CN"/>
        </w:rPr>
        <w:t>救助大病患儿人数不少于10人。</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三是以开展遗体捐献工作合作为契机，与科技学院建立合作关系，推进全市造血干细胞志愿捐献工作再上新台阶，继续协助卫健部门推进全市义务献血工作，确保全市医疗机构用血100%来自义务献血，为提升库尔勒市文明程度作出应有贡献。</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 xml:space="preserve">四是积极争取“博爱家园”等项目落地库尔勒市，在城乡社区开展以“防灾减灾、健康促进、生计发展、人道传播”为主要内容的人道公益项目，不断提升基层社区群众幸福感。持续组织“红十字博爱送万家”活动，为100户困难群众发放博爱物资，组织开展慰问遗体捐献者亲属活动。 </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五是积极发挥2022年新建成的库尔勒市生命健康安全教育基地作用，多种形式加强应急救护培训和学生应急救护知识技能普及行动，力争完成应急救护培训和知识普及2500人次。</w:t>
      </w:r>
      <w:r>
        <w:rPr>
          <w:rFonts w:hint="eastAsia" w:ascii="仿宋_GB2312" w:hAnsi="仿宋_GB2312" w:eastAsia="仿宋_GB2312" w:cs="仿宋_GB2312"/>
          <w:color w:val="auto"/>
          <w:sz w:val="32"/>
          <w:szCs w:val="32"/>
          <w:highlight w:val="none"/>
          <w:lang w:val="en-US" w:eastAsia="zh-CN"/>
        </w:rPr>
        <w:t>开展应急救护培训（初级）培训人数不少于200人。</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六是积极争取自治州红十字会支持，多方筹措资金、物资，争取2023年年内建成库尔勒市遗体（器官）捐献纪念园项目，积极推广在机场、火车站、学校、体育馆等公共场所配置AED（自动体外心脏除颤仪）。</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七是持续协助市教育系统接收建筑领域各单位组织针对学校基础设施改造工作的捐款捐物，共同推进全市各学校基础设施建设有新提升。</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库尔勒市红十字会</w:t>
      </w:r>
      <w:r>
        <w:rPr>
          <w:rStyle w:val="9"/>
          <w:rFonts w:hint="eastAsia" w:ascii="仿宋" w:hAnsi="仿宋" w:eastAsia="仿宋" w:cs="仿宋"/>
          <w:b w:val="0"/>
          <w:bCs/>
          <w:color w:val="auto"/>
          <w:spacing w:val="-4"/>
          <w:sz w:val="32"/>
          <w:szCs w:val="32"/>
          <w:highlight w:val="none"/>
          <w:lang w:val="en-US" w:eastAsia="zh-CN"/>
        </w:rPr>
        <w:t>2023年通过本部门预算支出，确保了</w:t>
      </w:r>
      <w:r>
        <w:rPr>
          <w:rStyle w:val="9"/>
          <w:rFonts w:hint="eastAsia" w:ascii="仿宋" w:hAnsi="仿宋" w:eastAsia="仿宋" w:cs="仿宋"/>
          <w:b w:val="0"/>
          <w:bCs/>
          <w:color w:val="auto"/>
          <w:spacing w:val="-4"/>
          <w:sz w:val="32"/>
          <w:szCs w:val="32"/>
          <w:highlight w:val="none"/>
          <w:lang w:val="en-US" w:eastAsia="zh-CN"/>
        </w:rPr>
        <w:t>4</w:t>
      </w:r>
      <w:r>
        <w:rPr>
          <w:rStyle w:val="9"/>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9"/>
          <w:rFonts w:hint="eastAsia" w:ascii="仿宋" w:hAnsi="仿宋" w:eastAsia="仿宋" w:cs="仿宋"/>
          <w:b w:val="0"/>
          <w:bCs/>
          <w:color w:val="auto"/>
          <w:spacing w:val="-4"/>
          <w:sz w:val="32"/>
          <w:szCs w:val="32"/>
          <w:highlight w:val="none"/>
          <w:lang w:val="en-US" w:eastAsia="zh-CN"/>
        </w:rPr>
        <w:t>以及2名离退休人员的工资、医疗费等。</w:t>
      </w:r>
      <w:r>
        <w:rPr>
          <w:rStyle w:val="9"/>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75.04</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75.04</w:t>
      </w:r>
      <w:r>
        <w:rPr>
          <w:rFonts w:hint="eastAsia" w:ascii="仿宋" w:hAnsi="仿宋" w:eastAsia="仿宋" w:cs="仿宋"/>
          <w:color w:val="auto"/>
          <w:sz w:val="32"/>
          <w:szCs w:val="32"/>
          <w:highlight w:val="none"/>
          <w:lang w:val="en-US" w:eastAsia="zh-CN"/>
        </w:rPr>
        <w:t>万元，其他资金</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b w:val="0"/>
          <w:bCs/>
          <w:color w:val="auto"/>
          <w:sz w:val="32"/>
          <w:szCs w:val="32"/>
          <w:highlight w:val="none"/>
          <w:lang w:val="en-US" w:eastAsia="zh-CN"/>
        </w:rPr>
        <w:t>75.04</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auto"/>
          <w:sz w:val="32"/>
          <w:szCs w:val="32"/>
          <w:highlight w:val="none"/>
          <w:lang w:val="en-US" w:eastAsia="zh-CN"/>
        </w:rPr>
        <w:t>+2.49</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auto"/>
          <w:sz w:val="32"/>
          <w:szCs w:val="32"/>
          <w:highlight w:val="none"/>
          <w:lang w:val="en-US" w:eastAsia="zh-CN"/>
        </w:rPr>
        <w:t>77.53</w:t>
      </w:r>
      <w:r>
        <w:rPr>
          <w:rFonts w:hint="eastAsia" w:ascii="仿宋" w:hAnsi="仿宋" w:eastAsia="仿宋" w:cs="仿宋"/>
          <w:b w:val="0"/>
          <w:bCs/>
          <w:color w:val="auto"/>
          <w:sz w:val="32"/>
          <w:szCs w:val="32"/>
          <w:highlight w:val="none"/>
          <w:lang w:val="en-US" w:eastAsia="zh-CN"/>
        </w:rPr>
        <w:t>万元，预算调整率</w:t>
      </w:r>
      <w:r>
        <w:rPr>
          <w:rFonts w:hint="eastAsia" w:ascii="仿宋" w:hAnsi="仿宋" w:eastAsia="仿宋" w:cs="仿宋"/>
          <w:b w:val="0"/>
          <w:bCs/>
          <w:color w:val="auto"/>
          <w:sz w:val="32"/>
          <w:szCs w:val="32"/>
          <w:highlight w:val="none"/>
          <w:lang w:val="en-US" w:eastAsia="zh-CN"/>
        </w:rPr>
        <w:t>3.32%</w:t>
      </w:r>
      <w:r>
        <w:rPr>
          <w:rFonts w:hint="eastAsia" w:ascii="仿宋" w:hAnsi="仿宋" w:eastAsia="仿宋" w:cs="仿宋"/>
          <w:b w:val="0"/>
          <w:bCs/>
          <w:color w:val="auto"/>
          <w:sz w:val="32"/>
          <w:szCs w:val="32"/>
          <w:highlight w:val="none"/>
          <w:lang w:val="en-US" w:eastAsia="zh-CN"/>
        </w:rPr>
        <w:t>。</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auto"/>
          <w:kern w:val="2"/>
          <w:sz w:val="32"/>
          <w:szCs w:val="32"/>
          <w:highlight w:val="none"/>
          <w:lang w:val="en-US" w:eastAsia="zh-CN" w:bidi="ar-SA"/>
        </w:rPr>
        <w:t>77.53</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77.53</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0.00</w:t>
      </w:r>
      <w:r>
        <w:rPr>
          <w:rFonts w:hint="eastAsia" w:ascii="仿宋" w:hAnsi="仿宋" w:eastAsia="仿宋" w:cs="仿宋"/>
          <w:color w:val="auto"/>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75.04</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77.53</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77.53</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auto"/>
          <w:sz w:val="32"/>
          <w:szCs w:val="32"/>
          <w:highlight w:val="none"/>
          <w:lang w:val="en-US" w:eastAsia="zh-CN"/>
        </w:rPr>
        <w:t>66.88</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8.65</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“本单位2023年未安排项目支出。”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w:t>
      </w:r>
      <w:r>
        <w:rPr>
          <w:rStyle w:val="9"/>
          <w:rFonts w:hint="eastAsia" w:ascii="仿宋" w:hAnsi="仿宋" w:eastAsia="仿宋" w:cs="仿宋"/>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条，二级指标共</w:t>
      </w:r>
      <w:r>
        <w:rPr>
          <w:rStyle w:val="9"/>
          <w:rFonts w:hint="eastAsia" w:ascii="仿宋" w:hAnsi="仿宋" w:eastAsia="仿宋" w:cs="仿宋"/>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条，三级指标共</w:t>
      </w:r>
      <w:r>
        <w:rPr>
          <w:rStyle w:val="9"/>
          <w:rFonts w:hint="eastAsia" w:ascii="仿宋" w:hAnsi="仿宋" w:eastAsia="仿宋" w:cs="仿宋"/>
          <w:b w:val="0"/>
          <w:color w:val="auto"/>
          <w:spacing w:val="-4"/>
          <w:sz w:val="32"/>
          <w:szCs w:val="32"/>
          <w:highlight w:val="none"/>
          <w:lang w:val="en-US" w:eastAsia="zh-CN"/>
        </w:rPr>
        <w:t>3</w:t>
      </w:r>
      <w:r>
        <w:rPr>
          <w:rStyle w:val="9"/>
          <w:rFonts w:hint="eastAsia" w:ascii="仿宋" w:hAnsi="仿宋" w:eastAsia="仿宋" w:cs="仿宋"/>
          <w:b w:val="0"/>
          <w:color w:val="auto"/>
          <w:spacing w:val="-4"/>
          <w:sz w:val="32"/>
          <w:szCs w:val="32"/>
          <w:highlight w:val="none"/>
          <w:lang w:val="en-US" w:eastAsia="zh-CN"/>
        </w:rPr>
        <w:t>条，其中量化指标条数共</w:t>
      </w:r>
      <w:r>
        <w:rPr>
          <w:rStyle w:val="9"/>
          <w:rFonts w:hint="eastAsia" w:ascii="仿宋" w:hAnsi="仿宋" w:eastAsia="仿宋" w:cs="仿宋"/>
          <w:b w:val="0"/>
          <w:color w:val="auto"/>
          <w:spacing w:val="-4"/>
          <w:sz w:val="32"/>
          <w:szCs w:val="32"/>
          <w:highlight w:val="none"/>
          <w:lang w:val="en-US" w:eastAsia="zh-CN"/>
        </w:rPr>
        <w:t>3</w:t>
      </w:r>
      <w:r>
        <w:rPr>
          <w:rStyle w:val="9"/>
          <w:rFonts w:hint="eastAsia" w:ascii="仿宋" w:hAnsi="仿宋" w:eastAsia="仿宋" w:cs="仿宋"/>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数量指标1：救助大病患儿人数,预期指标值为：&gt;=10人；监控节点完成</w:t>
      </w:r>
      <w:r>
        <w:rPr>
          <w:rStyle w:val="9"/>
          <w:rFonts w:hint="eastAsia" w:ascii="仿宋" w:hAnsi="仿宋" w:eastAsia="仿宋" w:cs="仿宋"/>
          <w:b w:val="0"/>
          <w:color w:val="auto"/>
          <w:spacing w:val="-4"/>
          <w:sz w:val="32"/>
          <w:szCs w:val="32"/>
          <w:highlight w:val="none"/>
          <w:lang w:val="en-US" w:eastAsia="zh-CN"/>
        </w:rPr>
        <w:t>值：=5人；评价实际完成值：=10人；指</w:t>
      </w:r>
      <w:r>
        <w:rPr>
          <w:rStyle w:val="9"/>
          <w:rFonts w:hint="eastAsia" w:ascii="仿宋" w:hAnsi="仿宋" w:eastAsia="仿宋" w:cs="仿宋"/>
          <w:b w:val="0"/>
          <w:color w:val="auto"/>
          <w:spacing w:val="-4"/>
          <w:sz w:val="32"/>
          <w:szCs w:val="32"/>
          <w:highlight w:val="none"/>
          <w:lang w:val="en-US" w:eastAsia="zh-CN"/>
        </w:rPr>
        <w:t>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，提高了单位为民服务履职能力。</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default"/>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数量指标2：应急救护员（初级）培训人数,预期指标值为：&gt;=200人；监</w:t>
      </w:r>
      <w:r>
        <w:rPr>
          <w:rStyle w:val="9"/>
          <w:rFonts w:hint="eastAsia" w:ascii="仿宋" w:hAnsi="仿宋" w:eastAsia="仿宋" w:cs="仿宋"/>
          <w:b w:val="0"/>
          <w:bCs/>
          <w:color w:val="auto"/>
          <w:spacing w:val="-4"/>
          <w:sz w:val="32"/>
          <w:szCs w:val="32"/>
          <w:highlight w:val="none"/>
          <w:lang w:val="en-US" w:eastAsia="zh-CN"/>
        </w:rPr>
        <w:t>控节点完成值：=460人；评价实际完成值：=1630；</w:t>
      </w:r>
      <w:r>
        <w:rPr>
          <w:rStyle w:val="9"/>
          <w:rFonts w:hint="eastAsia" w:ascii="仿宋" w:hAnsi="仿宋" w:eastAsia="仿宋" w:cs="仿宋"/>
          <w:b w:val="0"/>
          <w:bCs/>
          <w:color w:val="auto"/>
          <w:spacing w:val="-4"/>
          <w:sz w:val="32"/>
          <w:szCs w:val="32"/>
          <w:highlight w:val="none"/>
          <w:lang w:val="en-US" w:eastAsia="zh-CN"/>
        </w:rPr>
        <w:t>指标完成率：0.00%；成效分析：通过单位正常运转，提高了应急救护员（初级）</w:t>
      </w:r>
      <w:r>
        <w:rPr>
          <w:rStyle w:val="9"/>
          <w:rFonts w:hint="eastAsia" w:ascii="仿宋" w:hAnsi="仿宋" w:eastAsia="仿宋" w:cs="仿宋"/>
          <w:b w:val="0"/>
          <w:bCs/>
          <w:color w:val="auto"/>
          <w:spacing w:val="-4"/>
          <w:sz w:val="32"/>
          <w:szCs w:val="32"/>
          <w:highlight w:val="none"/>
          <w:lang w:val="en-US" w:eastAsia="zh-CN"/>
        </w:rPr>
        <w:t>培训人数。偏差原因：因2023年塔里木石油前指工作人员三年轮训取证人数较多，故参加培训人数增加量大。下一步措施：在年初制定预期目标时，充分考虑当年需取证群体数量，避免差距过大。</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数量指标3：应急救护模拟演练,预期指标值为：&gt;=1次；监控节点完成</w:t>
      </w:r>
      <w:r>
        <w:rPr>
          <w:rStyle w:val="9"/>
          <w:rFonts w:hint="eastAsia" w:ascii="仿宋" w:hAnsi="仿宋" w:eastAsia="仿宋" w:cs="仿宋"/>
          <w:b w:val="0"/>
          <w:bCs/>
          <w:color w:val="auto"/>
          <w:spacing w:val="-4"/>
          <w:sz w:val="32"/>
          <w:szCs w:val="32"/>
          <w:highlight w:val="none"/>
          <w:lang w:val="en-US" w:eastAsia="zh-CN"/>
        </w:rPr>
        <w:t>值：1次；评价实际完成值：1次；</w:t>
      </w:r>
      <w:r>
        <w:rPr>
          <w:rStyle w:val="9"/>
          <w:rFonts w:hint="eastAsia" w:ascii="仿宋" w:hAnsi="仿宋" w:eastAsia="仿宋" w:cs="仿宋"/>
          <w:b w:val="0"/>
          <w:bCs/>
          <w:color w:val="auto"/>
          <w:spacing w:val="-4"/>
          <w:sz w:val="32"/>
          <w:szCs w:val="32"/>
          <w:highlight w:val="none"/>
          <w:lang w:val="en-US" w:eastAsia="zh-CN"/>
        </w:rPr>
        <w:t>指标完成率：</w:t>
      </w:r>
      <w:r>
        <w:rPr>
          <w:rStyle w:val="9"/>
          <w:rFonts w:hint="eastAsia" w:ascii="仿宋" w:hAnsi="仿宋" w:eastAsia="仿宋" w:cs="仿宋"/>
          <w:b w:val="0"/>
          <w:bCs/>
          <w:color w:val="auto"/>
          <w:spacing w:val="-4"/>
          <w:sz w:val="32"/>
          <w:szCs w:val="32"/>
          <w:highlight w:val="none"/>
          <w:lang w:val="en-US" w:eastAsia="zh-CN"/>
        </w:rPr>
        <w:t>100.00%</w:t>
      </w:r>
      <w:r>
        <w:rPr>
          <w:rStyle w:val="9"/>
          <w:rFonts w:hint="eastAsia" w:ascii="仿宋" w:hAnsi="仿宋" w:eastAsia="仿宋" w:cs="仿宋"/>
          <w:b w:val="0"/>
          <w:bCs/>
          <w:color w:val="auto"/>
          <w:spacing w:val="-4"/>
          <w:sz w:val="32"/>
          <w:szCs w:val="32"/>
          <w:highlight w:val="none"/>
          <w:lang w:val="en-US" w:eastAsia="zh-CN"/>
        </w:rPr>
        <w:t>；</w:t>
      </w:r>
      <w:r>
        <w:rPr>
          <w:rStyle w:val="9"/>
          <w:rFonts w:hint="eastAsia" w:ascii="仿宋" w:hAnsi="仿宋" w:eastAsia="仿宋" w:cs="仿宋"/>
          <w:b w:val="0"/>
          <w:bCs/>
          <w:color w:val="auto"/>
          <w:spacing w:val="-4"/>
          <w:sz w:val="32"/>
          <w:szCs w:val="32"/>
          <w:highlight w:val="none"/>
          <w:lang w:val="en-US" w:eastAsia="zh-CN"/>
        </w:rPr>
        <w:t>成效分析：通过单位正常运转，提高了应急救援能力。</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w:t>
      </w:r>
      <w:r>
        <w:rPr>
          <w:rStyle w:val="9"/>
          <w:rFonts w:hint="eastAsia" w:ascii="仿宋" w:hAnsi="仿宋" w:eastAsia="仿宋" w:cs="仿宋"/>
          <w:b w:val="0"/>
          <w:bCs/>
          <w:color w:val="auto"/>
          <w:spacing w:val="-4"/>
          <w:sz w:val="32"/>
          <w:szCs w:val="32"/>
          <w:highlight w:val="none"/>
          <w:lang w:val="en-US" w:eastAsia="zh-CN"/>
        </w:rPr>
        <w:t>100</w:t>
      </w:r>
      <w:r>
        <w:rPr>
          <w:rStyle w:val="9"/>
          <w:rFonts w:hint="eastAsia" w:ascii="仿宋" w:hAnsi="仿宋" w:eastAsia="仿宋" w:cs="仿宋"/>
          <w:b w:val="0"/>
          <w:bCs/>
          <w:color w:val="auto"/>
          <w:spacing w:val="-4"/>
          <w:sz w:val="32"/>
          <w:szCs w:val="32"/>
          <w:highlight w:val="none"/>
          <w:lang w:val="en-US" w:eastAsia="zh-CN"/>
        </w:rPr>
        <w:t>分，评价结果为</w:t>
      </w:r>
      <w:r>
        <w:rPr>
          <w:rStyle w:val="9"/>
          <w:rFonts w:hint="eastAsia" w:ascii="仿宋" w:hAnsi="仿宋" w:eastAsia="仿宋" w:cs="仿宋"/>
          <w:b w:val="0"/>
          <w:bCs/>
          <w:color w:val="auto"/>
          <w:spacing w:val="-4"/>
          <w:sz w:val="32"/>
          <w:szCs w:val="32"/>
          <w:highlight w:val="none"/>
          <w:lang w:val="en-US" w:eastAsia="zh-CN"/>
        </w:rPr>
        <w:t>优。</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textAlignment w:val="auto"/>
        <w:rPr>
          <w:rFonts w:ascii="仿宋_GB2312" w:hAnsi="仿宋" w:eastAsia="仿宋_GB2312"/>
          <w:color w:val="auto"/>
          <w:sz w:val="32"/>
          <w:szCs w:val="32"/>
          <w:highlight w:val="none"/>
        </w:rPr>
      </w:pPr>
      <w:r>
        <w:rPr>
          <w:rFonts w:ascii="仿宋_GB2312" w:hAnsi="仿宋" w:eastAsia="仿宋_GB2312"/>
          <w:color w:val="auto"/>
          <w:sz w:val="32"/>
          <w:szCs w:val="32"/>
          <w:highlight w:val="none"/>
        </w:rPr>
        <w:t>1.</w:t>
      </w:r>
      <w:r>
        <w:rPr>
          <w:rFonts w:hint="eastAsia" w:ascii="仿宋_GB2312" w:hAnsi="仿宋" w:eastAsia="仿宋_GB2312"/>
          <w:color w:val="auto"/>
          <w:sz w:val="32"/>
          <w:szCs w:val="32"/>
          <w:highlight w:val="none"/>
        </w:rPr>
        <w:t>预算执行及绩效管理中存在问题</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w:t>
      </w:r>
      <w:r>
        <w:rPr>
          <w:rFonts w:ascii="仿宋_GB2312" w:hAnsi="仿宋" w:eastAsia="仿宋_GB2312"/>
          <w:color w:val="auto"/>
          <w:sz w:val="32"/>
          <w:szCs w:val="32"/>
          <w:highlight w:val="none"/>
        </w:rPr>
        <w:t>1</w:t>
      </w:r>
      <w:r>
        <w:rPr>
          <w:rFonts w:hint="eastAsia" w:ascii="仿宋_GB2312" w:hAnsi="仿宋" w:eastAsia="仿宋_GB2312"/>
          <w:color w:val="auto"/>
          <w:sz w:val="32"/>
          <w:szCs w:val="32"/>
          <w:highlight w:val="none"/>
        </w:rPr>
        <w:t>）建立绩效评价与内控体系和管理会计有机结合共同推进的工作机制，财政支出绩效评价和行政事业单位内部控制，都是以《预算法》为根本依据，围绕“预算”开展工作；单位层面和业务层面的风险点与控制，提高管理绩效的水平，有效保证绩效项目资金及时落实到位，保质保量完成各项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w:t>
      </w:r>
      <w:r>
        <w:rPr>
          <w:rFonts w:ascii="仿宋_GB2312" w:hAnsi="仿宋" w:eastAsia="仿宋_GB2312"/>
          <w:color w:val="auto"/>
          <w:sz w:val="32"/>
          <w:szCs w:val="32"/>
          <w:highlight w:val="none"/>
        </w:rPr>
        <w:t>2</w:t>
      </w:r>
      <w:r>
        <w:rPr>
          <w:rFonts w:hint="eastAsia" w:ascii="仿宋_GB2312" w:hAnsi="仿宋" w:eastAsia="仿宋_GB2312"/>
          <w:color w:val="auto"/>
          <w:sz w:val="32"/>
          <w:szCs w:val="32"/>
          <w:highlight w:val="none"/>
        </w:rPr>
        <w:t>）按照财政支出功能分类，制定绩效监控评价指标分类，提高单位各部门绩效工作意识，各部门相互协作，进一步提高单位绩效评价和绩效管理水平。</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jc w:val="left"/>
        <w:textAlignment w:val="auto"/>
        <w:outlineLvl w:val="1"/>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w:t>
      </w:r>
      <w:r>
        <w:rPr>
          <w:rFonts w:ascii="仿宋_GB2312" w:hAnsi="仿宋_GB2312" w:eastAsia="仿宋_GB2312" w:cs="仿宋_GB2312"/>
          <w:bCs/>
          <w:color w:val="auto"/>
          <w:sz w:val="32"/>
          <w:szCs w:val="32"/>
          <w:highlight w:val="none"/>
        </w:rPr>
        <w:t>1</w:t>
      </w:r>
      <w:r>
        <w:rPr>
          <w:rFonts w:hint="eastAsia" w:ascii="仿宋_GB2312" w:hAnsi="仿宋_GB2312" w:eastAsia="仿宋_GB2312" w:cs="仿宋_GB2312"/>
          <w:bCs/>
          <w:color w:val="auto"/>
          <w:sz w:val="32"/>
          <w:szCs w:val="32"/>
          <w:highlight w:val="none"/>
        </w:rPr>
        <w:t>）预算绩效观念不深入。</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jc w:val="left"/>
        <w:textAlignment w:val="auto"/>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在日常绩效工作中存在着一定程度的“重分配、轻管理、重支出、轻绩效”的情况，造成该问题的主要原因是自身绩效理念较薄弱，单位绩效目标编制仍有缺失，需要进一步加强对资金绩效管理的重视程度。</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jc w:val="left"/>
        <w:textAlignment w:val="auto"/>
        <w:outlineLvl w:val="1"/>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w:t>
      </w:r>
      <w:r>
        <w:rPr>
          <w:rFonts w:ascii="仿宋_GB2312" w:hAnsi="仿宋_GB2312" w:eastAsia="仿宋_GB2312" w:cs="仿宋_GB2312"/>
          <w:bCs/>
          <w:color w:val="auto"/>
          <w:sz w:val="32"/>
          <w:szCs w:val="32"/>
          <w:highlight w:val="none"/>
        </w:rPr>
        <w:t>2</w:t>
      </w:r>
      <w:r>
        <w:rPr>
          <w:rFonts w:hint="eastAsia" w:ascii="仿宋_GB2312" w:hAnsi="仿宋_GB2312" w:eastAsia="仿宋_GB2312" w:cs="仿宋_GB2312"/>
          <w:bCs/>
          <w:color w:val="auto"/>
          <w:sz w:val="32"/>
          <w:szCs w:val="32"/>
          <w:highlight w:val="none"/>
        </w:rPr>
        <w:t>）预算绩效规范管理有盲点。</w:t>
      </w:r>
    </w:p>
    <w:p>
      <w:pPr>
        <w:keepNext w:val="0"/>
        <w:keepLines w:val="0"/>
        <w:pageBreakBefore w:val="0"/>
        <w:widowControl w:val="0"/>
        <w:kinsoku/>
        <w:wordWrap/>
        <w:overflowPunct/>
        <w:topLinePunct w:val="0"/>
        <w:autoSpaceDE/>
        <w:autoSpaceDN/>
        <w:bidi w:val="0"/>
        <w:adjustRightInd/>
        <w:spacing w:line="360" w:lineRule="auto"/>
        <w:ind w:left="0" w:leftChars="0" w:firstLine="640" w:firstLineChars="200"/>
        <w:jc w:val="left"/>
        <w:textAlignment w:val="auto"/>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5301EE-0334-4DA3-AAF8-EFD1065530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B865B2D-6F1B-4797-8F2D-514FDA046011}"/>
  </w:font>
  <w:font w:name="仿宋_GB2312">
    <w:panose1 w:val="02010609030101010101"/>
    <w:charset w:val="86"/>
    <w:family w:val="modern"/>
    <w:pitch w:val="default"/>
    <w:sig w:usb0="00000001" w:usb1="080E0000" w:usb2="00000000" w:usb3="00000000" w:csb0="00040000" w:csb1="00000000"/>
    <w:embedRegular r:id="rId3" w:fontKey="{53D02988-B857-4B88-8D09-2BB573428C61}"/>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4" w:fontKey="{F8134A5E-3D2D-41E5-88B1-EE50BD99225F}"/>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1853E11"/>
    <w:rsid w:val="02355837"/>
    <w:rsid w:val="023B0973"/>
    <w:rsid w:val="02610413"/>
    <w:rsid w:val="02F163A2"/>
    <w:rsid w:val="02FE786C"/>
    <w:rsid w:val="03341650"/>
    <w:rsid w:val="036F2FCB"/>
    <w:rsid w:val="03B2599D"/>
    <w:rsid w:val="043C5F8E"/>
    <w:rsid w:val="04853A12"/>
    <w:rsid w:val="049941F3"/>
    <w:rsid w:val="04A60F90"/>
    <w:rsid w:val="04D2103C"/>
    <w:rsid w:val="04D550AF"/>
    <w:rsid w:val="06B83B39"/>
    <w:rsid w:val="06DE29E2"/>
    <w:rsid w:val="071579E5"/>
    <w:rsid w:val="07702E6D"/>
    <w:rsid w:val="07A86AAB"/>
    <w:rsid w:val="07C65825"/>
    <w:rsid w:val="09067414"/>
    <w:rsid w:val="09170A81"/>
    <w:rsid w:val="0AC27E84"/>
    <w:rsid w:val="0AEF732F"/>
    <w:rsid w:val="0B0F5B25"/>
    <w:rsid w:val="0BD256C9"/>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307DB5"/>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436A88"/>
    <w:rsid w:val="205102FB"/>
    <w:rsid w:val="20762FC4"/>
    <w:rsid w:val="212C60E2"/>
    <w:rsid w:val="21DB6E7F"/>
    <w:rsid w:val="21DE15EF"/>
    <w:rsid w:val="23021A8B"/>
    <w:rsid w:val="2320540D"/>
    <w:rsid w:val="23254B60"/>
    <w:rsid w:val="236E0539"/>
    <w:rsid w:val="23E6478B"/>
    <w:rsid w:val="2422471A"/>
    <w:rsid w:val="24A85EE5"/>
    <w:rsid w:val="24DB72C2"/>
    <w:rsid w:val="263962DE"/>
    <w:rsid w:val="276460F3"/>
    <w:rsid w:val="27660FAF"/>
    <w:rsid w:val="277166D1"/>
    <w:rsid w:val="277B4318"/>
    <w:rsid w:val="27822A1D"/>
    <w:rsid w:val="27B7194D"/>
    <w:rsid w:val="27E37B45"/>
    <w:rsid w:val="280600C8"/>
    <w:rsid w:val="28081174"/>
    <w:rsid w:val="28481571"/>
    <w:rsid w:val="28722F64"/>
    <w:rsid w:val="289B5D70"/>
    <w:rsid w:val="28A40771"/>
    <w:rsid w:val="290A1EBC"/>
    <w:rsid w:val="296B40D0"/>
    <w:rsid w:val="29980ADF"/>
    <w:rsid w:val="29B460DC"/>
    <w:rsid w:val="29D532D8"/>
    <w:rsid w:val="29E74DB9"/>
    <w:rsid w:val="2A0B6FEB"/>
    <w:rsid w:val="2A2A3694"/>
    <w:rsid w:val="2A6B1740"/>
    <w:rsid w:val="2A9D7519"/>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AA40AC"/>
    <w:rsid w:val="2FB43990"/>
    <w:rsid w:val="2FC040E2"/>
    <w:rsid w:val="30143D58"/>
    <w:rsid w:val="30240D0F"/>
    <w:rsid w:val="308158E7"/>
    <w:rsid w:val="309817B5"/>
    <w:rsid w:val="30A86679"/>
    <w:rsid w:val="31505F30"/>
    <w:rsid w:val="3177520D"/>
    <w:rsid w:val="31C7249B"/>
    <w:rsid w:val="31FB7654"/>
    <w:rsid w:val="32565D7D"/>
    <w:rsid w:val="32AA2E28"/>
    <w:rsid w:val="336E47B8"/>
    <w:rsid w:val="337D2302"/>
    <w:rsid w:val="33935522"/>
    <w:rsid w:val="33D75D4C"/>
    <w:rsid w:val="33DE0EF4"/>
    <w:rsid w:val="3416678C"/>
    <w:rsid w:val="34486A39"/>
    <w:rsid w:val="34C13400"/>
    <w:rsid w:val="34F32864"/>
    <w:rsid w:val="35386E11"/>
    <w:rsid w:val="35612ABD"/>
    <w:rsid w:val="375B2943"/>
    <w:rsid w:val="37FF70A8"/>
    <w:rsid w:val="38086A4E"/>
    <w:rsid w:val="38523D46"/>
    <w:rsid w:val="38C32119"/>
    <w:rsid w:val="38EE054F"/>
    <w:rsid w:val="38F01DF9"/>
    <w:rsid w:val="39440A0C"/>
    <w:rsid w:val="398443D3"/>
    <w:rsid w:val="398C3287"/>
    <w:rsid w:val="39A60AF6"/>
    <w:rsid w:val="3AA12D62"/>
    <w:rsid w:val="3B2319C9"/>
    <w:rsid w:val="3B5D5890"/>
    <w:rsid w:val="3BA6683D"/>
    <w:rsid w:val="3BC431AC"/>
    <w:rsid w:val="3C012639"/>
    <w:rsid w:val="3DA52B6A"/>
    <w:rsid w:val="3DFB3303"/>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A0F39E7"/>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036B77"/>
    <w:rsid w:val="55517AB0"/>
    <w:rsid w:val="57192BB8"/>
    <w:rsid w:val="5734671F"/>
    <w:rsid w:val="57423EBA"/>
    <w:rsid w:val="57813298"/>
    <w:rsid w:val="57AE7CE9"/>
    <w:rsid w:val="57BB500C"/>
    <w:rsid w:val="58753EBA"/>
    <w:rsid w:val="58E426FC"/>
    <w:rsid w:val="58FC3B2E"/>
    <w:rsid w:val="59063548"/>
    <w:rsid w:val="59895AEC"/>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5FED2422"/>
    <w:rsid w:val="60504E56"/>
    <w:rsid w:val="60535261"/>
    <w:rsid w:val="627A5057"/>
    <w:rsid w:val="62A033DD"/>
    <w:rsid w:val="62B113CD"/>
    <w:rsid w:val="62BA3A0F"/>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845731"/>
    <w:rsid w:val="6A9776F8"/>
    <w:rsid w:val="6AAF0A00"/>
    <w:rsid w:val="6AEF34F2"/>
    <w:rsid w:val="6B234F4A"/>
    <w:rsid w:val="6C5F0204"/>
    <w:rsid w:val="6C69186D"/>
    <w:rsid w:val="6C7D443F"/>
    <w:rsid w:val="6C8851EE"/>
    <w:rsid w:val="6CCF1622"/>
    <w:rsid w:val="6CE7035E"/>
    <w:rsid w:val="6DB1246A"/>
    <w:rsid w:val="6EAE5472"/>
    <w:rsid w:val="6FF857EA"/>
    <w:rsid w:val="702F5608"/>
    <w:rsid w:val="708F2CC4"/>
    <w:rsid w:val="709444F0"/>
    <w:rsid w:val="70A916A5"/>
    <w:rsid w:val="71182116"/>
    <w:rsid w:val="71205936"/>
    <w:rsid w:val="71477CCB"/>
    <w:rsid w:val="7178018F"/>
    <w:rsid w:val="71BA40BB"/>
    <w:rsid w:val="71CD052F"/>
    <w:rsid w:val="73740A39"/>
    <w:rsid w:val="73D43285"/>
    <w:rsid w:val="742B746E"/>
    <w:rsid w:val="74736F42"/>
    <w:rsid w:val="74CA7F29"/>
    <w:rsid w:val="752B1D3E"/>
    <w:rsid w:val="75913D16"/>
    <w:rsid w:val="763C0048"/>
    <w:rsid w:val="76766D2C"/>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55F76"/>
    <w:rsid w:val="7ABC4A73"/>
    <w:rsid w:val="7AC10876"/>
    <w:rsid w:val="7B014A3E"/>
    <w:rsid w:val="7B2F16E9"/>
    <w:rsid w:val="7B334ED0"/>
    <w:rsid w:val="7C4B6886"/>
    <w:rsid w:val="7C71236F"/>
    <w:rsid w:val="7C7B25BC"/>
    <w:rsid w:val="7C8D2B6B"/>
    <w:rsid w:val="7D360B0D"/>
    <w:rsid w:val="7D55069E"/>
    <w:rsid w:val="7D670C49"/>
    <w:rsid w:val="7D711B45"/>
    <w:rsid w:val="7E5F5E41"/>
    <w:rsid w:val="7E78432D"/>
    <w:rsid w:val="7E8C584A"/>
    <w:rsid w:val="7E8E02D3"/>
    <w:rsid w:val="7EA902C5"/>
    <w:rsid w:val="7EAA3560"/>
    <w:rsid w:val="7ECF553C"/>
    <w:rsid w:val="7EF10E29"/>
    <w:rsid w:val="7FB36445"/>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autoRedefine/>
    <w:qFormat/>
    <w:uiPriority w:val="0"/>
    <w:pPr>
      <w:keepNext/>
      <w:keepLines/>
      <w:spacing w:line="560" w:lineRule="exact"/>
      <w:outlineLvl w:val="2"/>
    </w:pPr>
    <w:rPr>
      <w:b/>
      <w:bCs/>
      <w:sz w:val="32"/>
      <w:szCs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autoRedefine/>
    <w:qFormat/>
    <w:uiPriority w:val="0"/>
    <w:rPr>
      <w:b/>
      <w:bCs/>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409</Words>
  <Characters>422</Characters>
  <Lines>9</Lines>
  <Paragraphs>2</Paragraphs>
  <TotalTime>2</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右先生</cp:lastModifiedBy>
  <cp:lastPrinted>2024-03-04T11:32:00Z</cp:lastPrinted>
  <dcterms:modified xsi:type="dcterms:W3CDTF">2024-05-13T09:46:48Z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7B718A08F4AD449EB4F3ABBB2F254500_13</vt:lpwstr>
  </property>
</Properties>
</file>