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库尔勒市科学技术局</w:t>
      </w: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val="en-US"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val="en-US"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bookmarkStart w:id="4" w:name="_Toc31238"/>
      <w:bookmarkStart w:id="5" w:name="_Toc2151"/>
      <w:r>
        <w:rPr>
          <w:rFonts w:hint="eastAsia" w:ascii="仿宋_GB2312" w:eastAsia="仿宋_GB2312"/>
          <w:color w:val="auto"/>
          <w:sz w:val="32"/>
          <w:szCs w:val="32"/>
          <w:highlight w:val="none"/>
        </w:rPr>
        <w:t xml:space="preserve">（一）贯彻实施创新驱动发展战略，拟订全市科技发展、引进国外智力规划和政策并组织实施。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 xml:space="preserve">（二）统筹推进全市科技体制改革，会同有关部门健全科技创新激励机制。优化科研体系建设,指导科研机构改革发展。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 xml:space="preserve">（三）推动科创平台的建设，负责科创平台项目决策咨询服务。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 xml:space="preserve">（四）会同有关部门提出优化配置科技资源的政策措施建议，推动多元化科技投入体系建设。统筹协调全市基础研究、应用研究、科 技攻关和成果转化，协调管理和监督实施市级各类科技计划。牵头建 立统一的市级科技管理平台，组织实施创新调查和科技报告制度。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 xml:space="preserve">（五）参与编制重点科技创新基地和重点科技基础设施建设规划和监督实施，推动科研条件保障建设和科技资源开放共享。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 xml:space="preserve">（六）组织拟订高新技术发展及产业化、科技促进农业农村和社会发展的规划、政策和措施。组织开展重点领域技术发展需求分析， 统筹关键共性技术、前沿引领技术、现代工程技术、颠覆性技术研发 和创新，统筹编制市重大科技项目规划并监督实施，牵头组织重大技 术攻关和成果应用示范。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 xml:space="preserve">（七）牵头组织高新技术企业、科技型中小企业等培育工作，推进企业科技研发机构建设，推动企业科技创新能力建设。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 xml:space="preserve">（八）拟订科技成果转移转化和促进产学研结合的相关政策措施并组织实施。完善科技成果转化机制建设。指导科技服务业、技术市 场和科技中介组织发展。承担推进科技军民融合发展相关工作。指导 全市科技保密工作。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 xml:space="preserve">（九）指导区域创新发展、科技资源合理布局和协同创新能力建设。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 xml:space="preserve">（十）负责科技监督评价体系建设和相关科技评估管理，指导推 进科技评价机制改革，推进科研诚信建设。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 xml:space="preserve">（十一）组织开展国际、国内科技合作与科技人才交流，牵头推进引进大院名校共建科技创新载体。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 xml:space="preserve">（十二）负责引进国外智力工作。拟订引进外国专家总体规划、计划并组织实施，建立外国专家联系服务机制。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 xml:space="preserve">（十三）负责科技人才队伍建设。会同有关部门拟订科技人才队伍建设规划和政策，建立健全科技人才评价和激励机制，组织实施科 技人才计划，推动高端科技创新人才队伍建设。会同有关部门拟订科 学普及规划和政策。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 xml:space="preserve">（十四）指导协调市政府各部门的科技创新工作，推动全市科技进步。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（十五）完成市委、市政府交办的其他任务。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库尔勒市科学技术局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30</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11</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color w:val="auto"/>
          <w:sz w:val="32"/>
          <w:szCs w:val="32"/>
          <w:highlight w:val="none"/>
          <w:lang w:val="en-US" w:eastAsia="zh-CN"/>
        </w:rPr>
        <w:t>单位无下属预算单位，下设3个处室，分别是：行政办公室、科技规划与管理股、创新发展与引智股。</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437.59万元，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437.59万元，使用非财政拨款结余0.00万元，年初结转和结余0.00万元。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437.59万元，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437.59万元，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增加132.35万元</w:t>
      </w:r>
      <w:r>
        <w:rPr>
          <w:rFonts w:hint="eastAsia" w:ascii="仿宋_GB2312" w:eastAsia="仿宋_GB2312"/>
          <w:color w:val="auto"/>
          <w:spacing w:val="0"/>
          <w:sz w:val="32"/>
          <w:szCs w:val="32"/>
          <w:highlight w:val="none"/>
          <w:lang w:eastAsia="zh-CN"/>
        </w:rPr>
        <w:t>，增长43.36%，主要原因是：本年增拨科技项目经费、拨入工作队经费、人员工资基数增长、社保公积金基数增大。</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437.59</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437.59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本年支出437.59万元，其中：基本支出328.54万元，占75.08%；项目支出109.04万元，占24.92%；上缴上级支出0.00万元，占0.00%；经营支出0.00万元，占0.00%；对附属单位补助支出0.00万元，占0.00%。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437.59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437.59</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437.59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437.59</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增加132.35万元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增长43.36%,</w:t>
      </w:r>
      <w:r>
        <w:rPr>
          <w:rFonts w:hint="eastAsia" w:ascii="仿宋_GB2312" w:eastAsia="仿宋_GB2312"/>
          <w:color w:val="auto"/>
          <w:spacing w:val="0"/>
          <w:sz w:val="32"/>
          <w:szCs w:val="32"/>
          <w:highlight w:val="none"/>
          <w:lang w:eastAsia="zh-CN"/>
        </w:rPr>
        <w:t>主要原因是：本年增拨科技项目经费、拨入工作队经费、人员工资基数增长、社保公积金基数增大。与年初预算相比，年初预算数</w:t>
      </w:r>
      <w:r>
        <w:rPr>
          <w:rFonts w:hint="eastAsia" w:ascii="仿宋_GB2312" w:eastAsia="仿宋_GB2312"/>
          <w:color w:val="auto"/>
          <w:spacing w:val="0"/>
          <w:sz w:val="32"/>
          <w:szCs w:val="32"/>
          <w:highlight w:val="none"/>
          <w:lang w:val="zh-CN" w:eastAsia="zh-CN"/>
        </w:rPr>
        <w:t>480.50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437.59</w:t>
      </w:r>
      <w:r>
        <w:rPr>
          <w:rFonts w:hint="eastAsia" w:ascii="仿宋_GB2312" w:eastAsia="仿宋_GB2312"/>
          <w:color w:val="auto"/>
          <w:spacing w:val="0"/>
          <w:sz w:val="32"/>
          <w:szCs w:val="32"/>
          <w:highlight w:val="none"/>
          <w:lang w:eastAsia="zh-CN"/>
        </w:rPr>
        <w:t>万元，预决算差异率-8.93%，主要原因是：</w:t>
      </w:r>
      <w:r>
        <w:rPr>
          <w:rFonts w:hint="eastAsia" w:ascii="仿宋" w:hAnsi="仿宋" w:eastAsia="仿宋" w:cs="仿宋"/>
          <w:b w:val="0"/>
          <w:bCs/>
          <w:color w:val="auto"/>
          <w:sz w:val="32"/>
          <w:szCs w:val="32"/>
          <w:highlight w:val="none"/>
          <w:lang w:val="en-US" w:eastAsia="zh-CN"/>
        </w:rPr>
        <w:t>厉行节约，精简其他各</w:t>
      </w:r>
      <w:r>
        <w:rPr>
          <w:rFonts w:hint="eastAsia" w:ascii="仿宋_GB2312" w:eastAsia="仿宋_GB2312"/>
          <w:color w:val="auto"/>
          <w:spacing w:val="0"/>
          <w:sz w:val="32"/>
          <w:szCs w:val="32"/>
          <w:highlight w:val="none"/>
          <w:lang w:val="en-US" w:eastAsia="zh-CN"/>
        </w:rPr>
        <w:t>项办公支出。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yellow"/>
          <w:lang w:val="en-US" w:eastAsia="zh-CN"/>
        </w:rPr>
      </w:pPr>
      <w:r>
        <w:rPr>
          <w:rFonts w:hint="eastAsia" w:ascii="仿宋_GB2312" w:eastAsia="仿宋_GB2312"/>
          <w:color w:val="auto"/>
          <w:spacing w:val="0"/>
          <w:sz w:val="32"/>
          <w:szCs w:val="32"/>
          <w:highlight w:val="none"/>
          <w:lang w:eastAsia="zh-CN"/>
        </w:rPr>
        <w:t>2023年度一般公共预算财政拨款支出437.59万元，占本年支出合计的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增加132.35万元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增长43.36%,</w:t>
      </w:r>
      <w:r>
        <w:rPr>
          <w:rFonts w:hint="eastAsia" w:ascii="仿宋_GB2312" w:eastAsia="仿宋_GB2312"/>
          <w:color w:val="auto"/>
          <w:spacing w:val="0"/>
          <w:sz w:val="32"/>
          <w:szCs w:val="32"/>
          <w:highlight w:val="none"/>
          <w:lang w:eastAsia="zh-CN"/>
        </w:rPr>
        <w:t>主要原因是：本年增拨科技项目经费、拨入工作队经费、人员工资基数增长、社保公积金基数增大。与年初预算相比，年初预算数</w:t>
      </w:r>
      <w:r>
        <w:rPr>
          <w:rFonts w:hint="eastAsia" w:ascii="仿宋_GB2312" w:eastAsia="仿宋_GB2312"/>
          <w:color w:val="auto"/>
          <w:spacing w:val="0"/>
          <w:sz w:val="32"/>
          <w:szCs w:val="32"/>
          <w:highlight w:val="none"/>
          <w:lang w:val="zh-CN" w:eastAsia="zh-CN"/>
        </w:rPr>
        <w:t>480.50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437.59</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-8.93%</w:t>
      </w:r>
      <w:r>
        <w:rPr>
          <w:rFonts w:hint="eastAsia" w:ascii="仿宋_GB2312" w:eastAsia="仿宋_GB2312"/>
          <w:color w:val="auto"/>
          <w:spacing w:val="0"/>
          <w:sz w:val="32"/>
          <w:szCs w:val="32"/>
          <w:highlight w:val="none"/>
          <w:lang w:eastAsia="zh-CN"/>
        </w:rPr>
        <w:t>，主要原因是：</w:t>
      </w:r>
      <w:r>
        <w:rPr>
          <w:rFonts w:hint="eastAsia" w:ascii="仿宋" w:hAnsi="仿宋" w:eastAsia="仿宋" w:cs="仿宋"/>
          <w:b w:val="0"/>
          <w:bCs/>
          <w:color w:val="auto"/>
          <w:sz w:val="32"/>
          <w:szCs w:val="32"/>
          <w:highlight w:val="none"/>
          <w:lang w:val="en-US" w:eastAsia="zh-CN"/>
        </w:rPr>
        <w:t>厉行节约，精简其他各</w:t>
      </w:r>
      <w:r>
        <w:rPr>
          <w:rFonts w:hint="eastAsia" w:ascii="仿宋_GB2312" w:eastAsia="仿宋_GB2312"/>
          <w:color w:val="auto"/>
          <w:spacing w:val="0"/>
          <w:sz w:val="32"/>
          <w:szCs w:val="32"/>
          <w:highlight w:val="none"/>
          <w:lang w:val="en-US" w:eastAsia="zh-CN"/>
        </w:rPr>
        <w:t>项办公支出。</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en-US"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科学技术支出（类）</w:t>
      </w:r>
      <w:r>
        <w:rPr>
          <w:rFonts w:hint="eastAsia" w:ascii="仿宋_GB2312" w:hAnsi="Times New Roman" w:eastAsia="仿宋_GB2312" w:cs="Times New Roman"/>
          <w:color w:val="auto"/>
          <w:spacing w:val="0"/>
          <w:kern w:val="2"/>
          <w:sz w:val="32"/>
          <w:szCs w:val="32"/>
          <w:highlight w:val="none"/>
          <w:lang w:val="zh-CN" w:eastAsia="zh-CN" w:bidi="ar-SA"/>
        </w:rPr>
        <w:t>437.59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100.00</w:t>
      </w:r>
      <w:r>
        <w:rPr>
          <w:rFonts w:hint="default" w:ascii="仿宋_GB2312" w:hAnsi="Times New Roman" w:eastAsia="仿宋_GB2312" w:cs="Times New Roman"/>
          <w:color w:val="auto"/>
          <w:spacing w:val="0"/>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1.科学技术支出（类）科学技术管理事务（款）行政运行（项）:支出决算数为328.54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32.88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11.12%，主要原因是：</w:t>
      </w:r>
      <w:r>
        <w:rPr>
          <w:rFonts w:hint="eastAsia" w:ascii="Times New Roman" w:hAnsi="Times New Roman" w:eastAsia="仿宋_GB2312" w:cs="Times New Roman"/>
          <w:color w:val="auto"/>
          <w:kern w:val="2"/>
          <w:sz w:val="32"/>
          <w:szCs w:val="32"/>
          <w:highlight w:val="none"/>
          <w:lang w:val="zh-CN" w:eastAsia="zh-CN" w:bidi="ar-SA"/>
        </w:rPr>
        <w:t>拨入工作队经费、人员工资基数增长、社保公积金基数增大</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2.科学技术支出（类）技术研究与开发（款）科技成果转化与扩散（项）:支出决算数为109.04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99.48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增长1040.59</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color w:val="auto"/>
          <w:kern w:val="2"/>
          <w:sz w:val="32"/>
          <w:szCs w:val="32"/>
          <w:highlight w:val="none"/>
          <w:lang w:val="zh-CN" w:eastAsia="zh-CN" w:bidi="ar-SA"/>
        </w:rPr>
        <w:t>本年增拨科技项目经费</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328.54</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309.90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其他工资福利支出、退休费、抚恤金、医疗费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18.64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办公费、印刷费、邮电费、差旅费、培训费、工会经费、公务用车运行维护费、其他交通费用。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“三公”经费支出2.22万元，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减少0.01万元，</w:t>
      </w:r>
      <w:r>
        <w:rPr>
          <w:rFonts w:hint="eastAsia" w:ascii="仿宋_GB2312" w:eastAsia="仿宋_GB2312"/>
          <w:color w:val="auto"/>
          <w:spacing w:val="0"/>
          <w:sz w:val="32"/>
          <w:szCs w:val="32"/>
          <w:highlight w:val="none"/>
          <w:lang w:val="en-US" w:eastAsia="zh-CN"/>
        </w:rPr>
        <w:t>下降0.45%,</w:t>
      </w:r>
      <w:r>
        <w:rPr>
          <w:rFonts w:hint="eastAsia" w:ascii="仿宋_GB2312" w:eastAsia="仿宋_GB2312"/>
          <w:color w:val="auto"/>
          <w:sz w:val="32"/>
          <w:szCs w:val="32"/>
          <w:highlight w:val="none"/>
          <w:lang w:val="zh-CN" w:eastAsia="zh-CN"/>
        </w:rPr>
        <w:t>主要原因是：严格控制三公经费，厉行节约。其中：因公出国（境）费支出0.00万元，占0.00%，比上年增加0.00万元，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主要原因是：我单位无因公出国（境）费；公务用车购置及运行维护费支出2.22万元，占100.00%，比上年减少0.01万元，</w:t>
      </w:r>
      <w:r>
        <w:rPr>
          <w:rFonts w:hint="eastAsia" w:ascii="仿宋_GB2312" w:eastAsia="仿宋_GB2312"/>
          <w:color w:val="auto"/>
          <w:spacing w:val="0"/>
          <w:sz w:val="32"/>
          <w:szCs w:val="32"/>
          <w:highlight w:val="none"/>
          <w:lang w:val="en-US" w:eastAsia="zh-CN"/>
        </w:rPr>
        <w:t>下降0.45%,</w:t>
      </w:r>
      <w:r>
        <w:rPr>
          <w:rFonts w:hint="eastAsia" w:ascii="仿宋_GB2312" w:eastAsia="仿宋_GB2312"/>
          <w:color w:val="auto"/>
          <w:sz w:val="32"/>
          <w:szCs w:val="32"/>
          <w:highlight w:val="none"/>
          <w:lang w:val="zh-CN" w:eastAsia="zh-CN"/>
        </w:rPr>
        <w:t>主要原因是：严格控制三公经费，厉行节约；公务接待费支出0.00万元，占0.00%，比上年增加0.00万元，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主要原因是：我单位无公务接待费。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因公出国（境）费支出0.00万元，开支内容包括本年度未安排因公出国（境）费支出，无开支内容。单位全年安排的因公出国（境）团组0个，因公出国（境）0人次。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2.22万元，其中：公务用车购置费0.00万元，公务用车运行维护费2.22万元。公务用车运行维护费开支内容包括车辆保险、燃油费、维修费等。公务用车购置数0辆，公务用车保有量3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4辆，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原因是：2008年8月5日库尔勒市科协技术协会购买价值128153元</w:t>
      </w:r>
      <w:r>
        <w:rPr>
          <w:rFonts w:hint="eastAsia" w:ascii="仿宋_GB2312" w:eastAsia="仿宋_GB2312"/>
          <w:color w:val="auto"/>
          <w:sz w:val="32"/>
          <w:szCs w:val="32"/>
          <w:highlight w:val="none"/>
          <w:lang w:val="en-US" w:eastAsia="zh-CN"/>
        </w:rPr>
        <w:t>的北京现代牌黑色小型轿车</w:t>
      </w:r>
      <w:r>
        <w:rPr>
          <w:rFonts w:hint="eastAsia" w:ascii="仿宋_GB2312" w:eastAsia="仿宋_GB2312"/>
          <w:color w:val="auto"/>
          <w:sz w:val="32"/>
          <w:szCs w:val="32"/>
          <w:highlight w:val="none"/>
          <w:lang w:val="zh-CN" w:eastAsia="zh-CN"/>
        </w:rPr>
        <w:t>，当时科技局和科协合署办公，固定资产入本单位账户上。车辆一直在库尔勒市科学技术协会在用。</w:t>
      </w:r>
      <w:bookmarkStart w:id="48" w:name="_GoBack"/>
      <w:bookmarkEnd w:id="48"/>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公务接待费0.00万元，开支内容包括本年度未安排公务接待费支出，无开支内容。单位全年安排的国内公务接待0批次，0人次。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预算数2.22万元，决算数2.22万元，预决算差异率0.00%，主要原因是：严格控制三公经费，厉行节约。其中：因公出国（境）费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0.00万元，决算数0.00万元，预决算差异率0.00%，主要原因是：我单位无因公出国（境）费；公务用车购置费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预算数2.22万元，决算数2.22万元，预决算差异率0.00%，主要原因是：严格控制三公经费，厉行节约；公务接待费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库尔勒市科学技术局（行政单位和参照公务员法管理事业单位）机关运行经费支出18.64万元，</w:t>
      </w:r>
      <w:r>
        <w:rPr>
          <w:rFonts w:hint="eastAsia" w:ascii="Times New Roman" w:hAnsi="Times New Roman" w:eastAsia="仿宋_GB2312" w:cs="Times New Roman"/>
          <w:color w:val="auto"/>
          <w:sz w:val="32"/>
          <w:szCs w:val="32"/>
          <w:highlight w:val="none"/>
          <w:lang w:val="zh-CN" w:eastAsia="zh-CN"/>
        </w:rPr>
        <w:t>比上年增加9.25万元，增长98.</w:t>
      </w:r>
      <w:r>
        <w:rPr>
          <w:rFonts w:hint="eastAsia" w:eastAsia="仿宋_GB2312" w:cs="Times New Roman"/>
          <w:color w:val="auto"/>
          <w:sz w:val="32"/>
          <w:szCs w:val="32"/>
          <w:highlight w:val="none"/>
          <w:lang w:val="en-US" w:eastAsia="zh-CN"/>
        </w:rPr>
        <w:t>51</w:t>
      </w:r>
      <w:r>
        <w:rPr>
          <w:rFonts w:hint="eastAsia" w:ascii="Times New Roman" w:hAnsi="Times New Roman" w:eastAsia="仿宋_GB2312" w:cs="Times New Roman"/>
          <w:color w:val="auto"/>
          <w:sz w:val="32"/>
          <w:szCs w:val="32"/>
          <w:highlight w:val="none"/>
          <w:lang w:val="zh-CN" w:eastAsia="zh-CN"/>
        </w:rPr>
        <w:t>%，主要原因是：增拨科技项目经费及工作队经费</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93.34万元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其中：政府采购货物支出0.00万元、政府采购工程支出0.00万元、政府采购服务支出93.34万元。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授予中小企业合同金额91.67万元，占政府采购支出总额的98.21</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，其中：授予小微企业合同金额1.67万元，占政府采购支出总额的1.79</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168.80</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屋0.00平方米，价值0.00万元。车辆4辆，价值58.23万元，其中：副部（省）级及以上领导用车0辆、主要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用车0辆、其他用车4辆，其他用车主要是：办公室及单位其他外出办事用车；单价100万元（含）以上设备（不含车辆）0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预算总额437.59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实际执行总额437.59</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全年预算数555.45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全年执行数109.04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通过加强预算收支管理、不断建立健全内部管理制度、梳理内部管理流程，部门整体支出管理情况得到提升；二是严格履行政府采购程序，规范政府采购行为，加强对政府采购全流程活动的规范管理，推动政府采购相关制度贯彻落实。发现的问题及原因：一是目前的预算管理在编制和实施中还存在编制不细、预算调整较多、追加预算比重较大等现象,因此项目预算执行的准确性还有待加强；二是经办机构存在工作经费紧缺，信息化建设滞后的情况。下一步改进措施：一是全面编制预算项目，优先保障固定的、相对刚性的费用支出项目；二是加强与财政部门的紧密配合,开展好整体支出及项目资金绩效管理工作,运用好绩效评价的结果,不断提升预算管理水平。具体项目自评情况附绩效自评表及自评报告。</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576" w:firstLineChars="200"/>
        <w:jc w:val="both"/>
        <w:textAlignment w:val="auto"/>
        <w:outlineLvl w:val="1"/>
        <w:rPr>
          <w:rFonts w:hint="eastAsia" w:ascii="黑体" w:hAnsi="黑体" w:eastAsia="仿宋_GB2312" w:cs="宋体"/>
          <w:bCs/>
          <w:color w:val="auto"/>
          <w:w w:val="90"/>
          <w:kern w:val="0"/>
          <w:sz w:val="32"/>
          <w:szCs w:val="32"/>
          <w:highlight w:val="none"/>
        </w:rPr>
      </w:pPr>
      <w:bookmarkStart w:id="46" w:name="_Toc5453"/>
      <w:bookmarkStart w:id="47" w:name="_Toc7643"/>
      <w:r>
        <w:rPr>
          <w:rFonts w:hint="eastAsia" w:ascii="黑体" w:hAnsi="黑体" w:eastAsia="仿宋_GB2312" w:cs="宋体"/>
          <w:bCs/>
          <w:color w:val="auto"/>
          <w:w w:val="90"/>
          <w:kern w:val="0"/>
          <w:sz w:val="32"/>
          <w:szCs w:val="32"/>
          <w:highlight w:val="none"/>
        </w:rPr>
        <w:t>八、《政府性基金预算财政拨款收入支出决算表》</w:t>
      </w:r>
      <w:bookmarkEnd w:id="46"/>
      <w:bookmarkEnd w:id="47"/>
      <w:r>
        <w:rPr>
          <w:rFonts w:hint="eastAsia" w:ascii="黑体" w:hAnsi="黑体" w:eastAsia="仿宋_GB2312" w:cs="宋体"/>
          <w:bCs/>
          <w:color w:val="auto"/>
          <w:w w:val="90"/>
          <w:kern w:val="0"/>
          <w:sz w:val="32"/>
          <w:szCs w:val="32"/>
          <w:highlight w:val="none"/>
          <w:lang w:eastAsia="zh-CN"/>
        </w:rPr>
        <w:t>（</w:t>
      </w:r>
      <w:r>
        <w:rPr>
          <w:rFonts w:hint="eastAsia" w:ascii="黑体" w:hAnsi="黑体" w:eastAsia="仿宋_GB2312" w:cs="宋体"/>
          <w:bCs/>
          <w:color w:val="auto"/>
          <w:w w:val="90"/>
          <w:kern w:val="0"/>
          <w:sz w:val="32"/>
          <w:szCs w:val="32"/>
          <w:highlight w:val="none"/>
          <w:lang w:val="en-US" w:eastAsia="zh-CN"/>
        </w:rPr>
        <w:t>空表</w:t>
      </w:r>
      <w:r>
        <w:rPr>
          <w:rFonts w:hint="eastAsia" w:ascii="黑体" w:hAnsi="黑体" w:eastAsia="仿宋_GB2312" w:cs="宋体"/>
          <w:bCs/>
          <w:color w:val="auto"/>
          <w:w w:val="90"/>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576" w:firstLineChars="200"/>
        <w:jc w:val="both"/>
        <w:textAlignment w:val="auto"/>
        <w:outlineLvl w:val="1"/>
        <w:rPr>
          <w:rFonts w:hint="eastAsia" w:ascii="黑体" w:hAnsi="黑体" w:eastAsia="仿宋_GB2312" w:cs="宋体"/>
          <w:bCs/>
          <w:color w:val="auto"/>
          <w:w w:val="90"/>
          <w:kern w:val="0"/>
          <w:sz w:val="32"/>
          <w:szCs w:val="32"/>
          <w:highlight w:val="none"/>
        </w:rPr>
      </w:pPr>
      <w:r>
        <w:rPr>
          <w:rFonts w:hint="eastAsia" w:ascii="黑体" w:hAnsi="黑体" w:eastAsia="仿宋_GB2312" w:cs="宋体"/>
          <w:bCs/>
          <w:color w:val="auto"/>
          <w:w w:val="90"/>
          <w:kern w:val="0"/>
          <w:sz w:val="32"/>
          <w:szCs w:val="32"/>
          <w:highlight w:val="none"/>
          <w:lang w:val="en-US" w:eastAsia="zh-CN"/>
        </w:rPr>
        <w:t>九</w:t>
      </w:r>
      <w:r>
        <w:rPr>
          <w:rFonts w:hint="eastAsia" w:ascii="黑体" w:hAnsi="黑体" w:eastAsia="仿宋_GB2312" w:cs="宋体"/>
          <w:bCs/>
          <w:color w:val="auto"/>
          <w:w w:val="90"/>
          <w:kern w:val="0"/>
          <w:sz w:val="32"/>
          <w:szCs w:val="32"/>
          <w:highlight w:val="none"/>
        </w:rPr>
        <w:t>、《</w:t>
      </w:r>
      <w:r>
        <w:rPr>
          <w:rFonts w:hint="eastAsia" w:ascii="黑体" w:hAnsi="黑体" w:eastAsia="仿宋_GB2312" w:cs="宋体"/>
          <w:bCs/>
          <w:color w:val="auto"/>
          <w:w w:val="90"/>
          <w:kern w:val="0"/>
          <w:sz w:val="32"/>
          <w:szCs w:val="32"/>
          <w:highlight w:val="none"/>
          <w:lang w:eastAsia="zh-CN"/>
        </w:rPr>
        <w:t>国有资本经营</w:t>
      </w:r>
      <w:r>
        <w:rPr>
          <w:rFonts w:hint="eastAsia" w:ascii="黑体" w:hAnsi="黑体" w:eastAsia="仿宋_GB2312" w:cs="宋体"/>
          <w:bCs/>
          <w:color w:val="auto"/>
          <w:w w:val="90"/>
          <w:kern w:val="0"/>
          <w:sz w:val="32"/>
          <w:szCs w:val="32"/>
          <w:highlight w:val="none"/>
        </w:rPr>
        <w:t>预算财政拨款收入支出决算表》</w:t>
      </w:r>
      <w:r>
        <w:rPr>
          <w:rFonts w:hint="eastAsia" w:ascii="黑体" w:hAnsi="黑体" w:eastAsia="仿宋_GB2312" w:cs="宋体"/>
          <w:bCs/>
          <w:color w:val="auto"/>
          <w:w w:val="90"/>
          <w:kern w:val="0"/>
          <w:sz w:val="32"/>
          <w:szCs w:val="32"/>
          <w:highlight w:val="none"/>
          <w:lang w:eastAsia="zh-CN"/>
        </w:rPr>
        <w:t>（</w:t>
      </w:r>
      <w:r>
        <w:rPr>
          <w:rFonts w:hint="eastAsia" w:ascii="黑体" w:hAnsi="黑体" w:eastAsia="仿宋_GB2312" w:cs="宋体"/>
          <w:bCs/>
          <w:color w:val="auto"/>
          <w:w w:val="90"/>
          <w:kern w:val="0"/>
          <w:sz w:val="32"/>
          <w:szCs w:val="32"/>
          <w:highlight w:val="none"/>
          <w:lang w:val="en-US" w:eastAsia="zh-CN"/>
        </w:rPr>
        <w:t>空表</w:t>
      </w:r>
      <w:r>
        <w:rPr>
          <w:rFonts w:hint="eastAsia" w:ascii="黑体" w:hAnsi="黑体" w:eastAsia="仿宋_GB2312" w:cs="宋体"/>
          <w:bCs/>
          <w:color w:val="auto"/>
          <w:w w:val="90"/>
          <w:kern w:val="0"/>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59264" behindDoc="0" locked="0" layoutInCell="1" allowOverlap="1">
            <wp:simplePos x="0" y="0"/>
            <wp:positionH relativeFrom="column">
              <wp:posOffset>-487045</wp:posOffset>
            </wp:positionH>
            <wp:positionV relativeFrom="paragraph">
              <wp:posOffset>-24130</wp:posOffset>
            </wp:positionV>
            <wp:extent cx="6272530" cy="8788400"/>
            <wp:effectExtent l="0" t="0" r="13970" b="12700"/>
            <wp:wrapSquare wrapText="bothSides"/>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5"/>
                    <a:stretch>
                      <a:fillRect/>
                    </a:stretch>
                  </pic:blipFill>
                  <pic:spPr>
                    <a:xfrm>
                      <a:off x="0" y="0"/>
                      <a:ext cx="6272530" cy="878840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0288" behindDoc="0" locked="0" layoutInCell="1" allowOverlap="1">
            <wp:simplePos x="0" y="0"/>
            <wp:positionH relativeFrom="column">
              <wp:posOffset>-564515</wp:posOffset>
            </wp:positionH>
            <wp:positionV relativeFrom="paragraph">
              <wp:posOffset>-26035</wp:posOffset>
            </wp:positionV>
            <wp:extent cx="6649085" cy="4709795"/>
            <wp:effectExtent l="0" t="0" r="18415" b="14605"/>
            <wp:wrapSquare wrapText="bothSides"/>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6"/>
                    <a:stretch>
                      <a:fillRect/>
                    </a:stretch>
                  </pic:blipFill>
                  <pic:spPr>
                    <a:xfrm>
                      <a:off x="0" y="0"/>
                      <a:ext cx="6649085" cy="470979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1312" behindDoc="0" locked="0" layoutInCell="1" allowOverlap="1">
            <wp:simplePos x="0" y="0"/>
            <wp:positionH relativeFrom="column">
              <wp:posOffset>-486410</wp:posOffset>
            </wp:positionH>
            <wp:positionV relativeFrom="paragraph">
              <wp:posOffset>12065</wp:posOffset>
            </wp:positionV>
            <wp:extent cx="6506210" cy="4224020"/>
            <wp:effectExtent l="0" t="0" r="8890" b="5080"/>
            <wp:wrapSquare wrapText="bothSides"/>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7"/>
                    <a:stretch>
                      <a:fillRect/>
                    </a:stretch>
                  </pic:blipFill>
                  <pic:spPr>
                    <a:xfrm>
                      <a:off x="0" y="0"/>
                      <a:ext cx="6506210" cy="422402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2336" behindDoc="0" locked="0" layoutInCell="1" allowOverlap="1">
            <wp:simplePos x="0" y="0"/>
            <wp:positionH relativeFrom="column">
              <wp:posOffset>-521335</wp:posOffset>
            </wp:positionH>
            <wp:positionV relativeFrom="paragraph">
              <wp:posOffset>-52705</wp:posOffset>
            </wp:positionV>
            <wp:extent cx="6384925" cy="8491855"/>
            <wp:effectExtent l="0" t="0" r="15875" b="4445"/>
            <wp:wrapSquare wrapText="bothSides"/>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8"/>
                    <a:stretch>
                      <a:fillRect/>
                    </a:stretch>
                  </pic:blipFill>
                  <pic:spPr>
                    <a:xfrm>
                      <a:off x="0" y="0"/>
                      <a:ext cx="6384925" cy="849185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3360" behindDoc="0" locked="0" layoutInCell="1" allowOverlap="1">
            <wp:simplePos x="0" y="0"/>
            <wp:positionH relativeFrom="column">
              <wp:posOffset>-443230</wp:posOffset>
            </wp:positionH>
            <wp:positionV relativeFrom="paragraph">
              <wp:posOffset>635</wp:posOffset>
            </wp:positionV>
            <wp:extent cx="6236335" cy="5709285"/>
            <wp:effectExtent l="0" t="0" r="12065" b="5715"/>
            <wp:wrapSquare wrapText="bothSides"/>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pic:cNvPicPr>
                  </pic:nvPicPr>
                  <pic:blipFill>
                    <a:blip r:embed="rId9"/>
                    <a:stretch>
                      <a:fillRect/>
                    </a:stretch>
                  </pic:blipFill>
                  <pic:spPr>
                    <a:xfrm>
                      <a:off x="0" y="0"/>
                      <a:ext cx="6236335" cy="570928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7456" behindDoc="0" locked="0" layoutInCell="1" allowOverlap="1">
            <wp:simplePos x="0" y="0"/>
            <wp:positionH relativeFrom="column">
              <wp:posOffset>-390525</wp:posOffset>
            </wp:positionH>
            <wp:positionV relativeFrom="paragraph">
              <wp:posOffset>-36195</wp:posOffset>
            </wp:positionV>
            <wp:extent cx="6379845" cy="8802370"/>
            <wp:effectExtent l="0" t="0" r="1905" b="17780"/>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6379845" cy="880237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4384" behindDoc="0" locked="0" layoutInCell="1" allowOverlap="1">
            <wp:simplePos x="0" y="0"/>
            <wp:positionH relativeFrom="column">
              <wp:posOffset>-659765</wp:posOffset>
            </wp:positionH>
            <wp:positionV relativeFrom="paragraph">
              <wp:posOffset>-42545</wp:posOffset>
            </wp:positionV>
            <wp:extent cx="6581140" cy="3327400"/>
            <wp:effectExtent l="0" t="0" r="10160" b="6350"/>
            <wp:wrapSquare wrapText="bothSides"/>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pic:cNvPicPr>
                      <a:picLocks noChangeAspect="1"/>
                    </pic:cNvPicPr>
                  </pic:nvPicPr>
                  <pic:blipFill>
                    <a:blip r:embed="rId11"/>
                    <a:stretch>
                      <a:fillRect/>
                    </a:stretch>
                  </pic:blipFill>
                  <pic:spPr>
                    <a:xfrm>
                      <a:off x="0" y="0"/>
                      <a:ext cx="6581140" cy="332740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5408" behindDoc="0" locked="0" layoutInCell="1" allowOverlap="1">
            <wp:simplePos x="0" y="0"/>
            <wp:positionH relativeFrom="column">
              <wp:posOffset>-417830</wp:posOffset>
            </wp:positionH>
            <wp:positionV relativeFrom="paragraph">
              <wp:posOffset>-28575</wp:posOffset>
            </wp:positionV>
            <wp:extent cx="6198870" cy="2879090"/>
            <wp:effectExtent l="0" t="0" r="11430" b="16510"/>
            <wp:wrapSquare wrapText="bothSides"/>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pic:cNvPicPr>
                      <a:picLocks noChangeAspect="1"/>
                    </pic:cNvPicPr>
                  </pic:nvPicPr>
                  <pic:blipFill>
                    <a:blip r:embed="rId12"/>
                    <a:stretch>
                      <a:fillRect/>
                    </a:stretch>
                  </pic:blipFill>
                  <pic:spPr>
                    <a:xfrm>
                      <a:off x="0" y="0"/>
                      <a:ext cx="6198870" cy="287909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6432" behindDoc="0" locked="0" layoutInCell="1" allowOverlap="1">
            <wp:simplePos x="0" y="0"/>
            <wp:positionH relativeFrom="column">
              <wp:posOffset>-578485</wp:posOffset>
            </wp:positionH>
            <wp:positionV relativeFrom="paragraph">
              <wp:posOffset>69215</wp:posOffset>
            </wp:positionV>
            <wp:extent cx="6504305" cy="3237865"/>
            <wp:effectExtent l="0" t="0" r="10795" b="635"/>
            <wp:wrapSquare wrapText="bothSides"/>
            <wp:docPr id="1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0"/>
                    <pic:cNvPicPr>
                      <a:picLocks noChangeAspect="1"/>
                    </pic:cNvPicPr>
                  </pic:nvPicPr>
                  <pic:blipFill>
                    <a:blip r:embed="rId13"/>
                    <a:stretch>
                      <a:fillRect/>
                    </a:stretch>
                  </pic:blipFill>
                  <pic:spPr>
                    <a:xfrm>
                      <a:off x="0" y="0"/>
                      <a:ext cx="6504305" cy="323786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1ED22F2"/>
    <w:rsid w:val="02BD3108"/>
    <w:rsid w:val="02F73D26"/>
    <w:rsid w:val="034D4FEF"/>
    <w:rsid w:val="035D1785"/>
    <w:rsid w:val="039F47CE"/>
    <w:rsid w:val="03E05CE8"/>
    <w:rsid w:val="03E60AF5"/>
    <w:rsid w:val="03F973EE"/>
    <w:rsid w:val="043E5B56"/>
    <w:rsid w:val="046E1405"/>
    <w:rsid w:val="04C04386"/>
    <w:rsid w:val="04D96608"/>
    <w:rsid w:val="04FA68C4"/>
    <w:rsid w:val="053F5AE6"/>
    <w:rsid w:val="057C0B0F"/>
    <w:rsid w:val="05EF4B48"/>
    <w:rsid w:val="05F76ECA"/>
    <w:rsid w:val="06792773"/>
    <w:rsid w:val="069B3911"/>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8231B2"/>
    <w:rsid w:val="14B932DA"/>
    <w:rsid w:val="150A66AF"/>
    <w:rsid w:val="154C1139"/>
    <w:rsid w:val="158C5B77"/>
    <w:rsid w:val="160A084D"/>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9E599F"/>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B70242"/>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681A0B"/>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4FA90383"/>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5E816A3"/>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019B5"/>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5F639B"/>
    <w:rsid w:val="5E7E6D93"/>
    <w:rsid w:val="5ED44800"/>
    <w:rsid w:val="5F350BDE"/>
    <w:rsid w:val="5F61632C"/>
    <w:rsid w:val="5FA17648"/>
    <w:rsid w:val="5FE705CB"/>
    <w:rsid w:val="603D5080"/>
    <w:rsid w:val="60D0261B"/>
    <w:rsid w:val="618E3791"/>
    <w:rsid w:val="61947DCA"/>
    <w:rsid w:val="61A46A97"/>
    <w:rsid w:val="61D1382F"/>
    <w:rsid w:val="61F114A2"/>
    <w:rsid w:val="622B0ABA"/>
    <w:rsid w:val="62512BB4"/>
    <w:rsid w:val="625D7D1A"/>
    <w:rsid w:val="62DD7D21"/>
    <w:rsid w:val="63603765"/>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6460</Words>
  <Characters>20598</Characters>
  <Lines>0</Lines>
  <Paragraphs>0</Paragraphs>
  <TotalTime>9</TotalTime>
  <ScaleCrop>false</ScaleCrop>
  <LinksUpToDate>false</LinksUpToDate>
  <CharactersWithSpaces>20832</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2024-11-19T04:04:31Z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D624B15633CD43C8BF9435464A96BF70</vt:lpwstr>
  </property>
</Properties>
</file>