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default"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val="en-US" w:eastAsia="zh-CN"/>
        </w:rPr>
        <w:t>库尔勒市科学技术局</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rPr>
      </w:pPr>
      <w:r>
        <w:rPr>
          <w:rStyle w:val="8"/>
          <w:rFonts w:hint="eastAsia" w:ascii="黑体" w:hAnsi="黑体" w:eastAsia="黑体" w:cs="黑体"/>
          <w:b w:val="0"/>
          <w:bCs/>
          <w:color w:val="auto"/>
          <w:spacing w:val="-4"/>
          <w:sz w:val="32"/>
          <w:szCs w:val="32"/>
          <w:highlight w:val="none"/>
          <w:lang w:val="en-US" w:eastAsia="zh-CN"/>
        </w:rPr>
        <w:t>(一)</w:t>
      </w:r>
      <w:r>
        <w:rPr>
          <w:rStyle w:val="8"/>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（一）贯彻实施创新驱动发展战略，拟订全市科技发展、引进国外智力规划和政策并组织实施。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（二）统筹推进全市科技体制改革，会同有关部门健全科技创新激励机制。优化科研体系建设,指导科研机构改革发展。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（三）推动科创平台的建设，负责科创平台项目决策咨询服务。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（四）会同有关部门提出优化配置科技资源的政策措施建议，推动多元化科技投入体系建设。统筹协调全市基础研究、应用研究、科 技攻关和成果转化，协调管理和监督实施市级各类科技计划。牵头建 立统一的市级科技管理平台，组织实施创新调查和科技报告制度。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（五）参与编制重点科技创新基地和重点科技基础设施建设规划和监督实施，推动科研条件保障建设和科技资源开放共享。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（六）组织拟订高新技术发展及产业化、科技促进农业农村和社会发展的规划、政策和措施。组织开展重点领域技术发展需求分析， 统筹关键共性技术、前沿引领技术、现代工程技术、颠覆性技术研发 和创新，统筹编制市重大科技项目规划并监督实施，牵头组织重大技 术攻关和成果应用示范。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（七）牵头组织高新技术企业、科技型中小企业等培育工作，推进企业科技研发机构建设，推动企业科技创新能力建设。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（八）拟订科技成果转移转化和促进产学研结合的相关政策措施并组织实施。完善科技成果转化机制建设。指导科技服务业、技术市 场和科技中介组织发展。承担推进科技军民融合发展相关工作。指导 全市科技保密工作。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（九）指导区域创新发展、科技资源合理布局和协同创新能力建设。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（十）负责科技监督评价体系建设和相关科技评估管理，指导推 进科技评价机制改革，推进科研诚信建设。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（十一）组织开展国际、国内科技合作与科技人才交流，牵头推进引进大院名校共建科技创新载体。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（十二）负责引进国外智力工作。拟订引进外国专家总体规划、计划并组织实施，建立外国专家联系服务机制。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（十三）负责科技人才队伍建设。会同有关部门拟订科技人才队伍建设规划和政策，建立健全科技人才评价和激励机制，组织实施科 技人才计划，推动高端科技创新人才队伍建设。会同有关部门拟订科 学普及规划和政策。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 xml:space="preserve">（十四）指导协调市政府各部门的科技创新工作，推动全市科技进步。 </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（十五）完成市委、市政府交办的其他任务。</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5"/>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库尔勒市科学技术局</w:t>
      </w:r>
      <w:r>
        <w:rPr>
          <w:rFonts w:hint="eastAsia" w:ascii="仿宋" w:hAnsi="仿宋" w:eastAsia="仿宋" w:cs="仿宋"/>
          <w:color w:val="auto"/>
          <w:kern w:val="2"/>
          <w:sz w:val="32"/>
          <w:szCs w:val="32"/>
          <w:highlight w:val="none"/>
          <w:lang w:val="en-US" w:eastAsia="zh-CN" w:bidi="ar-SA"/>
        </w:rPr>
        <w:t>编制数</w:t>
      </w:r>
      <w:r>
        <w:rPr>
          <w:rFonts w:hint="eastAsia" w:ascii="仿宋" w:hAnsi="仿宋" w:eastAsia="仿宋" w:cs="仿宋"/>
          <w:color w:val="auto"/>
          <w:kern w:val="2"/>
          <w:sz w:val="32"/>
          <w:szCs w:val="32"/>
          <w:highlight w:val="none"/>
          <w:lang w:val="en-US" w:eastAsia="zh-CN" w:bidi="ar-SA"/>
        </w:rPr>
        <w:t>22</w:t>
      </w:r>
      <w:r>
        <w:rPr>
          <w:rFonts w:hint="eastAsia" w:ascii="仿宋" w:hAnsi="仿宋" w:eastAsia="仿宋" w:cs="仿宋"/>
          <w:color w:val="auto"/>
          <w:kern w:val="2"/>
          <w:sz w:val="32"/>
          <w:szCs w:val="32"/>
          <w:highlight w:val="none"/>
          <w:lang w:val="en-US" w:eastAsia="zh-CN" w:bidi="ar-SA"/>
        </w:rPr>
        <w:t>人，实有人数</w:t>
      </w:r>
      <w:r>
        <w:rPr>
          <w:rFonts w:hint="eastAsia" w:ascii="仿宋" w:hAnsi="仿宋" w:eastAsia="仿宋" w:cs="仿宋"/>
          <w:color w:val="auto"/>
          <w:kern w:val="2"/>
          <w:sz w:val="32"/>
          <w:szCs w:val="32"/>
          <w:highlight w:val="none"/>
          <w:lang w:val="en-US" w:eastAsia="zh-CN" w:bidi="ar-SA"/>
        </w:rPr>
        <w:t>30</w:t>
      </w:r>
      <w:r>
        <w:rPr>
          <w:rFonts w:hint="eastAsia" w:ascii="仿宋" w:hAnsi="仿宋" w:eastAsia="仿宋" w:cs="仿宋"/>
          <w:color w:val="auto"/>
          <w:kern w:val="2"/>
          <w:sz w:val="32"/>
          <w:szCs w:val="32"/>
          <w:highlight w:val="none"/>
          <w:lang w:val="en-US" w:eastAsia="zh-CN" w:bidi="ar-SA"/>
        </w:rPr>
        <w:t>人，其中：在职</w:t>
      </w:r>
      <w:r>
        <w:rPr>
          <w:rFonts w:hint="eastAsia" w:ascii="仿宋" w:hAnsi="仿宋" w:eastAsia="仿宋" w:cs="仿宋"/>
          <w:color w:val="auto"/>
          <w:kern w:val="2"/>
          <w:sz w:val="32"/>
          <w:szCs w:val="32"/>
          <w:highlight w:val="none"/>
          <w:lang w:val="en-US" w:eastAsia="zh-CN" w:bidi="ar-SA"/>
        </w:rPr>
        <w:t>19</w:t>
      </w:r>
      <w:r>
        <w:rPr>
          <w:rFonts w:hint="eastAsia" w:ascii="仿宋" w:hAnsi="仿宋" w:eastAsia="仿宋" w:cs="仿宋"/>
          <w:color w:val="auto"/>
          <w:kern w:val="2"/>
          <w:sz w:val="32"/>
          <w:szCs w:val="32"/>
          <w:highlight w:val="none"/>
          <w:lang w:val="en-US" w:eastAsia="zh-CN" w:bidi="ar-SA"/>
        </w:rPr>
        <w:t>人；退休</w:t>
      </w:r>
      <w:r>
        <w:rPr>
          <w:rFonts w:hint="eastAsia" w:ascii="仿宋" w:hAnsi="仿宋" w:eastAsia="仿宋" w:cs="仿宋"/>
          <w:color w:val="auto"/>
          <w:kern w:val="2"/>
          <w:sz w:val="32"/>
          <w:szCs w:val="32"/>
          <w:highlight w:val="none"/>
          <w:lang w:val="en-US" w:eastAsia="zh-CN" w:bidi="ar-SA"/>
        </w:rPr>
        <w:t>11</w:t>
      </w:r>
      <w:r>
        <w:rPr>
          <w:rFonts w:hint="eastAsia" w:ascii="仿宋" w:hAnsi="仿宋" w:eastAsia="仿宋" w:cs="仿宋"/>
          <w:color w:val="auto"/>
          <w:kern w:val="2"/>
          <w:sz w:val="32"/>
          <w:szCs w:val="32"/>
          <w:highlight w:val="none"/>
          <w:lang w:val="en-US" w:eastAsia="zh-CN" w:bidi="ar-SA"/>
        </w:rPr>
        <w:t>人；离休</w:t>
      </w:r>
      <w:r>
        <w:rPr>
          <w:rFonts w:hint="eastAsia" w:ascii="仿宋" w:hAnsi="仿宋" w:eastAsia="仿宋" w:cs="仿宋"/>
          <w:color w:val="auto"/>
          <w:kern w:val="2"/>
          <w:sz w:val="32"/>
          <w:szCs w:val="32"/>
          <w:highlight w:val="none"/>
          <w:lang w:val="en-US" w:eastAsia="zh-CN" w:bidi="ar-SA"/>
        </w:rPr>
        <w:t>0</w:t>
      </w:r>
      <w:r>
        <w:rPr>
          <w:rFonts w:hint="eastAsia" w:ascii="仿宋" w:hAnsi="仿宋" w:eastAsia="仿宋" w:cs="仿宋"/>
          <w:color w:val="auto"/>
          <w:kern w:val="2"/>
          <w:sz w:val="32"/>
          <w:szCs w:val="32"/>
          <w:highlight w:val="none"/>
          <w:lang w:val="en-US" w:eastAsia="zh-CN" w:bidi="ar-SA"/>
        </w:rPr>
        <w:t>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1：全面落实科技事业发展“十四五”规划，开展科技活动周、“科技之冬”等系列大型科技活动，开展科技工作专题调研，加大科技宣传力度；组织院士和专家，有针对性的开展重大决策和技术咨询；举办全疆各类科技竞赛和重点主题科技教育活动；强化企业科技服务能力和水平，提高企业科技创新能力；科技助力乡村振兴，提高我区公民科学素质，促进学会能力提升,支持学会开展学会主题日活动、团结引领广大科技工作者开拓创新。</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 进一步加强科技服务平台、协同创新平台和创新创业平台建设。推动实施一批重大科技项目，助力经济高质量发展。 加大科技型企业培训力度，推动更多科技型企业向高新技术企业转变，不断提升全市企业质态。科技活动周还开展“轮值主场”活动、“全国科技工作者日”活动、科技展板宣传活动，共举办活动7场次，宣传报道数量7次。</w:t>
      </w:r>
    </w:p>
    <w:p>
      <w:pPr>
        <w:pStyle w:val="2"/>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40" w:firstLineChars="200"/>
        <w:textAlignment w:val="auto"/>
        <w:rPr>
          <w:rStyle w:val="8"/>
          <w:rFonts w:hint="eastAsia" w:ascii="仿宋" w:hAnsi="仿宋" w:eastAsia="仿宋" w:cs="仿宋"/>
          <w:b w:val="0"/>
          <w:bCs/>
          <w:color w:val="auto"/>
          <w:spacing w:val="-4"/>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库尔勒市科学技术局</w:t>
      </w:r>
      <w:r>
        <w:rPr>
          <w:rStyle w:val="8"/>
          <w:rFonts w:hint="eastAsia" w:ascii="仿宋" w:hAnsi="仿宋" w:eastAsia="仿宋" w:cs="仿宋"/>
          <w:b w:val="0"/>
          <w:bCs/>
          <w:color w:val="auto"/>
          <w:spacing w:val="-4"/>
          <w:sz w:val="32"/>
          <w:szCs w:val="32"/>
          <w:highlight w:val="none"/>
          <w:lang w:val="en-US" w:eastAsia="zh-CN"/>
        </w:rPr>
        <w:t>2023年通过本部门预算支出，确保了</w:t>
      </w:r>
      <w:r>
        <w:rPr>
          <w:rStyle w:val="8"/>
          <w:rFonts w:hint="eastAsia" w:ascii="仿宋" w:hAnsi="仿宋" w:eastAsia="仿宋" w:cs="仿宋"/>
          <w:b w:val="0"/>
          <w:bCs/>
          <w:color w:val="auto"/>
          <w:spacing w:val="-4"/>
          <w:sz w:val="32"/>
          <w:szCs w:val="32"/>
          <w:highlight w:val="none"/>
          <w:lang w:val="en-US" w:eastAsia="zh-CN"/>
        </w:rPr>
        <w:t>19</w:t>
      </w:r>
      <w:r>
        <w:rPr>
          <w:rStyle w:val="8"/>
          <w:rFonts w:hint="eastAsia" w:ascii="仿宋" w:hAnsi="仿宋" w:eastAsia="仿宋" w:cs="仿宋"/>
          <w:b w:val="0"/>
          <w:bCs/>
          <w:color w:val="auto"/>
          <w:spacing w:val="-4"/>
          <w:sz w:val="32"/>
          <w:szCs w:val="32"/>
          <w:highlight w:val="none"/>
          <w:lang w:val="en-US" w:eastAsia="zh-CN"/>
        </w:rPr>
        <w:t>名在职人员的工资、津贴、补贴、社保、绩效、公积金等</w:t>
      </w:r>
      <w:r>
        <w:rPr>
          <w:rStyle w:val="8"/>
          <w:rFonts w:hint="eastAsia" w:ascii="仿宋" w:hAnsi="仿宋" w:eastAsia="仿宋" w:cs="仿宋"/>
          <w:b w:val="0"/>
          <w:bCs/>
          <w:color w:val="auto"/>
          <w:spacing w:val="-4"/>
          <w:sz w:val="32"/>
          <w:szCs w:val="32"/>
          <w:highlight w:val="none"/>
          <w:lang w:val="en-US" w:eastAsia="zh-CN"/>
        </w:rPr>
        <w:t>以及11名离退休人员的工资、医疗费等。</w:t>
      </w:r>
      <w:r>
        <w:rPr>
          <w:rStyle w:val="8"/>
          <w:rFonts w:hint="eastAsia" w:ascii="仿宋" w:hAnsi="仿宋" w:eastAsia="仿宋" w:cs="仿宋"/>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w:t>
      </w:r>
      <w:r>
        <w:rPr>
          <w:rFonts w:hint="eastAsia" w:ascii="仿宋" w:hAnsi="仿宋" w:eastAsia="仿宋" w:cs="仿宋"/>
          <w:color w:val="auto"/>
          <w:sz w:val="32"/>
          <w:szCs w:val="32"/>
          <w:highlight w:val="none"/>
          <w:lang w:val="en-US" w:eastAsia="zh-CN"/>
        </w:rPr>
        <w:t>480.50</w:t>
      </w:r>
      <w:r>
        <w:rPr>
          <w:rFonts w:hint="eastAsia" w:ascii="仿宋" w:hAnsi="仿宋" w:eastAsia="仿宋" w:cs="仿宋"/>
          <w:color w:val="auto"/>
          <w:sz w:val="32"/>
          <w:szCs w:val="32"/>
          <w:highlight w:val="none"/>
          <w:lang w:val="en-US" w:eastAsia="zh-CN"/>
        </w:rPr>
        <w:t>万元，其中:上级安排</w:t>
      </w:r>
      <w:r>
        <w:rPr>
          <w:rFonts w:hint="eastAsia" w:ascii="仿宋" w:hAnsi="仿宋" w:eastAsia="仿宋" w:cs="仿宋"/>
          <w:color w:val="auto"/>
          <w:sz w:val="32"/>
          <w:szCs w:val="32"/>
          <w:highlight w:val="none"/>
          <w:lang w:val="en-US" w:eastAsia="zh-CN"/>
        </w:rPr>
        <w:t>0.00</w:t>
      </w:r>
      <w:r>
        <w:rPr>
          <w:rFonts w:hint="eastAsia" w:ascii="仿宋" w:hAnsi="仿宋" w:eastAsia="仿宋" w:cs="仿宋"/>
          <w:color w:val="auto"/>
          <w:sz w:val="32"/>
          <w:szCs w:val="32"/>
          <w:highlight w:val="none"/>
          <w:lang w:val="en-US" w:eastAsia="zh-CN"/>
        </w:rPr>
        <w:t>万元,本级安排</w:t>
      </w:r>
      <w:r>
        <w:rPr>
          <w:rFonts w:hint="eastAsia" w:ascii="仿宋" w:hAnsi="仿宋" w:eastAsia="仿宋" w:cs="仿宋"/>
          <w:color w:val="auto"/>
          <w:sz w:val="32"/>
          <w:szCs w:val="32"/>
          <w:highlight w:val="none"/>
          <w:lang w:val="en-US" w:eastAsia="zh-CN"/>
        </w:rPr>
        <w:t>480.50</w:t>
      </w:r>
      <w:r>
        <w:rPr>
          <w:rFonts w:hint="eastAsia" w:ascii="仿宋" w:hAnsi="仿宋" w:eastAsia="仿宋" w:cs="仿宋"/>
          <w:color w:val="auto"/>
          <w:sz w:val="32"/>
          <w:szCs w:val="32"/>
          <w:highlight w:val="none"/>
          <w:lang w:val="en-US" w:eastAsia="zh-CN"/>
        </w:rPr>
        <w:t>万元，其他资金</w:t>
      </w:r>
      <w:r>
        <w:rPr>
          <w:rFonts w:hint="eastAsia" w:ascii="仿宋" w:hAnsi="仿宋" w:eastAsia="仿宋" w:cs="仿宋"/>
          <w:color w:val="auto"/>
          <w:sz w:val="32"/>
          <w:szCs w:val="32"/>
          <w:highlight w:val="none"/>
          <w:lang w:val="en-US" w:eastAsia="zh-CN"/>
        </w:rPr>
        <w:t>0.00</w:t>
      </w:r>
      <w:r>
        <w:rPr>
          <w:rFonts w:hint="eastAsia" w:ascii="仿宋" w:hAnsi="仿宋" w:eastAsia="仿宋" w:cs="仿宋"/>
          <w:color w:val="auto"/>
          <w:sz w:val="32"/>
          <w:szCs w:val="32"/>
          <w:highlight w:val="none"/>
          <w:lang w:val="en-US" w:eastAsia="zh-CN"/>
        </w:rPr>
        <w:t>万元。</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b w:val="0"/>
          <w:bCs/>
          <w:color w:val="auto"/>
          <w:sz w:val="32"/>
          <w:szCs w:val="32"/>
          <w:highlight w:val="none"/>
          <w:lang w:val="en-US" w:eastAsia="zh-CN"/>
        </w:rPr>
        <w:t>480.50</w:t>
      </w:r>
      <w:r>
        <w:rPr>
          <w:rFonts w:hint="eastAsia" w:ascii="仿宋" w:hAnsi="仿宋" w:eastAsia="仿宋" w:cs="仿宋"/>
          <w:b w:val="0"/>
          <w:bCs/>
          <w:color w:val="auto"/>
          <w:sz w:val="32"/>
          <w:szCs w:val="32"/>
          <w:highlight w:val="none"/>
          <w:lang w:val="en-US" w:eastAsia="zh-CN"/>
        </w:rPr>
        <w:t>万元，年中调整数</w:t>
      </w:r>
      <w:r>
        <w:rPr>
          <w:rFonts w:hint="eastAsia" w:ascii="仿宋" w:hAnsi="仿宋" w:eastAsia="仿宋" w:cs="仿宋"/>
          <w:b w:val="0"/>
          <w:bCs/>
          <w:color w:val="auto"/>
          <w:sz w:val="32"/>
          <w:szCs w:val="32"/>
          <w:highlight w:val="none"/>
          <w:lang w:val="en-US" w:eastAsia="zh-CN"/>
        </w:rPr>
        <w:t>-42.91</w:t>
      </w:r>
      <w:r>
        <w:rPr>
          <w:rFonts w:hint="eastAsia" w:ascii="仿宋" w:hAnsi="仿宋" w:eastAsia="仿宋" w:cs="仿宋"/>
          <w:b w:val="0"/>
          <w:bCs/>
          <w:color w:val="auto"/>
          <w:sz w:val="32"/>
          <w:szCs w:val="32"/>
          <w:highlight w:val="none"/>
          <w:lang w:val="en-US" w:eastAsia="zh-CN"/>
        </w:rPr>
        <w:t>万元，调整后全年预算数</w:t>
      </w:r>
      <w:r>
        <w:rPr>
          <w:rFonts w:hint="eastAsia" w:ascii="仿宋" w:hAnsi="仿宋" w:eastAsia="仿宋" w:cs="仿宋"/>
          <w:b w:val="0"/>
          <w:bCs/>
          <w:color w:val="auto"/>
          <w:sz w:val="32"/>
          <w:szCs w:val="32"/>
          <w:highlight w:val="none"/>
          <w:lang w:val="en-US" w:eastAsia="zh-CN"/>
        </w:rPr>
        <w:t>437.59</w:t>
      </w:r>
      <w:r>
        <w:rPr>
          <w:rFonts w:hint="eastAsia" w:ascii="仿宋" w:hAnsi="仿宋" w:eastAsia="仿宋" w:cs="仿宋"/>
          <w:b w:val="0"/>
          <w:bCs/>
          <w:color w:val="auto"/>
          <w:sz w:val="32"/>
          <w:szCs w:val="32"/>
          <w:highlight w:val="none"/>
          <w:lang w:val="en-US" w:eastAsia="zh-CN"/>
        </w:rPr>
        <w:t>万元，预算调整率</w:t>
      </w:r>
      <w:r>
        <w:rPr>
          <w:rFonts w:hint="eastAsia" w:ascii="仿宋" w:hAnsi="仿宋" w:eastAsia="仿宋" w:cs="仿宋"/>
          <w:b w:val="0"/>
          <w:bCs/>
          <w:color w:val="auto"/>
          <w:sz w:val="32"/>
          <w:szCs w:val="32"/>
          <w:highlight w:val="none"/>
          <w:lang w:val="en-US" w:eastAsia="zh-CN"/>
        </w:rPr>
        <w:t>8.93%</w:t>
      </w:r>
      <w:r>
        <w:rPr>
          <w:rFonts w:hint="eastAsia" w:ascii="仿宋" w:hAnsi="仿宋" w:eastAsia="仿宋" w:cs="仿宋"/>
          <w:b w:val="0"/>
          <w:bCs/>
          <w:color w:val="auto"/>
          <w:sz w:val="32"/>
          <w:szCs w:val="32"/>
          <w:highlight w:val="none"/>
          <w:lang w:val="en-US" w:eastAsia="zh-CN"/>
        </w:rPr>
        <w:t>。</w:t>
      </w:r>
    </w:p>
    <w:p>
      <w:pPr>
        <w:pStyle w:val="2"/>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color w:val="auto"/>
          <w:kern w:val="2"/>
          <w:sz w:val="32"/>
          <w:szCs w:val="32"/>
          <w:highlight w:val="none"/>
          <w:lang w:val="en-US" w:eastAsia="zh-CN" w:bidi="ar-SA"/>
        </w:rPr>
        <w:t>437.59</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328.54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r>
        <w:rPr>
          <w:rFonts w:hint="eastAsia" w:ascii="仿宋" w:hAnsi="仿宋" w:eastAsia="仿宋" w:cs="仿宋"/>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109.04</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2023年自治区科技计划专项资金[第二批]项目0.38万元、国家级高新区创建“两规划”编制费用经费项目90万元、2022年自治区科技计划专项资金（第二批）项目5.87万元、科技三项费-科技项目项目12.80万元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w:t>
      </w:r>
      <w:r>
        <w:rPr>
          <w:rFonts w:hint="eastAsia" w:ascii="仿宋" w:hAnsi="仿宋" w:eastAsia="仿宋" w:cs="仿宋"/>
          <w:b w:val="0"/>
          <w:bCs/>
          <w:color w:val="auto"/>
          <w:sz w:val="32"/>
          <w:szCs w:val="32"/>
          <w:highlight w:val="none"/>
          <w:lang w:val="en-US" w:eastAsia="zh-CN"/>
        </w:rPr>
        <w:t>280.50</w:t>
      </w:r>
      <w:r>
        <w:rPr>
          <w:rFonts w:hint="eastAsia" w:ascii="仿宋" w:hAnsi="仿宋" w:eastAsia="仿宋" w:cs="仿宋"/>
          <w:b w:val="0"/>
          <w:bCs/>
          <w:color w:val="auto"/>
          <w:sz w:val="32"/>
          <w:szCs w:val="32"/>
          <w:highlight w:val="none"/>
          <w:lang w:val="en-US" w:eastAsia="zh-CN"/>
        </w:rPr>
        <w:t>万元，全年预算数</w:t>
      </w:r>
      <w:r>
        <w:rPr>
          <w:rFonts w:hint="eastAsia" w:ascii="仿宋" w:hAnsi="仿宋" w:eastAsia="仿宋" w:cs="仿宋"/>
          <w:b w:val="0"/>
          <w:bCs/>
          <w:color w:val="auto"/>
          <w:sz w:val="32"/>
          <w:szCs w:val="32"/>
          <w:highlight w:val="none"/>
          <w:lang w:val="en-US" w:eastAsia="zh-CN"/>
        </w:rPr>
        <w:t>328.54</w:t>
      </w:r>
      <w:r>
        <w:rPr>
          <w:rFonts w:hint="eastAsia" w:ascii="仿宋" w:hAnsi="仿宋" w:eastAsia="仿宋" w:cs="仿宋"/>
          <w:b w:val="0"/>
          <w:bCs/>
          <w:color w:val="auto"/>
          <w:sz w:val="32"/>
          <w:szCs w:val="32"/>
          <w:highlight w:val="none"/>
          <w:lang w:val="en-US" w:eastAsia="zh-CN"/>
        </w:rPr>
        <w:t>万元，全年实际支出数</w:t>
      </w:r>
      <w:r>
        <w:rPr>
          <w:rFonts w:hint="eastAsia" w:ascii="仿宋" w:hAnsi="仿宋" w:eastAsia="仿宋" w:cs="仿宋"/>
          <w:b w:val="0"/>
          <w:bCs/>
          <w:color w:val="auto"/>
          <w:sz w:val="32"/>
          <w:szCs w:val="32"/>
          <w:highlight w:val="none"/>
          <w:lang w:val="en-US" w:eastAsia="zh-CN"/>
        </w:rPr>
        <w:t>328.54</w:t>
      </w:r>
      <w:r>
        <w:rPr>
          <w:rFonts w:hint="eastAsia" w:ascii="仿宋" w:hAnsi="仿宋" w:eastAsia="仿宋" w:cs="仿宋"/>
          <w:b w:val="0"/>
          <w:bCs/>
          <w:color w:val="auto"/>
          <w:sz w:val="32"/>
          <w:szCs w:val="32"/>
          <w:highlight w:val="none"/>
          <w:lang w:val="en-US" w:eastAsia="zh-CN"/>
        </w:rPr>
        <w:t>万元，其中：人员经费</w:t>
      </w:r>
      <w:r>
        <w:rPr>
          <w:rFonts w:hint="eastAsia" w:ascii="仿宋" w:hAnsi="仿宋" w:eastAsia="仿宋" w:cs="仿宋"/>
          <w:b w:val="0"/>
          <w:bCs/>
          <w:color w:val="auto"/>
          <w:sz w:val="32"/>
          <w:szCs w:val="32"/>
          <w:highlight w:val="none"/>
          <w:lang w:val="en-US" w:eastAsia="zh-CN"/>
        </w:rPr>
        <w:t>309.90</w:t>
      </w:r>
      <w:r>
        <w:rPr>
          <w:rFonts w:hint="eastAsia" w:ascii="仿宋" w:hAnsi="仿宋" w:eastAsia="仿宋" w:cs="仿宋"/>
          <w:b w:val="0"/>
          <w:bCs/>
          <w:color w:val="auto"/>
          <w:sz w:val="32"/>
          <w:szCs w:val="32"/>
          <w:highlight w:val="none"/>
          <w:lang w:val="en-US" w:eastAsia="zh-CN"/>
        </w:rPr>
        <w:t>万元，公用经费</w:t>
      </w:r>
      <w:r>
        <w:rPr>
          <w:rFonts w:hint="eastAsia" w:ascii="仿宋" w:hAnsi="仿宋" w:eastAsia="仿宋" w:cs="仿宋"/>
          <w:b w:val="0"/>
          <w:bCs/>
          <w:color w:val="auto"/>
          <w:sz w:val="32"/>
          <w:szCs w:val="32"/>
          <w:highlight w:val="none"/>
          <w:lang w:val="en-US" w:eastAsia="zh-CN"/>
        </w:rPr>
        <w:t>18.64</w:t>
      </w:r>
      <w:r>
        <w:rPr>
          <w:rFonts w:hint="eastAsia" w:ascii="仿宋" w:hAnsi="仿宋" w:eastAsia="仿宋" w:cs="仿宋"/>
          <w:b w:val="0"/>
          <w:bCs/>
          <w:color w:val="auto"/>
          <w:sz w:val="32"/>
          <w:szCs w:val="32"/>
          <w:highlight w:val="none"/>
          <w:lang w:val="en-US" w:eastAsia="zh-CN"/>
        </w:rPr>
        <w:t>万元。全年预算执行率</w:t>
      </w:r>
      <w:r>
        <w:rPr>
          <w:rFonts w:hint="eastAsia" w:ascii="仿宋" w:hAnsi="仿宋" w:eastAsia="仿宋" w:cs="仿宋"/>
          <w:b w:val="0"/>
          <w:bCs/>
          <w:color w:val="auto"/>
          <w:sz w:val="32"/>
          <w:szCs w:val="32"/>
          <w:highlight w:val="none"/>
          <w:lang w:val="en-US" w:eastAsia="zh-CN"/>
        </w:rPr>
        <w:t>100.00%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b w:val="0"/>
          <w:bCs/>
          <w:color w:val="auto"/>
          <w:sz w:val="32"/>
          <w:szCs w:val="32"/>
          <w:highlight w:val="none"/>
          <w:lang w:val="en-US" w:eastAsia="zh-CN"/>
        </w:rPr>
        <w:t>办公费、邮电费、差旅费、维修（护）费、劳务费、车辆运行维护费等。公务用车运行维护费主要用于单位车辆加油、维修及购买车辆保险。</w:t>
      </w:r>
    </w:p>
    <w:p>
      <w:pPr>
        <w:pStyle w:val="2"/>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w:t>
      </w:r>
      <w:r>
        <w:rPr>
          <w:rFonts w:hint="eastAsia" w:ascii="仿宋" w:hAnsi="仿宋" w:eastAsia="仿宋" w:cs="仿宋"/>
          <w:color w:val="auto"/>
          <w:kern w:val="2"/>
          <w:sz w:val="32"/>
          <w:szCs w:val="32"/>
          <w:highlight w:val="none"/>
          <w:lang w:val="en-US" w:eastAsia="zh-CN"/>
        </w:rPr>
        <w:t>4</w:t>
      </w:r>
      <w:r>
        <w:rPr>
          <w:rFonts w:hint="eastAsia" w:ascii="仿宋" w:hAnsi="仿宋" w:eastAsia="仿宋" w:cs="仿宋"/>
          <w:color w:val="auto"/>
          <w:kern w:val="2"/>
          <w:sz w:val="32"/>
          <w:szCs w:val="32"/>
          <w:highlight w:val="none"/>
          <w:lang w:val="en-US" w:eastAsia="zh-CN"/>
        </w:rPr>
        <w:t>个项目，全年预算数为</w:t>
      </w:r>
      <w:r>
        <w:rPr>
          <w:rFonts w:hint="eastAsia" w:ascii="仿宋" w:hAnsi="仿宋" w:eastAsia="仿宋" w:cs="仿宋"/>
          <w:color w:val="auto"/>
          <w:kern w:val="2"/>
          <w:sz w:val="32"/>
          <w:szCs w:val="32"/>
          <w:highlight w:val="none"/>
          <w:lang w:val="en-US" w:eastAsia="zh-CN"/>
        </w:rPr>
        <w:t>109.04</w:t>
      </w:r>
      <w:r>
        <w:rPr>
          <w:rFonts w:hint="eastAsia" w:ascii="仿宋" w:hAnsi="仿宋" w:eastAsia="仿宋" w:cs="仿宋"/>
          <w:color w:val="auto"/>
          <w:kern w:val="2"/>
          <w:sz w:val="32"/>
          <w:szCs w:val="32"/>
          <w:highlight w:val="none"/>
          <w:lang w:val="en-US" w:eastAsia="zh-CN"/>
        </w:rPr>
        <w:t>万元，全年实际支出数</w:t>
      </w:r>
      <w:r>
        <w:rPr>
          <w:rFonts w:hint="eastAsia" w:ascii="仿宋" w:hAnsi="仿宋" w:eastAsia="仿宋" w:cs="仿宋"/>
          <w:color w:val="auto"/>
          <w:kern w:val="2"/>
          <w:sz w:val="32"/>
          <w:szCs w:val="32"/>
          <w:highlight w:val="none"/>
          <w:lang w:val="en-US" w:eastAsia="zh-CN"/>
        </w:rPr>
        <w:t>109.04</w:t>
      </w:r>
      <w:r>
        <w:rPr>
          <w:rFonts w:hint="eastAsia" w:ascii="仿宋" w:hAnsi="仿宋" w:eastAsia="仿宋" w:cs="仿宋"/>
          <w:color w:val="auto"/>
          <w:kern w:val="2"/>
          <w:sz w:val="32"/>
          <w:szCs w:val="32"/>
          <w:highlight w:val="none"/>
          <w:lang w:val="en-US" w:eastAsia="zh-CN"/>
        </w:rPr>
        <w:t>万元，执行率</w:t>
      </w:r>
      <w:r>
        <w:rPr>
          <w:rFonts w:hint="eastAsia" w:ascii="仿宋" w:hAnsi="仿宋" w:eastAsia="仿宋" w:cs="仿宋"/>
          <w:color w:val="auto"/>
          <w:kern w:val="2"/>
          <w:sz w:val="32"/>
          <w:szCs w:val="32"/>
          <w:highlight w:val="none"/>
          <w:lang w:val="en-US" w:eastAsia="zh-CN"/>
        </w:rPr>
        <w:t>100.00</w:t>
      </w:r>
      <w:r>
        <w:rPr>
          <w:rFonts w:hint="eastAsia" w:ascii="仿宋" w:hAnsi="仿宋" w:eastAsia="仿宋" w:cs="仿宋"/>
          <w:color w:val="auto"/>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w:t>
      </w:r>
      <w:r>
        <w:rPr>
          <w:rFonts w:hint="eastAsia" w:ascii="仿宋" w:hAnsi="仿宋" w:eastAsia="仿宋" w:cs="仿宋"/>
          <w:color w:val="auto"/>
          <w:kern w:val="2"/>
          <w:sz w:val="32"/>
          <w:szCs w:val="32"/>
          <w:highlight w:val="none"/>
          <w:lang w:val="en-US" w:eastAsia="zh-CN"/>
        </w:rPr>
        <w:t>排项目</w:t>
      </w:r>
      <w:r>
        <w:rPr>
          <w:rFonts w:hint="eastAsia" w:ascii="仿宋" w:hAnsi="仿宋" w:eastAsia="仿宋" w:cs="仿宋"/>
          <w:color w:val="auto"/>
          <w:kern w:val="2"/>
          <w:sz w:val="32"/>
          <w:szCs w:val="32"/>
          <w:highlight w:val="none"/>
          <w:lang w:val="en-US" w:eastAsia="zh-CN"/>
        </w:rPr>
        <w:t>2个6.25</w:t>
      </w:r>
      <w:r>
        <w:rPr>
          <w:rFonts w:hint="eastAsia" w:ascii="仿宋" w:hAnsi="仿宋" w:eastAsia="仿宋" w:cs="仿宋"/>
          <w:color w:val="auto"/>
          <w:kern w:val="2"/>
          <w:sz w:val="32"/>
          <w:szCs w:val="32"/>
          <w:highlight w:val="none"/>
          <w:lang w:val="en-US" w:eastAsia="zh-CN"/>
        </w:rPr>
        <w:t>万元，本级安排项目</w:t>
      </w:r>
      <w:r>
        <w:rPr>
          <w:rFonts w:hint="eastAsia" w:ascii="仿宋" w:hAnsi="仿宋" w:eastAsia="仿宋" w:cs="仿宋"/>
          <w:color w:val="auto"/>
          <w:kern w:val="2"/>
          <w:sz w:val="32"/>
          <w:szCs w:val="32"/>
          <w:highlight w:val="none"/>
          <w:lang w:val="en-US" w:eastAsia="zh-CN"/>
        </w:rPr>
        <w:t>2个102.8</w:t>
      </w:r>
      <w:r>
        <w:rPr>
          <w:rFonts w:hint="eastAsia" w:ascii="仿宋" w:hAnsi="仿宋" w:eastAsia="仿宋" w:cs="仿宋"/>
          <w:color w:val="auto"/>
          <w:kern w:val="2"/>
          <w:sz w:val="32"/>
          <w:szCs w:val="32"/>
          <w:highlight w:val="none"/>
          <w:lang w:val="en-US" w:eastAsia="zh-CN"/>
        </w:rPr>
        <w:t>万元,其他资金安排项目</w:t>
      </w:r>
      <w:r>
        <w:rPr>
          <w:rFonts w:hint="eastAsia" w:ascii="仿宋" w:hAnsi="仿宋" w:eastAsia="仿宋" w:cs="仿宋"/>
          <w:color w:val="auto"/>
          <w:kern w:val="2"/>
          <w:sz w:val="32"/>
          <w:szCs w:val="32"/>
          <w:highlight w:val="none"/>
          <w:lang w:val="en-US" w:eastAsia="zh-CN"/>
        </w:rPr>
        <w:t>0个0.00</w:t>
      </w:r>
      <w:r>
        <w:rPr>
          <w:rFonts w:hint="eastAsia" w:ascii="仿宋" w:hAnsi="仿宋" w:eastAsia="仿宋" w:cs="仿宋"/>
          <w:color w:val="auto"/>
          <w:kern w:val="2"/>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8"/>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w:t>
      </w:r>
      <w:r>
        <w:rPr>
          <w:rStyle w:val="8"/>
          <w:rFonts w:hint="eastAsia" w:ascii="仿宋" w:hAnsi="仿宋" w:eastAsia="仿宋" w:cs="仿宋"/>
          <w:b w:val="0"/>
          <w:color w:val="auto"/>
          <w:spacing w:val="-4"/>
          <w:sz w:val="32"/>
          <w:szCs w:val="32"/>
          <w:highlight w:val="none"/>
          <w:lang w:val="en-US" w:eastAsia="zh-CN"/>
        </w:rPr>
        <w:t>1</w:t>
      </w:r>
      <w:r>
        <w:rPr>
          <w:rStyle w:val="8"/>
          <w:rFonts w:hint="eastAsia" w:ascii="仿宋" w:hAnsi="仿宋" w:eastAsia="仿宋" w:cs="仿宋"/>
          <w:b w:val="0"/>
          <w:color w:val="auto"/>
          <w:spacing w:val="-4"/>
          <w:sz w:val="32"/>
          <w:szCs w:val="32"/>
          <w:highlight w:val="none"/>
          <w:lang w:val="en-US" w:eastAsia="zh-CN"/>
        </w:rPr>
        <w:t>条，二级指标共</w:t>
      </w:r>
      <w:r>
        <w:rPr>
          <w:rStyle w:val="8"/>
          <w:rFonts w:hint="eastAsia" w:ascii="仿宋" w:hAnsi="仿宋" w:eastAsia="仿宋" w:cs="仿宋"/>
          <w:b w:val="0"/>
          <w:color w:val="auto"/>
          <w:spacing w:val="-4"/>
          <w:sz w:val="32"/>
          <w:szCs w:val="32"/>
          <w:highlight w:val="none"/>
          <w:lang w:val="en-US" w:eastAsia="zh-CN"/>
        </w:rPr>
        <w:t>1</w:t>
      </w:r>
      <w:r>
        <w:rPr>
          <w:rStyle w:val="8"/>
          <w:rFonts w:hint="eastAsia" w:ascii="仿宋" w:hAnsi="仿宋" w:eastAsia="仿宋" w:cs="仿宋"/>
          <w:b w:val="0"/>
          <w:color w:val="auto"/>
          <w:spacing w:val="-4"/>
          <w:sz w:val="32"/>
          <w:szCs w:val="32"/>
          <w:highlight w:val="none"/>
          <w:lang w:val="en-US" w:eastAsia="zh-CN"/>
        </w:rPr>
        <w:t>条，三级指标共</w:t>
      </w:r>
      <w:r>
        <w:rPr>
          <w:rStyle w:val="8"/>
          <w:rFonts w:hint="eastAsia" w:ascii="仿宋" w:hAnsi="仿宋" w:eastAsia="仿宋" w:cs="仿宋"/>
          <w:b w:val="0"/>
          <w:color w:val="auto"/>
          <w:spacing w:val="-4"/>
          <w:sz w:val="32"/>
          <w:szCs w:val="32"/>
          <w:highlight w:val="none"/>
          <w:lang w:val="en-US" w:eastAsia="zh-CN"/>
        </w:rPr>
        <w:t>4</w:t>
      </w:r>
      <w:r>
        <w:rPr>
          <w:rStyle w:val="8"/>
          <w:rFonts w:hint="eastAsia" w:ascii="仿宋" w:hAnsi="仿宋" w:eastAsia="仿宋" w:cs="仿宋"/>
          <w:b w:val="0"/>
          <w:color w:val="auto"/>
          <w:spacing w:val="-4"/>
          <w:sz w:val="32"/>
          <w:szCs w:val="32"/>
          <w:highlight w:val="none"/>
          <w:lang w:val="en-US" w:eastAsia="zh-CN"/>
        </w:rPr>
        <w:t>条，其中量化指标条数共</w:t>
      </w:r>
      <w:r>
        <w:rPr>
          <w:rStyle w:val="8"/>
          <w:rFonts w:hint="eastAsia" w:ascii="仿宋" w:hAnsi="仿宋" w:eastAsia="仿宋" w:cs="仿宋"/>
          <w:b w:val="0"/>
          <w:color w:val="auto"/>
          <w:spacing w:val="-4"/>
          <w:sz w:val="32"/>
          <w:szCs w:val="32"/>
          <w:highlight w:val="none"/>
          <w:lang w:val="en-US" w:eastAsia="zh-CN"/>
        </w:rPr>
        <w:t>4</w:t>
      </w:r>
      <w:r>
        <w:rPr>
          <w:rStyle w:val="8"/>
          <w:rFonts w:hint="eastAsia" w:ascii="仿宋" w:hAnsi="仿宋" w:eastAsia="仿宋" w:cs="仿宋"/>
          <w:b w:val="0"/>
          <w:color w:val="auto"/>
          <w:spacing w:val="-4"/>
          <w:sz w:val="32"/>
          <w:szCs w:val="32"/>
          <w:highlight w:val="none"/>
          <w:lang w:val="en-US" w:eastAsia="zh-CN"/>
        </w:rPr>
        <w:t>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（三）指标三：履职效能</w:t>
      </w:r>
    </w:p>
    <w:p>
      <w:pPr>
        <w:pStyle w:val="12"/>
        <w:keepNext w:val="0"/>
        <w:keepLines w:val="0"/>
        <w:pageBreakBefore w:val="0"/>
        <w:kinsoku/>
        <w:wordWrap/>
        <w:overflowPunct/>
        <w:topLinePunct w:val="0"/>
        <w:autoSpaceDE/>
        <w:autoSpaceDN/>
        <w:bidi w:val="0"/>
        <w:adjustRightInd/>
        <w:snapToGrid/>
        <w:spacing w:line="560" w:lineRule="exact"/>
        <w:ind w:left="0" w:leftChars="0" w:firstLine="624" w:firstLineChars="200"/>
        <w:jc w:val="both"/>
        <w:textAlignment w:val="auto"/>
        <w:outlineLvl w:val="9"/>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数量指标1：,重点科技项目数量，预期指标值为：&gt;=10个；监控节点</w:t>
      </w:r>
      <w:r>
        <w:rPr>
          <w:rStyle w:val="8"/>
          <w:rFonts w:hint="eastAsia" w:ascii="仿宋" w:hAnsi="仿宋" w:eastAsia="仿宋" w:cs="仿宋"/>
          <w:b w:val="0"/>
          <w:color w:val="auto"/>
          <w:spacing w:val="-4"/>
          <w:sz w:val="32"/>
          <w:szCs w:val="32"/>
          <w:highlight w:val="none"/>
          <w:lang w:val="en-US" w:eastAsia="zh-CN"/>
        </w:rPr>
        <w:t>完成值：=0个</w:t>
      </w:r>
      <w:r>
        <w:rPr>
          <w:rStyle w:val="8"/>
          <w:rFonts w:hint="eastAsia" w:ascii="仿宋" w:hAnsi="仿宋" w:eastAsia="仿宋" w:cs="仿宋"/>
          <w:b w:val="0"/>
          <w:color w:val="auto"/>
          <w:spacing w:val="-4"/>
          <w:sz w:val="32"/>
          <w:szCs w:val="32"/>
          <w:highlight w:val="none"/>
          <w:lang w:val="en-US" w:eastAsia="zh-CN"/>
        </w:rPr>
        <w:t>；评价实际完成值：=15个；指标完成率：100.00%；成效分析：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，提升了科技成果转化和产业化水平，加快技术创新和发展提质增效，</w:t>
      </w:r>
      <w:r>
        <w:rPr>
          <w:rStyle w:val="8"/>
          <w:rFonts w:hint="default" w:ascii="仿宋" w:hAnsi="仿宋" w:eastAsia="仿宋" w:cs="仿宋"/>
          <w:b w:val="0"/>
          <w:color w:val="auto"/>
          <w:spacing w:val="-4"/>
          <w:sz w:val="32"/>
          <w:szCs w:val="32"/>
          <w:highlight w:val="none"/>
          <w:lang w:val="en-US" w:eastAsia="zh-CN"/>
        </w:rPr>
        <w:t>助力企业加快科技成果转化和优化产业结构升级工作。</w:t>
      </w:r>
    </w:p>
    <w:p>
      <w:pPr>
        <w:pStyle w:val="2"/>
        <w:keepNext/>
        <w:keepLines/>
        <w:pageBreakBefore w:val="0"/>
        <w:widowControl w:val="0"/>
        <w:kinsoku/>
        <w:wordWrap/>
        <w:overflowPunct/>
        <w:topLinePunct w:val="0"/>
        <w:autoSpaceDE/>
        <w:autoSpaceDN/>
        <w:bidi w:val="0"/>
        <w:adjustRightInd/>
        <w:snapToGrid/>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数量指标2：强化高新技术企业培育数量,预期指标值为：&gt;=3个；监控节点完成值</w:t>
      </w:r>
      <w:r>
        <w:rPr>
          <w:rStyle w:val="8"/>
          <w:rFonts w:hint="eastAsia" w:ascii="仿宋" w:hAnsi="仿宋" w:eastAsia="仿宋" w:cs="仿宋"/>
          <w:b w:val="0"/>
          <w:bCs/>
          <w:color w:val="auto"/>
          <w:spacing w:val="-4"/>
          <w:sz w:val="32"/>
          <w:szCs w:val="32"/>
          <w:highlight w:val="none"/>
          <w:lang w:val="en-US" w:eastAsia="zh-CN"/>
        </w:rPr>
        <w:t>：=0个</w:t>
      </w:r>
      <w:r>
        <w:rPr>
          <w:rStyle w:val="8"/>
          <w:rFonts w:hint="eastAsia" w:ascii="仿宋" w:hAnsi="仿宋" w:eastAsia="仿宋" w:cs="仿宋"/>
          <w:b w:val="0"/>
          <w:bCs/>
          <w:color w:val="auto"/>
          <w:spacing w:val="-4"/>
          <w:sz w:val="32"/>
          <w:szCs w:val="32"/>
          <w:highlight w:val="none"/>
          <w:lang w:val="en-US" w:eastAsia="zh-CN"/>
        </w:rPr>
        <w:t>；评价实际完成值：=33个；指标完成率：0.00%；</w:t>
      </w:r>
      <w:r>
        <w:rPr>
          <w:rStyle w:val="8"/>
          <w:rFonts w:hint="eastAsia" w:ascii="仿宋" w:hAnsi="仿宋" w:eastAsia="仿宋" w:cs="仿宋"/>
          <w:b w:val="0"/>
          <w:bCs/>
          <w:color w:val="auto"/>
          <w:spacing w:val="-4"/>
          <w:sz w:val="32"/>
          <w:szCs w:val="32"/>
          <w:highlight w:val="none"/>
          <w:lang w:val="en-US" w:eastAsia="zh-CN"/>
        </w:rPr>
        <w:t>偏差原因：一是2023年绩效考核目标是参照2022年制定的，2022年因疫情影响，只成功认定高企3家；二是2023年巴州科技局对高新技术企业认定工作任务进行分解，要求库尔勒市完成成功认定9家高企的任务目标</w:t>
      </w:r>
      <w:r>
        <w:rPr>
          <w:rStyle w:val="8"/>
          <w:rFonts w:hint="eastAsia" w:ascii="仿宋" w:hAnsi="仿宋" w:eastAsia="仿宋" w:cs="仿宋"/>
          <w:b w:val="0"/>
          <w:bCs/>
          <w:color w:val="auto"/>
          <w:spacing w:val="-4"/>
          <w:sz w:val="32"/>
          <w:szCs w:val="32"/>
          <w:highlight w:val="none"/>
          <w:lang w:val="en-US" w:eastAsia="zh-CN"/>
        </w:rPr>
        <w:t>。</w:t>
      </w:r>
      <w:r>
        <w:rPr>
          <w:rStyle w:val="8"/>
          <w:rFonts w:hint="eastAsia" w:ascii="仿宋" w:hAnsi="仿宋" w:eastAsia="仿宋" w:cs="仿宋"/>
          <w:b w:val="0"/>
          <w:bCs/>
          <w:color w:val="auto"/>
          <w:spacing w:val="-4"/>
          <w:sz w:val="32"/>
          <w:szCs w:val="32"/>
          <w:highlight w:val="none"/>
          <w:lang w:val="en-US" w:eastAsia="zh-CN"/>
        </w:rPr>
        <w:t>下一步措施：年初精准预算。</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数量指标3</w:t>
      </w:r>
      <w:r>
        <w:rPr>
          <w:rStyle w:val="8"/>
          <w:rFonts w:hint="eastAsia" w:ascii="仿宋" w:hAnsi="仿宋" w:eastAsia="仿宋" w:cs="仿宋"/>
          <w:b w:val="0"/>
          <w:color w:val="auto"/>
          <w:spacing w:val="-4"/>
          <w:sz w:val="32"/>
          <w:szCs w:val="32"/>
          <w:highlight w:val="none"/>
          <w:lang w:val="en-US" w:eastAsia="zh-CN"/>
        </w:rPr>
        <w:t>：科技展板宣传活动次数,预期指标值为：&gt;=7次；监控节点完成值</w:t>
      </w:r>
      <w:r>
        <w:rPr>
          <w:rStyle w:val="8"/>
          <w:rFonts w:hint="eastAsia" w:ascii="仿宋" w:hAnsi="仿宋" w:eastAsia="仿宋" w:cs="仿宋"/>
          <w:b w:val="0"/>
          <w:color w:val="auto"/>
          <w:spacing w:val="-4"/>
          <w:sz w:val="32"/>
          <w:szCs w:val="32"/>
          <w:highlight w:val="none"/>
          <w:lang w:val="en-US" w:eastAsia="zh-CN"/>
        </w:rPr>
        <w:t>：=4次</w:t>
      </w:r>
      <w:r>
        <w:rPr>
          <w:rStyle w:val="8"/>
          <w:rFonts w:hint="eastAsia" w:ascii="仿宋" w:hAnsi="仿宋" w:eastAsia="仿宋" w:cs="仿宋"/>
          <w:b w:val="0"/>
          <w:color w:val="auto"/>
          <w:spacing w:val="-4"/>
          <w:sz w:val="32"/>
          <w:szCs w:val="32"/>
          <w:highlight w:val="none"/>
          <w:lang w:val="en-US" w:eastAsia="zh-CN"/>
        </w:rPr>
        <w:t>；评价实际完成值：=8次；指标完成率：100.00%；成效分析：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，提升了广大农牧民应用新技术、新成果的整体能力和水平，为全市农业高质量发展提供有力的科技支撑。</w:t>
      </w:r>
    </w:p>
    <w:p>
      <w:pPr>
        <w:pStyle w:val="12"/>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624" w:firstLineChars="200"/>
        <w:jc w:val="both"/>
        <w:textAlignment w:val="auto"/>
        <w:outlineLvl w:val="9"/>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数量指标4</w:t>
      </w:r>
      <w:r>
        <w:rPr>
          <w:rStyle w:val="8"/>
          <w:rFonts w:hint="eastAsia" w:ascii="仿宋" w:hAnsi="仿宋" w:eastAsia="仿宋" w:cs="仿宋"/>
          <w:b w:val="0"/>
          <w:color w:val="auto"/>
          <w:spacing w:val="-4"/>
          <w:sz w:val="32"/>
          <w:szCs w:val="32"/>
          <w:highlight w:val="none"/>
          <w:lang w:val="en-US" w:eastAsia="zh-CN"/>
        </w:rPr>
        <w:t>：宣传报道数量,预期指标值为：&gt;=7次；监控节点完成</w:t>
      </w:r>
      <w:r>
        <w:rPr>
          <w:rStyle w:val="8"/>
          <w:rFonts w:hint="eastAsia" w:ascii="仿宋" w:hAnsi="仿宋" w:eastAsia="仿宋" w:cs="仿宋"/>
          <w:b w:val="0"/>
          <w:color w:val="auto"/>
          <w:spacing w:val="-4"/>
          <w:sz w:val="32"/>
          <w:szCs w:val="32"/>
          <w:highlight w:val="none"/>
          <w:lang w:val="en-US" w:eastAsia="zh-CN"/>
        </w:rPr>
        <w:t>值：=4次</w:t>
      </w:r>
      <w:r>
        <w:rPr>
          <w:rStyle w:val="8"/>
          <w:rFonts w:hint="eastAsia" w:ascii="仿宋" w:hAnsi="仿宋" w:eastAsia="仿宋" w:cs="仿宋"/>
          <w:b w:val="0"/>
          <w:color w:val="auto"/>
          <w:spacing w:val="-4"/>
          <w:sz w:val="32"/>
          <w:szCs w:val="32"/>
          <w:highlight w:val="none"/>
          <w:lang w:val="en-US" w:eastAsia="zh-CN"/>
        </w:rPr>
        <w:t>；评价实际完成值：=8次；指标完成率：100.00%；成效</w:t>
      </w:r>
      <w:r>
        <w:rPr>
          <w:rStyle w:val="8"/>
          <w:rFonts w:hint="eastAsia" w:ascii="仿宋" w:hAnsi="仿宋" w:eastAsia="仿宋" w:cs="仿宋"/>
          <w:b w:val="0"/>
          <w:color w:val="auto"/>
          <w:spacing w:val="-4"/>
          <w:sz w:val="32"/>
          <w:szCs w:val="32"/>
          <w:highlight w:val="none"/>
          <w:lang w:val="en-US" w:eastAsia="zh-CN"/>
        </w:rPr>
        <w:t>分析：</w:t>
      </w:r>
      <w:r>
        <w:rPr>
          <w:rStyle w:val="8"/>
          <w:rFonts w:hint="eastAsia" w:ascii="仿宋" w:hAnsi="仿宋" w:eastAsia="仿宋" w:cs="仿宋"/>
          <w:b w:val="0"/>
          <w:bCs/>
          <w:color w:val="auto"/>
          <w:spacing w:val="-4"/>
          <w:sz w:val="32"/>
          <w:szCs w:val="32"/>
          <w:highlight w:val="none"/>
          <w:lang w:val="en-US" w:eastAsia="zh-CN"/>
        </w:rPr>
        <w:t>通过单位正常运转</w:t>
      </w:r>
      <w:r>
        <w:rPr>
          <w:rStyle w:val="8"/>
          <w:rFonts w:hint="eastAsia" w:ascii="仿宋" w:hAnsi="仿宋" w:eastAsia="仿宋" w:cs="仿宋"/>
          <w:b w:val="0"/>
          <w:color w:val="auto"/>
          <w:spacing w:val="-4"/>
          <w:sz w:val="32"/>
          <w:szCs w:val="32"/>
          <w:highlight w:val="none"/>
          <w:lang w:val="en-US" w:eastAsia="zh-CN"/>
        </w:rPr>
        <w:t>，提高了</w:t>
      </w:r>
      <w:r>
        <w:rPr>
          <w:rStyle w:val="8"/>
          <w:rFonts w:hint="eastAsia" w:ascii="仿宋" w:hAnsi="仿宋" w:eastAsia="仿宋" w:cs="仿宋"/>
          <w:b w:val="0"/>
          <w:color w:val="auto"/>
          <w:spacing w:val="-4"/>
          <w:sz w:val="32"/>
          <w:szCs w:val="32"/>
          <w:highlight w:val="none"/>
          <w:lang w:val="en-US" w:eastAsia="zh-CN"/>
        </w:rPr>
        <w:t>农牧民科学素养、科技意识、实用技术能力和水平不断提高，群众的认可度、满意度、幸福感和获得感进一步提升。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（四）指标四：社会效益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8"/>
          <w:rFonts w:hint="eastAsia" w:ascii="黑体" w:hAnsi="黑体" w:eastAsia="黑体" w:cs="黑体"/>
          <w:b w:val="0"/>
          <w:bCs/>
          <w:color w:val="auto"/>
          <w:spacing w:val="-4"/>
          <w:sz w:val="32"/>
          <w:szCs w:val="32"/>
          <w:highlight w:val="none"/>
          <w:lang w:val="en-US" w:eastAsia="zh-CN"/>
        </w:rPr>
      </w:pPr>
      <w:r>
        <w:rPr>
          <w:rStyle w:val="8"/>
          <w:rFonts w:hint="eastAsia" w:ascii="黑体" w:hAnsi="黑体" w:eastAsia="黑体" w:cs="黑体"/>
          <w:b w:val="0"/>
          <w:bCs/>
          <w:color w:val="auto"/>
          <w:spacing w:val="-4"/>
          <w:sz w:val="32"/>
          <w:szCs w:val="32"/>
          <w:highlight w:val="none"/>
          <w:lang w:val="en-US" w:eastAsia="zh-CN"/>
        </w:rPr>
        <w:t>（六）指标六：服务对象满意度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8"/>
          <w:rFonts w:hint="eastAsia" w:ascii="仿宋" w:hAnsi="仿宋" w:eastAsia="仿宋" w:cs="仿宋"/>
          <w:b w:val="0"/>
          <w:color w:val="auto"/>
          <w:spacing w:val="-4"/>
          <w:sz w:val="32"/>
          <w:szCs w:val="32"/>
          <w:highlight w:val="none"/>
          <w:lang w:val="en-US" w:eastAsia="zh-CN"/>
        </w:rPr>
      </w:pPr>
      <w:r>
        <w:rPr>
          <w:rStyle w:val="8"/>
          <w:rFonts w:hint="eastAsia" w:ascii="仿宋" w:hAnsi="仿宋" w:eastAsia="仿宋" w:cs="仿宋"/>
          <w:b w:val="0"/>
          <w:color w:val="auto"/>
          <w:spacing w:val="-4"/>
          <w:sz w:val="32"/>
          <w:szCs w:val="32"/>
          <w:highlight w:val="none"/>
          <w:lang w:val="en-US" w:eastAsia="zh-CN"/>
        </w:rPr>
        <w:t>无此项指标。</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ascii="黑体" w:hAnsi="黑体" w:eastAsia="黑体"/>
          <w:b w:val="0"/>
          <w:bCs w:val="0"/>
          <w:color w:val="auto"/>
          <w:spacing w:val="-4"/>
          <w:sz w:val="32"/>
          <w:szCs w:val="32"/>
          <w:highlight w:val="none"/>
        </w:rPr>
      </w:pPr>
      <w:r>
        <w:rPr>
          <w:rStyle w:val="8"/>
          <w:rFonts w:hint="eastAsia" w:ascii="黑体" w:hAnsi="黑体" w:eastAsia="黑体"/>
          <w:b w:val="0"/>
          <w:bCs w:val="0"/>
          <w:color w:val="auto"/>
          <w:spacing w:val="-4"/>
          <w:sz w:val="32"/>
          <w:szCs w:val="32"/>
          <w:highlight w:val="none"/>
          <w:lang w:val="en-US" w:eastAsia="zh-CN"/>
        </w:rPr>
        <w:t>四、</w:t>
      </w:r>
      <w:r>
        <w:rPr>
          <w:rStyle w:val="8"/>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8"/>
          <w:rFonts w:hint="eastAsia" w:ascii="仿宋" w:hAnsi="仿宋" w:eastAsia="仿宋" w:cs="仿宋"/>
          <w:b w:val="0"/>
          <w:bCs/>
          <w:color w:val="auto"/>
          <w:spacing w:val="-4"/>
          <w:sz w:val="32"/>
          <w:szCs w:val="32"/>
          <w:highlight w:val="none"/>
          <w:lang w:val="en-US" w:eastAsia="zh-CN"/>
        </w:rPr>
      </w:pPr>
      <w:r>
        <w:rPr>
          <w:rStyle w:val="8"/>
          <w:rFonts w:hint="eastAsia" w:ascii="仿宋" w:hAnsi="仿宋" w:eastAsia="仿宋" w:cs="仿宋"/>
          <w:b w:val="0"/>
          <w:bCs/>
          <w:color w:val="auto"/>
          <w:spacing w:val="-4"/>
          <w:sz w:val="32"/>
          <w:szCs w:val="32"/>
          <w:highlight w:val="none"/>
          <w:lang w:val="en-US" w:eastAsia="zh-CN"/>
        </w:rPr>
        <w:t>2023年度部门整体支出绩效自评综合得分</w:t>
      </w:r>
      <w:r>
        <w:rPr>
          <w:rStyle w:val="8"/>
          <w:rFonts w:hint="eastAsia" w:ascii="仿宋" w:hAnsi="仿宋" w:eastAsia="仿宋" w:cs="仿宋"/>
          <w:b w:val="0"/>
          <w:bCs/>
          <w:color w:val="auto"/>
          <w:spacing w:val="-4"/>
          <w:sz w:val="32"/>
          <w:szCs w:val="32"/>
          <w:highlight w:val="none"/>
          <w:lang w:val="en-US" w:eastAsia="zh-CN"/>
        </w:rPr>
        <w:t>80</w:t>
      </w:r>
      <w:r>
        <w:rPr>
          <w:rStyle w:val="8"/>
          <w:rFonts w:hint="eastAsia" w:ascii="仿宋" w:hAnsi="仿宋" w:eastAsia="仿宋" w:cs="仿宋"/>
          <w:b w:val="0"/>
          <w:bCs/>
          <w:color w:val="auto"/>
          <w:spacing w:val="-4"/>
          <w:sz w:val="32"/>
          <w:szCs w:val="32"/>
          <w:highlight w:val="none"/>
          <w:lang w:val="en-US" w:eastAsia="zh-CN"/>
        </w:rPr>
        <w:t>分（填写自评表中得分)，评价结果为“</w:t>
      </w:r>
      <w:r>
        <w:rPr>
          <w:rStyle w:val="8"/>
          <w:rFonts w:hint="eastAsia" w:ascii="仿宋" w:hAnsi="仿宋" w:eastAsia="仿宋" w:cs="仿宋"/>
          <w:b w:val="0"/>
          <w:bCs/>
          <w:color w:val="auto"/>
          <w:spacing w:val="-4"/>
          <w:sz w:val="32"/>
          <w:szCs w:val="32"/>
          <w:highlight w:val="none"/>
          <w:lang w:val="en-US" w:eastAsia="zh-CN"/>
        </w:rPr>
        <w:t>良”。</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五、</w:t>
      </w:r>
      <w:r>
        <w:rPr>
          <w:rStyle w:val="8"/>
          <w:rFonts w:hint="eastAsia" w:ascii="黑体" w:hAnsi="黑体" w:eastAsia="黑体" w:cs="黑体"/>
          <w:b w:val="0"/>
          <w:bCs w:val="0"/>
          <w:color w:val="auto"/>
          <w:spacing w:val="-4"/>
          <w:sz w:val="32"/>
          <w:szCs w:val="32"/>
          <w:highlight w:val="none"/>
        </w:rPr>
        <w:t>存在的主要问题</w:t>
      </w:r>
      <w:r>
        <w:rPr>
          <w:rStyle w:val="8"/>
          <w:rFonts w:hint="eastAsia" w:ascii="黑体" w:hAnsi="黑体" w:eastAsia="黑体" w:cs="黑体"/>
          <w:b w:val="0"/>
          <w:bCs w:val="0"/>
          <w:color w:val="auto"/>
          <w:spacing w:val="-4"/>
          <w:sz w:val="32"/>
          <w:szCs w:val="32"/>
          <w:highlight w:val="none"/>
          <w:lang w:eastAsia="zh-CN"/>
        </w:rPr>
        <w:t>及原因分析</w:t>
      </w:r>
    </w:p>
    <w:p>
      <w:pPr>
        <w:keepNext w:val="0"/>
        <w:keepLines w:val="0"/>
        <w:pageBreakBefore w:val="0"/>
        <w:widowControl/>
        <w:kinsoku/>
        <w:wordWrap/>
        <w:overflowPunct/>
        <w:topLinePunct w:val="0"/>
        <w:autoSpaceDE/>
        <w:autoSpaceDN/>
        <w:bidi w:val="0"/>
        <w:adjustRightInd/>
        <w:snapToGrid/>
        <w:spacing w:line="560" w:lineRule="exact"/>
        <w:ind w:left="0" w:leftChars="0" w:firstLine="624" w:firstLineChars="200"/>
        <w:jc w:val="both"/>
        <w:textAlignment w:val="auto"/>
        <w:outlineLvl w:val="9"/>
        <w:rPr>
          <w:rStyle w:val="8"/>
          <w:rFonts w:hint="default" w:ascii="仿宋" w:hAnsi="仿宋" w:eastAsia="仿宋" w:cs="仿宋"/>
          <w:b w:val="0"/>
          <w:bCs w:val="0"/>
          <w:color w:val="auto"/>
          <w:spacing w:val="-4"/>
          <w:kern w:val="2"/>
          <w:sz w:val="32"/>
          <w:szCs w:val="32"/>
          <w:highlight w:val="none"/>
          <w:lang w:val="en-US" w:eastAsia="zh-CN" w:bidi="ar-SA"/>
        </w:rPr>
      </w:pPr>
      <w:r>
        <w:rPr>
          <w:rStyle w:val="8"/>
          <w:rFonts w:hint="eastAsia" w:ascii="仿宋" w:hAnsi="仿宋" w:eastAsia="仿宋" w:cs="仿宋"/>
          <w:b w:val="0"/>
          <w:bCs w:val="0"/>
          <w:color w:val="auto"/>
          <w:spacing w:val="-4"/>
          <w:kern w:val="2"/>
          <w:sz w:val="32"/>
          <w:szCs w:val="32"/>
          <w:highlight w:val="none"/>
          <w:lang w:val="en-US" w:eastAsia="zh-CN" w:bidi="ar-SA"/>
        </w:rPr>
        <w:t>一年来，市科技局科技创新工作虽然取得了一定成效，但也存在着一些问题不足和短板弱项：一是</w:t>
      </w:r>
      <w:r>
        <w:rPr>
          <w:rStyle w:val="8"/>
          <w:rFonts w:hint="default" w:ascii="仿宋" w:hAnsi="仿宋" w:eastAsia="仿宋" w:cs="仿宋"/>
          <w:b w:val="0"/>
          <w:bCs w:val="0"/>
          <w:color w:val="auto"/>
          <w:spacing w:val="-4"/>
          <w:kern w:val="2"/>
          <w:sz w:val="32"/>
          <w:szCs w:val="32"/>
          <w:highlight w:val="none"/>
          <w:lang w:val="en-US" w:eastAsia="zh-CN" w:bidi="ar-SA"/>
        </w:rPr>
        <w:t>创新平台发展</w:t>
      </w:r>
      <w:r>
        <w:rPr>
          <w:rStyle w:val="8"/>
          <w:rFonts w:hint="eastAsia" w:ascii="仿宋" w:hAnsi="仿宋" w:eastAsia="仿宋" w:cs="仿宋"/>
          <w:b w:val="0"/>
          <w:bCs w:val="0"/>
          <w:color w:val="auto"/>
          <w:spacing w:val="-4"/>
          <w:kern w:val="2"/>
          <w:sz w:val="32"/>
          <w:szCs w:val="32"/>
          <w:highlight w:val="none"/>
          <w:lang w:val="en-US" w:eastAsia="zh-CN" w:bidi="ar-SA"/>
        </w:rPr>
        <w:t>相对</w:t>
      </w:r>
      <w:r>
        <w:rPr>
          <w:rStyle w:val="8"/>
          <w:rFonts w:hint="default" w:ascii="仿宋" w:hAnsi="仿宋" w:eastAsia="仿宋" w:cs="仿宋"/>
          <w:b w:val="0"/>
          <w:bCs w:val="0"/>
          <w:color w:val="auto"/>
          <w:spacing w:val="-4"/>
          <w:kern w:val="2"/>
          <w:sz w:val="32"/>
          <w:szCs w:val="32"/>
          <w:highlight w:val="none"/>
          <w:lang w:val="en-US" w:eastAsia="zh-CN" w:bidi="ar-SA"/>
        </w:rPr>
        <w:t>滞后。全市各类创新平台数量少，目前仅有自治区级重点实验室、科技企业孵化器</w:t>
      </w:r>
      <w:r>
        <w:rPr>
          <w:rStyle w:val="8"/>
          <w:rFonts w:hint="eastAsia" w:ascii="仿宋" w:hAnsi="仿宋" w:eastAsia="仿宋" w:cs="仿宋"/>
          <w:b w:val="0"/>
          <w:bCs w:val="0"/>
          <w:color w:val="auto"/>
          <w:spacing w:val="-4"/>
          <w:kern w:val="2"/>
          <w:sz w:val="32"/>
          <w:szCs w:val="32"/>
          <w:highlight w:val="none"/>
          <w:lang w:val="en-US" w:eastAsia="zh-CN" w:bidi="ar-SA"/>
        </w:rPr>
        <w:t>、</w:t>
      </w:r>
      <w:r>
        <w:rPr>
          <w:rStyle w:val="8"/>
          <w:rFonts w:hint="default" w:ascii="仿宋" w:hAnsi="仿宋" w:eastAsia="仿宋" w:cs="仿宋"/>
          <w:b w:val="0"/>
          <w:bCs w:val="0"/>
          <w:color w:val="auto"/>
          <w:spacing w:val="-4"/>
          <w:kern w:val="2"/>
          <w:sz w:val="32"/>
          <w:szCs w:val="32"/>
          <w:highlight w:val="none"/>
          <w:lang w:val="en-US" w:eastAsia="zh-CN" w:bidi="ar-SA"/>
        </w:rPr>
        <w:t>众创空间</w:t>
      </w:r>
      <w:r>
        <w:rPr>
          <w:rStyle w:val="8"/>
          <w:rFonts w:hint="eastAsia" w:ascii="仿宋" w:hAnsi="仿宋" w:eastAsia="仿宋" w:cs="仿宋"/>
          <w:b w:val="0"/>
          <w:bCs w:val="0"/>
          <w:color w:val="auto"/>
          <w:spacing w:val="-4"/>
          <w:kern w:val="2"/>
          <w:sz w:val="32"/>
          <w:szCs w:val="32"/>
          <w:highlight w:val="none"/>
          <w:lang w:val="en-US" w:eastAsia="zh-CN" w:bidi="ar-SA"/>
        </w:rPr>
        <w:t>、</w:t>
      </w:r>
      <w:r>
        <w:rPr>
          <w:rStyle w:val="8"/>
          <w:rFonts w:hint="default" w:ascii="仿宋" w:hAnsi="仿宋" w:eastAsia="仿宋" w:cs="仿宋"/>
          <w:b w:val="0"/>
          <w:bCs w:val="0"/>
          <w:color w:val="auto"/>
          <w:spacing w:val="-4"/>
          <w:kern w:val="2"/>
          <w:sz w:val="32"/>
          <w:szCs w:val="32"/>
          <w:highlight w:val="none"/>
          <w:lang w:val="en-US" w:eastAsia="zh-CN" w:bidi="ar-SA"/>
        </w:rPr>
        <w:t>星创天地5家</w:t>
      </w:r>
      <w:r>
        <w:rPr>
          <w:rStyle w:val="8"/>
          <w:rFonts w:hint="eastAsia" w:ascii="仿宋" w:hAnsi="仿宋" w:eastAsia="仿宋" w:cs="仿宋"/>
          <w:b w:val="0"/>
          <w:bCs w:val="0"/>
          <w:color w:val="auto"/>
          <w:spacing w:val="-4"/>
          <w:kern w:val="2"/>
          <w:sz w:val="32"/>
          <w:szCs w:val="32"/>
          <w:highlight w:val="none"/>
          <w:lang w:val="en-US" w:eastAsia="zh-CN" w:bidi="ar-SA"/>
        </w:rPr>
        <w:t>，</w:t>
      </w:r>
      <w:r>
        <w:rPr>
          <w:rStyle w:val="8"/>
          <w:rFonts w:hint="default" w:ascii="仿宋" w:hAnsi="仿宋" w:eastAsia="仿宋" w:cs="仿宋"/>
          <w:b w:val="0"/>
          <w:bCs w:val="0"/>
          <w:color w:val="auto"/>
          <w:spacing w:val="-4"/>
          <w:kern w:val="2"/>
          <w:sz w:val="32"/>
          <w:szCs w:val="32"/>
          <w:highlight w:val="none"/>
          <w:lang w:val="en-US" w:eastAsia="zh-CN" w:bidi="ar-SA"/>
        </w:rPr>
        <w:t>现有平台“内驱力”作用发挥不明显。上库高新区还未列入《中国开发区审核公告目录》，园区内高新技术企业少，仅有8家，且大多基于产业链原材料端发展，未形成高新技术企业集聚效应。</w:t>
      </w:r>
      <w:r>
        <w:rPr>
          <w:rStyle w:val="8"/>
          <w:rFonts w:hint="eastAsia" w:ascii="仿宋" w:hAnsi="仿宋" w:eastAsia="仿宋" w:cs="仿宋"/>
          <w:b w:val="0"/>
          <w:bCs w:val="0"/>
          <w:color w:val="auto"/>
          <w:spacing w:val="-4"/>
          <w:kern w:val="2"/>
          <w:sz w:val="32"/>
          <w:szCs w:val="32"/>
          <w:highlight w:val="none"/>
          <w:lang w:val="en-US" w:eastAsia="zh-CN" w:bidi="ar-SA"/>
        </w:rPr>
        <w:t>二是</w:t>
      </w:r>
      <w:r>
        <w:rPr>
          <w:rStyle w:val="8"/>
          <w:rFonts w:hint="default" w:ascii="仿宋" w:hAnsi="仿宋" w:eastAsia="仿宋" w:cs="仿宋"/>
          <w:b w:val="0"/>
          <w:bCs w:val="0"/>
          <w:color w:val="auto"/>
          <w:spacing w:val="-4"/>
          <w:kern w:val="2"/>
          <w:sz w:val="32"/>
          <w:szCs w:val="32"/>
          <w:highlight w:val="none"/>
          <w:lang w:val="en-US" w:eastAsia="zh-CN" w:bidi="ar-SA"/>
        </w:rPr>
        <w:t>创新主体活力</w:t>
      </w:r>
      <w:r>
        <w:rPr>
          <w:rStyle w:val="8"/>
          <w:rFonts w:hint="eastAsia" w:ascii="仿宋" w:hAnsi="仿宋" w:eastAsia="仿宋" w:cs="仿宋"/>
          <w:b w:val="0"/>
          <w:bCs w:val="0"/>
          <w:color w:val="auto"/>
          <w:spacing w:val="-4"/>
          <w:kern w:val="2"/>
          <w:sz w:val="32"/>
          <w:szCs w:val="32"/>
          <w:highlight w:val="none"/>
          <w:lang w:val="en-US" w:eastAsia="zh-CN" w:bidi="ar-SA"/>
        </w:rPr>
        <w:t>激发</w:t>
      </w:r>
      <w:r>
        <w:rPr>
          <w:rStyle w:val="8"/>
          <w:rFonts w:hint="default" w:ascii="仿宋" w:hAnsi="仿宋" w:eastAsia="仿宋" w:cs="仿宋"/>
          <w:b w:val="0"/>
          <w:bCs w:val="0"/>
          <w:color w:val="auto"/>
          <w:spacing w:val="-4"/>
          <w:kern w:val="2"/>
          <w:sz w:val="32"/>
          <w:szCs w:val="32"/>
          <w:highlight w:val="none"/>
          <w:lang w:val="en-US" w:eastAsia="zh-CN" w:bidi="ar-SA"/>
        </w:rPr>
        <w:t>不足。全市规上工业企业中有研发机构</w:t>
      </w:r>
      <w:r>
        <w:rPr>
          <w:rStyle w:val="8"/>
          <w:rFonts w:hint="eastAsia" w:ascii="仿宋" w:hAnsi="仿宋" w:eastAsia="仿宋" w:cs="仿宋"/>
          <w:b w:val="0"/>
          <w:bCs w:val="0"/>
          <w:color w:val="auto"/>
          <w:spacing w:val="-4"/>
          <w:kern w:val="2"/>
          <w:sz w:val="32"/>
          <w:szCs w:val="32"/>
          <w:highlight w:val="none"/>
          <w:lang w:val="en-US" w:eastAsia="zh-CN" w:bidi="ar-SA"/>
        </w:rPr>
        <w:t>少</w:t>
      </w:r>
      <w:r>
        <w:rPr>
          <w:rStyle w:val="8"/>
          <w:rFonts w:hint="default" w:ascii="仿宋" w:hAnsi="仿宋" w:eastAsia="仿宋" w:cs="仿宋"/>
          <w:b w:val="0"/>
          <w:bCs w:val="0"/>
          <w:color w:val="auto"/>
          <w:spacing w:val="-4"/>
          <w:kern w:val="2"/>
          <w:sz w:val="32"/>
          <w:szCs w:val="32"/>
          <w:highlight w:val="none"/>
          <w:lang w:val="en-US" w:eastAsia="zh-CN" w:bidi="ar-SA"/>
        </w:rPr>
        <w:t>，特别是国有企业在研发投入、创新能力建设、知识产权创造与运用方面引领不够。</w:t>
      </w:r>
      <w:r>
        <w:rPr>
          <w:rStyle w:val="8"/>
          <w:rFonts w:hint="eastAsia" w:ascii="仿宋" w:hAnsi="仿宋" w:eastAsia="仿宋" w:cs="仿宋"/>
          <w:b w:val="0"/>
          <w:bCs w:val="0"/>
          <w:color w:val="auto"/>
          <w:spacing w:val="-4"/>
          <w:kern w:val="2"/>
          <w:sz w:val="32"/>
          <w:szCs w:val="32"/>
          <w:highlight w:val="none"/>
          <w:lang w:val="en-US" w:eastAsia="zh-CN" w:bidi="ar-SA"/>
        </w:rPr>
        <w:t xml:space="preserve"> 三是</w:t>
      </w:r>
      <w:r>
        <w:rPr>
          <w:rStyle w:val="8"/>
          <w:rFonts w:hint="default" w:ascii="仿宋" w:hAnsi="仿宋" w:eastAsia="仿宋" w:cs="仿宋"/>
          <w:b w:val="0"/>
          <w:bCs w:val="0"/>
          <w:color w:val="auto"/>
          <w:spacing w:val="-4"/>
          <w:kern w:val="2"/>
          <w:sz w:val="32"/>
          <w:szCs w:val="32"/>
          <w:highlight w:val="none"/>
          <w:lang w:val="en-US" w:eastAsia="zh-CN" w:bidi="ar-SA"/>
        </w:rPr>
        <w:t>创新</w:t>
      </w:r>
      <w:r>
        <w:rPr>
          <w:rStyle w:val="8"/>
          <w:rFonts w:hint="eastAsia" w:ascii="仿宋" w:hAnsi="仿宋" w:eastAsia="仿宋" w:cs="仿宋"/>
          <w:b w:val="0"/>
          <w:bCs w:val="0"/>
          <w:color w:val="auto"/>
          <w:spacing w:val="-4"/>
          <w:kern w:val="2"/>
          <w:sz w:val="32"/>
          <w:szCs w:val="32"/>
          <w:highlight w:val="none"/>
          <w:lang w:val="en-US" w:eastAsia="zh-CN" w:bidi="ar-SA"/>
        </w:rPr>
        <w:t>型</w:t>
      </w:r>
      <w:r>
        <w:rPr>
          <w:rStyle w:val="8"/>
          <w:rFonts w:hint="default" w:ascii="仿宋" w:hAnsi="仿宋" w:eastAsia="仿宋" w:cs="仿宋"/>
          <w:b w:val="0"/>
          <w:bCs w:val="0"/>
          <w:color w:val="auto"/>
          <w:spacing w:val="-4"/>
          <w:kern w:val="2"/>
          <w:sz w:val="32"/>
          <w:szCs w:val="32"/>
          <w:highlight w:val="none"/>
          <w:lang w:val="en-US" w:eastAsia="zh-CN" w:bidi="ar-SA"/>
        </w:rPr>
        <w:t>人才</w:t>
      </w:r>
      <w:r>
        <w:rPr>
          <w:rStyle w:val="8"/>
          <w:rFonts w:hint="eastAsia" w:ascii="仿宋" w:hAnsi="仿宋" w:eastAsia="仿宋" w:cs="仿宋"/>
          <w:b w:val="0"/>
          <w:bCs w:val="0"/>
          <w:color w:val="auto"/>
          <w:spacing w:val="-4"/>
          <w:kern w:val="2"/>
          <w:sz w:val="32"/>
          <w:szCs w:val="32"/>
          <w:highlight w:val="none"/>
          <w:lang w:val="en-US" w:eastAsia="zh-CN" w:bidi="ar-SA"/>
        </w:rPr>
        <w:t>比较</w:t>
      </w:r>
      <w:r>
        <w:rPr>
          <w:rStyle w:val="8"/>
          <w:rFonts w:hint="default" w:ascii="仿宋" w:hAnsi="仿宋" w:eastAsia="仿宋" w:cs="仿宋"/>
          <w:b w:val="0"/>
          <w:bCs w:val="0"/>
          <w:color w:val="auto"/>
          <w:spacing w:val="-4"/>
          <w:kern w:val="2"/>
          <w:sz w:val="32"/>
          <w:szCs w:val="32"/>
          <w:highlight w:val="none"/>
          <w:lang w:val="en-US" w:eastAsia="zh-CN" w:bidi="ar-SA"/>
        </w:rPr>
        <w:t>匮乏。创新型科技人才、创新型领军人才和团队</w:t>
      </w:r>
      <w:r>
        <w:rPr>
          <w:rStyle w:val="8"/>
          <w:rFonts w:hint="eastAsia" w:ascii="仿宋" w:hAnsi="仿宋" w:eastAsia="仿宋" w:cs="仿宋"/>
          <w:b w:val="0"/>
          <w:bCs w:val="0"/>
          <w:color w:val="auto"/>
          <w:spacing w:val="-4"/>
          <w:kern w:val="2"/>
          <w:sz w:val="32"/>
          <w:szCs w:val="32"/>
          <w:highlight w:val="none"/>
          <w:lang w:val="en-US" w:eastAsia="zh-CN" w:bidi="ar-SA"/>
        </w:rPr>
        <w:t>较少</w:t>
      </w:r>
      <w:r>
        <w:rPr>
          <w:rStyle w:val="8"/>
          <w:rFonts w:hint="default" w:ascii="仿宋" w:hAnsi="仿宋" w:eastAsia="仿宋" w:cs="仿宋"/>
          <w:b w:val="0"/>
          <w:bCs w:val="0"/>
          <w:color w:val="auto"/>
          <w:spacing w:val="-4"/>
          <w:kern w:val="2"/>
          <w:sz w:val="32"/>
          <w:szCs w:val="32"/>
          <w:highlight w:val="none"/>
          <w:lang w:val="en-US" w:eastAsia="zh-CN" w:bidi="ar-SA"/>
        </w:rPr>
        <w:t>，培养、引进、激励人才机制不够健全和完善。</w:t>
      </w:r>
      <w:r>
        <w:rPr>
          <w:rStyle w:val="8"/>
          <w:rFonts w:hint="eastAsia" w:ascii="仿宋" w:hAnsi="仿宋" w:eastAsia="仿宋" w:cs="仿宋"/>
          <w:b w:val="0"/>
          <w:bCs w:val="0"/>
          <w:color w:val="auto"/>
          <w:spacing w:val="-4"/>
          <w:kern w:val="2"/>
          <w:sz w:val="32"/>
          <w:szCs w:val="32"/>
          <w:highlight w:val="none"/>
          <w:lang w:val="en-US" w:eastAsia="zh-CN" w:bidi="ar-SA"/>
        </w:rPr>
        <w:t>四是</w:t>
      </w:r>
      <w:r>
        <w:rPr>
          <w:rStyle w:val="8"/>
          <w:rFonts w:hint="default" w:ascii="仿宋" w:hAnsi="仿宋" w:eastAsia="仿宋" w:cs="仿宋"/>
          <w:b w:val="0"/>
          <w:bCs w:val="0"/>
          <w:color w:val="auto"/>
          <w:spacing w:val="-4"/>
          <w:kern w:val="2"/>
          <w:sz w:val="32"/>
          <w:szCs w:val="32"/>
          <w:highlight w:val="none"/>
          <w:lang w:val="en-US" w:eastAsia="zh-CN" w:bidi="ar-SA"/>
        </w:rPr>
        <w:t>科技</w:t>
      </w:r>
      <w:r>
        <w:rPr>
          <w:rStyle w:val="8"/>
          <w:rFonts w:hint="eastAsia" w:ascii="仿宋" w:hAnsi="仿宋" w:eastAsia="仿宋" w:cs="仿宋"/>
          <w:b w:val="0"/>
          <w:bCs w:val="0"/>
          <w:color w:val="auto"/>
          <w:spacing w:val="-4"/>
          <w:kern w:val="2"/>
          <w:sz w:val="32"/>
          <w:szCs w:val="32"/>
          <w:highlight w:val="none"/>
          <w:lang w:val="en-US" w:eastAsia="zh-CN" w:bidi="ar-SA"/>
        </w:rPr>
        <w:t>交流</w:t>
      </w:r>
      <w:r>
        <w:rPr>
          <w:rStyle w:val="8"/>
          <w:rFonts w:hint="default" w:ascii="仿宋" w:hAnsi="仿宋" w:eastAsia="仿宋" w:cs="仿宋"/>
          <w:b w:val="0"/>
          <w:bCs w:val="0"/>
          <w:color w:val="auto"/>
          <w:spacing w:val="-4"/>
          <w:kern w:val="2"/>
          <w:sz w:val="32"/>
          <w:szCs w:val="32"/>
          <w:highlight w:val="none"/>
          <w:lang w:val="en-US" w:eastAsia="zh-CN" w:bidi="ar-SA"/>
        </w:rPr>
        <w:t>合作</w:t>
      </w:r>
      <w:r>
        <w:rPr>
          <w:rStyle w:val="8"/>
          <w:rFonts w:hint="eastAsia" w:ascii="仿宋" w:hAnsi="仿宋" w:eastAsia="仿宋" w:cs="仿宋"/>
          <w:b w:val="0"/>
          <w:bCs w:val="0"/>
          <w:color w:val="auto"/>
          <w:spacing w:val="-4"/>
          <w:kern w:val="2"/>
          <w:sz w:val="32"/>
          <w:szCs w:val="32"/>
          <w:highlight w:val="none"/>
          <w:lang w:val="en-US" w:eastAsia="zh-CN" w:bidi="ar-SA"/>
        </w:rPr>
        <w:t>缺乏</w:t>
      </w:r>
      <w:r>
        <w:rPr>
          <w:rStyle w:val="8"/>
          <w:rFonts w:hint="default" w:ascii="仿宋" w:hAnsi="仿宋" w:eastAsia="仿宋" w:cs="仿宋"/>
          <w:b w:val="0"/>
          <w:bCs w:val="0"/>
          <w:color w:val="auto"/>
          <w:spacing w:val="-4"/>
          <w:kern w:val="2"/>
          <w:sz w:val="32"/>
          <w:szCs w:val="32"/>
          <w:highlight w:val="none"/>
          <w:lang w:val="en-US" w:eastAsia="zh-CN" w:bidi="ar-SA"/>
        </w:rPr>
        <w:t>深度。围绕经济社会高质量发展需求，与疆内外高校、科研院所共建研发机构、培养科技人才等方面深度合作不够，优质科技成果转移转化和产业化难度较大，“政企学研”开放合作水平不高。</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六、</w:t>
      </w:r>
      <w:r>
        <w:rPr>
          <w:rStyle w:val="8"/>
          <w:rFonts w:hint="eastAsia" w:ascii="黑体" w:hAnsi="黑体" w:eastAsia="黑体" w:cs="黑体"/>
          <w:b w:val="0"/>
          <w:bCs w:val="0"/>
          <w:color w:val="auto"/>
          <w:spacing w:val="-4"/>
          <w:sz w:val="32"/>
          <w:szCs w:val="32"/>
          <w:highlight w:val="none"/>
        </w:rPr>
        <w:t>改进措施和建议</w:t>
      </w:r>
    </w:p>
    <w:p>
      <w:pPr>
        <w:keepNext w:val="0"/>
        <w:keepLines w:val="0"/>
        <w:pageBreakBefore w:val="0"/>
        <w:widowControl/>
        <w:kinsoku/>
        <w:wordWrap/>
        <w:overflowPunct/>
        <w:topLinePunct w:val="0"/>
        <w:autoSpaceDE/>
        <w:autoSpaceDN/>
        <w:bidi w:val="0"/>
        <w:adjustRightInd/>
        <w:snapToGrid/>
        <w:spacing w:line="560" w:lineRule="exact"/>
        <w:ind w:left="0" w:leftChars="0" w:firstLine="624" w:firstLineChars="200"/>
        <w:jc w:val="both"/>
        <w:textAlignment w:val="auto"/>
        <w:outlineLvl w:val="9"/>
        <w:rPr>
          <w:rStyle w:val="8"/>
          <w:rFonts w:hint="eastAsia" w:ascii="仿宋" w:hAnsi="仿宋" w:eastAsia="仿宋" w:cs="仿宋"/>
          <w:b w:val="0"/>
          <w:bCs w:val="0"/>
          <w:color w:val="auto"/>
          <w:spacing w:val="-4"/>
          <w:kern w:val="2"/>
          <w:sz w:val="32"/>
          <w:szCs w:val="32"/>
          <w:highlight w:val="none"/>
          <w:lang w:val="en-US" w:eastAsia="zh-CN" w:bidi="ar-SA"/>
        </w:rPr>
      </w:pPr>
      <w:r>
        <w:rPr>
          <w:rStyle w:val="8"/>
          <w:rFonts w:hint="eastAsia" w:ascii="仿宋" w:hAnsi="仿宋" w:eastAsia="仿宋" w:cs="仿宋"/>
          <w:b w:val="0"/>
          <w:bCs w:val="0"/>
          <w:color w:val="auto"/>
          <w:spacing w:val="-4"/>
          <w:kern w:val="2"/>
          <w:sz w:val="32"/>
          <w:szCs w:val="32"/>
          <w:highlight w:val="none"/>
          <w:lang w:val="en-US" w:eastAsia="zh-CN" w:bidi="ar-SA"/>
        </w:rPr>
        <w:t>（1）预算绩效观念不深入。</w:t>
      </w:r>
    </w:p>
    <w:p>
      <w:pPr>
        <w:keepNext w:val="0"/>
        <w:keepLines w:val="0"/>
        <w:pageBreakBefore w:val="0"/>
        <w:widowControl/>
        <w:kinsoku/>
        <w:wordWrap/>
        <w:overflowPunct/>
        <w:topLinePunct w:val="0"/>
        <w:autoSpaceDE/>
        <w:autoSpaceDN/>
        <w:bidi w:val="0"/>
        <w:adjustRightInd/>
        <w:snapToGrid/>
        <w:spacing w:line="560" w:lineRule="exact"/>
        <w:ind w:left="0" w:leftChars="0" w:firstLine="624" w:firstLineChars="200"/>
        <w:jc w:val="both"/>
        <w:textAlignment w:val="auto"/>
        <w:outlineLvl w:val="9"/>
        <w:rPr>
          <w:rStyle w:val="8"/>
          <w:rFonts w:hint="eastAsia" w:ascii="仿宋" w:hAnsi="仿宋" w:eastAsia="仿宋" w:cs="仿宋"/>
          <w:b w:val="0"/>
          <w:bCs w:val="0"/>
          <w:color w:val="auto"/>
          <w:spacing w:val="-4"/>
          <w:kern w:val="2"/>
          <w:sz w:val="32"/>
          <w:szCs w:val="32"/>
          <w:highlight w:val="none"/>
          <w:lang w:val="en-US" w:eastAsia="zh-CN" w:bidi="ar-SA"/>
        </w:rPr>
      </w:pPr>
      <w:r>
        <w:rPr>
          <w:rStyle w:val="8"/>
          <w:rFonts w:hint="eastAsia" w:ascii="仿宋" w:hAnsi="仿宋" w:eastAsia="仿宋" w:cs="仿宋"/>
          <w:b w:val="0"/>
          <w:bCs w:val="0"/>
          <w:color w:val="auto"/>
          <w:spacing w:val="-4"/>
          <w:kern w:val="2"/>
          <w:sz w:val="32"/>
          <w:szCs w:val="32"/>
          <w:highlight w:val="none"/>
          <w:lang w:val="en-US" w:eastAsia="zh-CN" w:bidi="ar-SA"/>
        </w:rPr>
        <w:t>在日常绩效监控工作中存在着一定程度的“重分配、轻管理、重支出、轻绩效”的情况，造成该问题的主要原因是自身绩效理念较薄弱，单位绩效目标编制仍有缺失，需要进一步加强对资金绩效管理的重视程度</w:t>
      </w:r>
      <w:bookmarkStart w:id="0" w:name="_GoBack"/>
      <w:bookmarkEnd w:id="0"/>
      <w:r>
        <w:rPr>
          <w:rStyle w:val="8"/>
          <w:rFonts w:hint="eastAsia" w:ascii="仿宋" w:hAnsi="仿宋" w:eastAsia="仿宋" w:cs="仿宋"/>
          <w:b w:val="0"/>
          <w:bCs w:val="0"/>
          <w:color w:val="auto"/>
          <w:spacing w:val="-4"/>
          <w:kern w:val="2"/>
          <w:sz w:val="32"/>
          <w:szCs w:val="32"/>
          <w:highlight w:val="none"/>
          <w:lang w:val="en-US" w:eastAsia="zh-CN" w:bidi="ar-SA"/>
        </w:rPr>
        <w:t>。</w:t>
      </w:r>
    </w:p>
    <w:p>
      <w:pPr>
        <w:keepNext w:val="0"/>
        <w:keepLines w:val="0"/>
        <w:pageBreakBefore w:val="0"/>
        <w:widowControl/>
        <w:kinsoku/>
        <w:wordWrap/>
        <w:overflowPunct/>
        <w:topLinePunct w:val="0"/>
        <w:autoSpaceDE/>
        <w:autoSpaceDN/>
        <w:bidi w:val="0"/>
        <w:adjustRightInd/>
        <w:snapToGrid/>
        <w:spacing w:line="560" w:lineRule="exact"/>
        <w:ind w:left="0" w:leftChars="0" w:firstLine="624" w:firstLineChars="200"/>
        <w:jc w:val="both"/>
        <w:textAlignment w:val="auto"/>
        <w:outlineLvl w:val="9"/>
        <w:rPr>
          <w:rStyle w:val="8"/>
          <w:rFonts w:hint="eastAsia" w:ascii="仿宋" w:hAnsi="仿宋" w:eastAsia="仿宋" w:cs="仿宋"/>
          <w:b w:val="0"/>
          <w:bCs w:val="0"/>
          <w:color w:val="auto"/>
          <w:spacing w:val="-4"/>
          <w:kern w:val="2"/>
          <w:sz w:val="32"/>
          <w:szCs w:val="32"/>
          <w:highlight w:val="none"/>
          <w:lang w:val="en-US" w:eastAsia="zh-CN" w:bidi="ar-SA"/>
        </w:rPr>
      </w:pPr>
      <w:r>
        <w:rPr>
          <w:rStyle w:val="8"/>
          <w:rFonts w:hint="eastAsia" w:ascii="仿宋" w:hAnsi="仿宋" w:eastAsia="仿宋" w:cs="仿宋"/>
          <w:b w:val="0"/>
          <w:bCs w:val="0"/>
          <w:color w:val="auto"/>
          <w:spacing w:val="-4"/>
          <w:kern w:val="2"/>
          <w:sz w:val="32"/>
          <w:szCs w:val="32"/>
          <w:highlight w:val="none"/>
          <w:lang w:val="en-US" w:eastAsia="zh-CN" w:bidi="ar-SA"/>
        </w:rPr>
        <w:t>（2）预算绩效规范管理有盲点。</w:t>
      </w:r>
    </w:p>
    <w:p>
      <w:pPr>
        <w:keepNext w:val="0"/>
        <w:keepLines w:val="0"/>
        <w:pageBreakBefore w:val="0"/>
        <w:widowControl/>
        <w:kinsoku/>
        <w:wordWrap/>
        <w:overflowPunct/>
        <w:topLinePunct w:val="0"/>
        <w:autoSpaceDE/>
        <w:autoSpaceDN/>
        <w:bidi w:val="0"/>
        <w:adjustRightInd/>
        <w:snapToGrid/>
        <w:spacing w:line="560" w:lineRule="exact"/>
        <w:ind w:left="0" w:leftChars="0" w:firstLine="624" w:firstLineChars="200"/>
        <w:jc w:val="both"/>
        <w:textAlignment w:val="auto"/>
        <w:outlineLvl w:val="9"/>
        <w:rPr>
          <w:rStyle w:val="8"/>
          <w:rFonts w:hint="eastAsia" w:ascii="仿宋" w:hAnsi="仿宋" w:eastAsia="仿宋" w:cs="仿宋"/>
          <w:b w:val="0"/>
          <w:bCs w:val="0"/>
          <w:color w:val="auto"/>
          <w:spacing w:val="-4"/>
          <w:sz w:val="32"/>
          <w:szCs w:val="32"/>
          <w:highlight w:val="none"/>
          <w:lang w:val="en-US" w:eastAsia="zh-CN"/>
        </w:rPr>
      </w:pPr>
      <w:r>
        <w:rPr>
          <w:rStyle w:val="8"/>
          <w:rFonts w:hint="eastAsia" w:ascii="仿宋" w:hAnsi="仿宋" w:eastAsia="仿宋" w:cs="仿宋"/>
          <w:b w:val="0"/>
          <w:bCs w:val="0"/>
          <w:color w:val="auto"/>
          <w:spacing w:val="-4"/>
          <w:kern w:val="2"/>
          <w:sz w:val="32"/>
          <w:szCs w:val="32"/>
          <w:highlight w:val="none"/>
          <w:lang w:val="en-US" w:eastAsia="zh-CN" w:bidi="ar-SA"/>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1"/>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8"/>
          <w:rFonts w:hint="eastAsia" w:ascii="黑体" w:hAnsi="黑体" w:eastAsia="黑体" w:cs="黑体"/>
          <w:b w:val="0"/>
          <w:bCs w:val="0"/>
          <w:color w:val="auto"/>
          <w:spacing w:val="-4"/>
          <w:sz w:val="32"/>
          <w:szCs w:val="32"/>
          <w:highlight w:val="none"/>
        </w:rPr>
      </w:pPr>
      <w:r>
        <w:rPr>
          <w:rStyle w:val="8"/>
          <w:rFonts w:hint="eastAsia" w:ascii="黑体" w:hAnsi="黑体" w:eastAsia="黑体" w:cs="黑体"/>
          <w:b w:val="0"/>
          <w:bCs w:val="0"/>
          <w:color w:val="auto"/>
          <w:spacing w:val="-4"/>
          <w:sz w:val="32"/>
          <w:szCs w:val="32"/>
          <w:highlight w:val="none"/>
          <w:lang w:val="en-US" w:eastAsia="zh-CN"/>
        </w:rPr>
        <w:t>七、</w:t>
      </w:r>
      <w:r>
        <w:rPr>
          <w:rStyle w:val="8"/>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822CEC-B328-4F0D-9D3E-26BEE4BFAA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42C65B5C-B1AD-4518-BEBF-18312AD83594}"/>
  </w:font>
  <w:font w:name="仿宋_GB2312">
    <w:panose1 w:val="02010609030101010101"/>
    <w:charset w:val="86"/>
    <w:family w:val="modern"/>
    <w:pitch w:val="default"/>
    <w:sig w:usb0="00000001" w:usb1="080E0000" w:usb2="00000000" w:usb3="00000000" w:csb0="00040000" w:csb1="00000000"/>
    <w:embedRegular r:id="rId3" w:fontKey="{A0AEC61E-6B98-4923-96F7-5D03063A7529}"/>
  </w:font>
  <w:font w:name="楷体">
    <w:panose1 w:val="02010609060101010101"/>
    <w:charset w:val="86"/>
    <w:family w:val="modern"/>
    <w:pitch w:val="default"/>
    <w:sig w:usb0="800002BF" w:usb1="38CF7CFA" w:usb2="00000016" w:usb3="00000000" w:csb0="00040001" w:csb1="00000000"/>
    <w:embedRegular r:id="rId4" w:fontKey="{CCB2D092-439E-4894-901F-32C508FFCB91}"/>
  </w:font>
  <w:font w:name="方正仿宋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0NzRiNWQ1OGViZmI1YmJlMDA3MzAwMDA2Njg4ODM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536E2"/>
    <w:rsid w:val="00AA5126"/>
    <w:rsid w:val="00AD16CD"/>
    <w:rsid w:val="00CD2F35"/>
    <w:rsid w:val="00DB1085"/>
    <w:rsid w:val="00EA14FA"/>
    <w:rsid w:val="00F84215"/>
    <w:rsid w:val="010E0C0C"/>
    <w:rsid w:val="016D0077"/>
    <w:rsid w:val="02355837"/>
    <w:rsid w:val="023B0973"/>
    <w:rsid w:val="02610413"/>
    <w:rsid w:val="02F163A2"/>
    <w:rsid w:val="02FE786C"/>
    <w:rsid w:val="03341650"/>
    <w:rsid w:val="036F2FCB"/>
    <w:rsid w:val="039530CE"/>
    <w:rsid w:val="03B2599D"/>
    <w:rsid w:val="043C5F8E"/>
    <w:rsid w:val="049941F3"/>
    <w:rsid w:val="04A60F90"/>
    <w:rsid w:val="04D2103C"/>
    <w:rsid w:val="04D550AF"/>
    <w:rsid w:val="05B36475"/>
    <w:rsid w:val="05D427A3"/>
    <w:rsid w:val="06B83B39"/>
    <w:rsid w:val="06DE29E2"/>
    <w:rsid w:val="071579E5"/>
    <w:rsid w:val="07192E8D"/>
    <w:rsid w:val="07702E6D"/>
    <w:rsid w:val="07A86AAB"/>
    <w:rsid w:val="07AE478E"/>
    <w:rsid w:val="07C65825"/>
    <w:rsid w:val="09067414"/>
    <w:rsid w:val="09170A81"/>
    <w:rsid w:val="0AC27E84"/>
    <w:rsid w:val="0B0F5B25"/>
    <w:rsid w:val="0B634A48"/>
    <w:rsid w:val="0BD256C9"/>
    <w:rsid w:val="0D3F0613"/>
    <w:rsid w:val="0D617282"/>
    <w:rsid w:val="0F661726"/>
    <w:rsid w:val="0F772EC6"/>
    <w:rsid w:val="0F877334"/>
    <w:rsid w:val="10182B28"/>
    <w:rsid w:val="109160DD"/>
    <w:rsid w:val="10947BCD"/>
    <w:rsid w:val="114B3E5E"/>
    <w:rsid w:val="115E3FEE"/>
    <w:rsid w:val="116B384E"/>
    <w:rsid w:val="11DD16C8"/>
    <w:rsid w:val="11FA6F9B"/>
    <w:rsid w:val="127A77C1"/>
    <w:rsid w:val="130A20A3"/>
    <w:rsid w:val="13352CE1"/>
    <w:rsid w:val="13E07D60"/>
    <w:rsid w:val="14EA7D6F"/>
    <w:rsid w:val="150177FB"/>
    <w:rsid w:val="15875F52"/>
    <w:rsid w:val="15B73666"/>
    <w:rsid w:val="15C42D02"/>
    <w:rsid w:val="16350D43"/>
    <w:rsid w:val="168A2EA6"/>
    <w:rsid w:val="17D5194F"/>
    <w:rsid w:val="180A4FDB"/>
    <w:rsid w:val="1840056E"/>
    <w:rsid w:val="192177D8"/>
    <w:rsid w:val="196A001E"/>
    <w:rsid w:val="198331C0"/>
    <w:rsid w:val="19AD1CFF"/>
    <w:rsid w:val="19C13436"/>
    <w:rsid w:val="19C92FDD"/>
    <w:rsid w:val="19DB061A"/>
    <w:rsid w:val="19E576EB"/>
    <w:rsid w:val="19FF664E"/>
    <w:rsid w:val="1A091F78"/>
    <w:rsid w:val="1A6D6D72"/>
    <w:rsid w:val="1AEB4D61"/>
    <w:rsid w:val="1C230AC0"/>
    <w:rsid w:val="1C615CEF"/>
    <w:rsid w:val="1CA83AB4"/>
    <w:rsid w:val="1CDA72AF"/>
    <w:rsid w:val="1D632B53"/>
    <w:rsid w:val="1D7602A9"/>
    <w:rsid w:val="1DC83D3D"/>
    <w:rsid w:val="1E613949"/>
    <w:rsid w:val="1EAE0073"/>
    <w:rsid w:val="1F195A2C"/>
    <w:rsid w:val="205102FB"/>
    <w:rsid w:val="20762FC4"/>
    <w:rsid w:val="209840E2"/>
    <w:rsid w:val="212C60E2"/>
    <w:rsid w:val="213B5EA4"/>
    <w:rsid w:val="21DB6E7F"/>
    <w:rsid w:val="21DE15EF"/>
    <w:rsid w:val="21FA2084"/>
    <w:rsid w:val="23021A8B"/>
    <w:rsid w:val="2320540D"/>
    <w:rsid w:val="23254B60"/>
    <w:rsid w:val="236E0539"/>
    <w:rsid w:val="23E6478B"/>
    <w:rsid w:val="2422471A"/>
    <w:rsid w:val="24892BFF"/>
    <w:rsid w:val="24A85EE5"/>
    <w:rsid w:val="24DB72C2"/>
    <w:rsid w:val="256A3910"/>
    <w:rsid w:val="263962DE"/>
    <w:rsid w:val="26602E2E"/>
    <w:rsid w:val="276460F3"/>
    <w:rsid w:val="27660FAF"/>
    <w:rsid w:val="277166D1"/>
    <w:rsid w:val="277B4318"/>
    <w:rsid w:val="279E7006"/>
    <w:rsid w:val="27B7194D"/>
    <w:rsid w:val="27E37B45"/>
    <w:rsid w:val="280600C8"/>
    <w:rsid w:val="28081174"/>
    <w:rsid w:val="28481571"/>
    <w:rsid w:val="28722F64"/>
    <w:rsid w:val="289B5D70"/>
    <w:rsid w:val="290A1EBC"/>
    <w:rsid w:val="293516AD"/>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629D5"/>
    <w:rsid w:val="2C3F44FD"/>
    <w:rsid w:val="2C8903AA"/>
    <w:rsid w:val="2CD01740"/>
    <w:rsid w:val="2CE43832"/>
    <w:rsid w:val="2D4B33FA"/>
    <w:rsid w:val="2DAA6B58"/>
    <w:rsid w:val="2DB034FA"/>
    <w:rsid w:val="2E4A4A48"/>
    <w:rsid w:val="2F8715FA"/>
    <w:rsid w:val="2FB43990"/>
    <w:rsid w:val="2FC040E2"/>
    <w:rsid w:val="2FF84414"/>
    <w:rsid w:val="30143D58"/>
    <w:rsid w:val="30240D0F"/>
    <w:rsid w:val="308158E7"/>
    <w:rsid w:val="309817B5"/>
    <w:rsid w:val="30A86679"/>
    <w:rsid w:val="31505F30"/>
    <w:rsid w:val="3177520D"/>
    <w:rsid w:val="31C7249B"/>
    <w:rsid w:val="31FB7654"/>
    <w:rsid w:val="32565D7D"/>
    <w:rsid w:val="332F267C"/>
    <w:rsid w:val="336E47B8"/>
    <w:rsid w:val="337D2302"/>
    <w:rsid w:val="33935522"/>
    <w:rsid w:val="33DE0EF4"/>
    <w:rsid w:val="3416678C"/>
    <w:rsid w:val="34486A39"/>
    <w:rsid w:val="34C13400"/>
    <w:rsid w:val="34F32864"/>
    <w:rsid w:val="35386E11"/>
    <w:rsid w:val="35612ABD"/>
    <w:rsid w:val="375B2943"/>
    <w:rsid w:val="38086A4E"/>
    <w:rsid w:val="38C32119"/>
    <w:rsid w:val="38EE054F"/>
    <w:rsid w:val="39440A0C"/>
    <w:rsid w:val="398443D3"/>
    <w:rsid w:val="398C3287"/>
    <w:rsid w:val="39A60AF6"/>
    <w:rsid w:val="39DA2BFE"/>
    <w:rsid w:val="3AA12D62"/>
    <w:rsid w:val="3B015AEB"/>
    <w:rsid w:val="3B105B1E"/>
    <w:rsid w:val="3B2319C9"/>
    <w:rsid w:val="3B276BF6"/>
    <w:rsid w:val="3B5D5890"/>
    <w:rsid w:val="3BA6683D"/>
    <w:rsid w:val="3BC431AC"/>
    <w:rsid w:val="3C012639"/>
    <w:rsid w:val="3DA52B6A"/>
    <w:rsid w:val="3E833FCF"/>
    <w:rsid w:val="3EE3321B"/>
    <w:rsid w:val="3EE93EED"/>
    <w:rsid w:val="3F177A97"/>
    <w:rsid w:val="3FF57BF1"/>
    <w:rsid w:val="41040D80"/>
    <w:rsid w:val="41590DEA"/>
    <w:rsid w:val="416C231C"/>
    <w:rsid w:val="41C31810"/>
    <w:rsid w:val="41D659E7"/>
    <w:rsid w:val="428A15BF"/>
    <w:rsid w:val="42BB7663"/>
    <w:rsid w:val="432A3936"/>
    <w:rsid w:val="434765EB"/>
    <w:rsid w:val="43A3164E"/>
    <w:rsid w:val="43C43532"/>
    <w:rsid w:val="43F77637"/>
    <w:rsid w:val="44332E1A"/>
    <w:rsid w:val="44692B43"/>
    <w:rsid w:val="44BF2CE3"/>
    <w:rsid w:val="44BF6C07"/>
    <w:rsid w:val="462C7B1B"/>
    <w:rsid w:val="463C2D5D"/>
    <w:rsid w:val="46816594"/>
    <w:rsid w:val="46BF2EEE"/>
    <w:rsid w:val="47013FF5"/>
    <w:rsid w:val="47E055ED"/>
    <w:rsid w:val="47F82855"/>
    <w:rsid w:val="484A2C8B"/>
    <w:rsid w:val="484E62D2"/>
    <w:rsid w:val="48500FEB"/>
    <w:rsid w:val="49284D7B"/>
    <w:rsid w:val="49487285"/>
    <w:rsid w:val="49543DC1"/>
    <w:rsid w:val="4A0F39E7"/>
    <w:rsid w:val="4AC0732D"/>
    <w:rsid w:val="4B005893"/>
    <w:rsid w:val="4B364032"/>
    <w:rsid w:val="4B3B68BB"/>
    <w:rsid w:val="4B443785"/>
    <w:rsid w:val="4B537C75"/>
    <w:rsid w:val="4BE53646"/>
    <w:rsid w:val="4C431ECB"/>
    <w:rsid w:val="4CBA7E19"/>
    <w:rsid w:val="4CC33C9F"/>
    <w:rsid w:val="4E760D0B"/>
    <w:rsid w:val="4E8F65E3"/>
    <w:rsid w:val="4E9A283B"/>
    <w:rsid w:val="4EC80245"/>
    <w:rsid w:val="4ED65AC3"/>
    <w:rsid w:val="4F596A69"/>
    <w:rsid w:val="50063DD3"/>
    <w:rsid w:val="504133D8"/>
    <w:rsid w:val="505863A4"/>
    <w:rsid w:val="50591CBD"/>
    <w:rsid w:val="50A240F7"/>
    <w:rsid w:val="51971C1E"/>
    <w:rsid w:val="51FF2E33"/>
    <w:rsid w:val="525877BC"/>
    <w:rsid w:val="5272504D"/>
    <w:rsid w:val="52CA50F4"/>
    <w:rsid w:val="543D24BF"/>
    <w:rsid w:val="548754B8"/>
    <w:rsid w:val="54CA318A"/>
    <w:rsid w:val="55223A8B"/>
    <w:rsid w:val="55517AB0"/>
    <w:rsid w:val="55F92A17"/>
    <w:rsid w:val="57192BB8"/>
    <w:rsid w:val="5734671F"/>
    <w:rsid w:val="57423EBA"/>
    <w:rsid w:val="57813298"/>
    <w:rsid w:val="57AE7CE9"/>
    <w:rsid w:val="57BB500C"/>
    <w:rsid w:val="58753EBA"/>
    <w:rsid w:val="589304A1"/>
    <w:rsid w:val="58E426FC"/>
    <w:rsid w:val="58FC3B2E"/>
    <w:rsid w:val="59063548"/>
    <w:rsid w:val="594460CC"/>
    <w:rsid w:val="5A6776CD"/>
    <w:rsid w:val="5ADD1E8F"/>
    <w:rsid w:val="5AE6303A"/>
    <w:rsid w:val="5B155A7C"/>
    <w:rsid w:val="5B442B97"/>
    <w:rsid w:val="5B745BFD"/>
    <w:rsid w:val="5B977B3E"/>
    <w:rsid w:val="5C5B0B6B"/>
    <w:rsid w:val="5CB643E4"/>
    <w:rsid w:val="5CC6056E"/>
    <w:rsid w:val="5D8D11F8"/>
    <w:rsid w:val="5E2D5305"/>
    <w:rsid w:val="5F1D65AC"/>
    <w:rsid w:val="5F230066"/>
    <w:rsid w:val="5F41229A"/>
    <w:rsid w:val="5F814D8D"/>
    <w:rsid w:val="5FA47678"/>
    <w:rsid w:val="5FB119E4"/>
    <w:rsid w:val="5FE455B0"/>
    <w:rsid w:val="60504E56"/>
    <w:rsid w:val="60535261"/>
    <w:rsid w:val="609135B1"/>
    <w:rsid w:val="627A5057"/>
    <w:rsid w:val="62A033DD"/>
    <w:rsid w:val="62B113CD"/>
    <w:rsid w:val="62D376AD"/>
    <w:rsid w:val="63002758"/>
    <w:rsid w:val="63886101"/>
    <w:rsid w:val="63AF05BF"/>
    <w:rsid w:val="63E072F9"/>
    <w:rsid w:val="63E738F2"/>
    <w:rsid w:val="64791CE8"/>
    <w:rsid w:val="648B2856"/>
    <w:rsid w:val="64AD2180"/>
    <w:rsid w:val="64F46001"/>
    <w:rsid w:val="658E5B0E"/>
    <w:rsid w:val="65D86017"/>
    <w:rsid w:val="65E6594A"/>
    <w:rsid w:val="660E1EAC"/>
    <w:rsid w:val="661600DA"/>
    <w:rsid w:val="66DF5346"/>
    <w:rsid w:val="66E14AAB"/>
    <w:rsid w:val="6736630B"/>
    <w:rsid w:val="679A126C"/>
    <w:rsid w:val="67EE0E11"/>
    <w:rsid w:val="68721AD7"/>
    <w:rsid w:val="687A7D7B"/>
    <w:rsid w:val="68DF3109"/>
    <w:rsid w:val="693F2885"/>
    <w:rsid w:val="699F5DE9"/>
    <w:rsid w:val="6A9776F8"/>
    <w:rsid w:val="6AAF0A00"/>
    <w:rsid w:val="6AEF34F2"/>
    <w:rsid w:val="6B234F4A"/>
    <w:rsid w:val="6C5F0204"/>
    <w:rsid w:val="6C69186D"/>
    <w:rsid w:val="6C7D443F"/>
    <w:rsid w:val="6C8851EE"/>
    <w:rsid w:val="6CCF1622"/>
    <w:rsid w:val="6CE7035E"/>
    <w:rsid w:val="6DB1246A"/>
    <w:rsid w:val="6EAE5472"/>
    <w:rsid w:val="702F5608"/>
    <w:rsid w:val="708F2CC4"/>
    <w:rsid w:val="709444F0"/>
    <w:rsid w:val="71182116"/>
    <w:rsid w:val="71205936"/>
    <w:rsid w:val="71477CCB"/>
    <w:rsid w:val="7178018F"/>
    <w:rsid w:val="71BA40BB"/>
    <w:rsid w:val="71CD052F"/>
    <w:rsid w:val="73740A39"/>
    <w:rsid w:val="73D43285"/>
    <w:rsid w:val="742B746E"/>
    <w:rsid w:val="74736F42"/>
    <w:rsid w:val="74CA7F29"/>
    <w:rsid w:val="74DA73B5"/>
    <w:rsid w:val="752B1D3E"/>
    <w:rsid w:val="75913D16"/>
    <w:rsid w:val="763C0048"/>
    <w:rsid w:val="77135965"/>
    <w:rsid w:val="77262B54"/>
    <w:rsid w:val="772D4414"/>
    <w:rsid w:val="773A5C43"/>
    <w:rsid w:val="775947BB"/>
    <w:rsid w:val="77AD276B"/>
    <w:rsid w:val="77B87094"/>
    <w:rsid w:val="77C96E08"/>
    <w:rsid w:val="783C7EEB"/>
    <w:rsid w:val="788873D3"/>
    <w:rsid w:val="78E27C50"/>
    <w:rsid w:val="79500F4C"/>
    <w:rsid w:val="7986195D"/>
    <w:rsid w:val="79E005EE"/>
    <w:rsid w:val="7A044DC4"/>
    <w:rsid w:val="7A865511"/>
    <w:rsid w:val="7AA20E97"/>
    <w:rsid w:val="7AAA4D40"/>
    <w:rsid w:val="7ABC4A73"/>
    <w:rsid w:val="7AC10876"/>
    <w:rsid w:val="7B2F16E9"/>
    <w:rsid w:val="7B334ED0"/>
    <w:rsid w:val="7BE032FD"/>
    <w:rsid w:val="7BF93621"/>
    <w:rsid w:val="7C4B6886"/>
    <w:rsid w:val="7C71236F"/>
    <w:rsid w:val="7C7B25BC"/>
    <w:rsid w:val="7C8D2B6B"/>
    <w:rsid w:val="7D360B0D"/>
    <w:rsid w:val="7D55069E"/>
    <w:rsid w:val="7D670C49"/>
    <w:rsid w:val="7D711B45"/>
    <w:rsid w:val="7E5F5E41"/>
    <w:rsid w:val="7E78432D"/>
    <w:rsid w:val="7E8E02D3"/>
    <w:rsid w:val="7EA902C5"/>
    <w:rsid w:val="7EAA3560"/>
    <w:rsid w:val="7EC65ABB"/>
    <w:rsid w:val="7ECF553C"/>
    <w:rsid w:val="7EF10E29"/>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8">
    <w:name w:val="Strong"/>
    <w:basedOn w:val="7"/>
    <w:qFormat/>
    <w:uiPriority w:val="0"/>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styleId="11">
    <w:name w:val="List Paragraph"/>
    <w:basedOn w:val="1"/>
    <w:unhideWhenUsed/>
    <w:qFormat/>
    <w:uiPriority w:val="99"/>
    <w:pPr>
      <w:ind w:firstLine="420" w:firstLineChars="200"/>
    </w:pPr>
  </w:style>
  <w:style w:type="paragraph" w:customStyle="1" w:styleId="12">
    <w:name w:val="样式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1</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2024-05-09T10:54:15Z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7B718A08F4AD449EB4F3ABBB2F254500_13</vt:lpwstr>
  </property>
</Properties>
</file>