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库尔勒市水利局</w:t>
      </w:r>
      <w:r>
        <w:rPr>
          <w:rFonts w:hint="eastAsia" w:ascii="方正小标宋_GBK" w:hAnsi="宋体" w:eastAsia="方正小标宋_GBK"/>
          <w:color w:val="auto"/>
          <w:sz w:val="44"/>
          <w:szCs w:val="44"/>
          <w:highlight w:val="none"/>
          <w:lang w:eastAsia="zh-CN"/>
        </w:rPr>
        <w:t xml:space="preserve"> 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（一）负责保障水资源的合理开发利用。拟订库尔勒市水利发展规划和政策，起草相关地方性法规和政府规章草案，组织编制水资源发展规划，重要河流湖泊流域综合规划，防洪规划等重大水利规划。</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负责生活、生产经营和生态环境用水的统筹和保障。组织实施最严格水资源管理制度，实施水资源的统一监督管理，拟订库尔勒市水资源中长期供求规划、水量分配方案并监督实施，负责重要流城、区域以及重大调水工程的水资源调度。组织实施取水许可、水资源论证和防洪论证制度；指导开展水资源有偿使用工作。指导水利行业供水和各乡镇场供水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按规定拟定水利工程建设有关制度并组织实施，负责提出水利固定资产投资规模、方向、具体安排建议并组织实施，按规定权限审批、核准库尔勒市规划内和年度计划规模内固定资产投资项目，提出水利资金安排建议并负责项目实施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（四）指导水资源保护工作。组织编制水资源保护规划。指导地下水开发利用和地下水资源管理保护。组织指导地下水超采区综合治理。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（五）负责农村节约用水工作。拟订农村节约用水政策，组织编制节约用水规划并监督实施。组织实施用水总量控制等管理制度，指导和推动农村节水型社会建设工作。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（六）指导水利设施、水域及其岸线的管理、保护与综合利用。组织指导水利设施网络建设。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（七）指导监督水利工程建设与运行管理。组织实施重要水利工程的建设与运行管理。指导监督水利工程安全运行。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（八）负责水土保持工作。拟订水土保持规划并监督实施，组织水土流失的综合防治、监测预报并定期公告。负责建设项目水土保持监督管理工作，指导重点水土保持建设项目的实施。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（九）指导农村水利工作。组织开展大中型灌排工程建设与改造。指导农村饮水安全工程建设管理工作，指导节水灌溉有关工作。指导农村水利改革创新和社会化服务体系建设。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（十）负责重大涉水违法事件的查处，协调和仲裁水事纠纷，指导组织水政监察和水行政执法。依法负责水利行业安全生产工作。指导水利建设市场的监督管理，组织实施水利工程建设的监督。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（十一）开展水利科技工作。组织开展水利行业质量监督工作，拟订水利地方行业的技术标准、规程规范并监督实施。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二）负责落实综合防灾减灾规划相关要求，组织编制洪水干旱灾害防治规划和防护标准并指导实施。承担水情旱情监测预警工作。组织编制重要河流湖泊和重要水工程的防御洪水抗御旱灾调度及应急水量调度方案，按程序报批并组织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（十三）完成库尔勒市党委、市人民政府交办的其他任务。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四）职能转变。库尔勒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（十五）与有关部门的职能分工。库尔勒市水利局负责农村节约用水工作，库尔勒市住建局负责城市节约用水工作。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库尔勒市水利局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库尔勒市水利局</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val="en-US" w:eastAsia="zh-CN"/>
        </w:rPr>
        <w:t>党政群机关、水政监察大队（参公管理）、地下水资源管理办公室、河湖长管理办公室（参公管理）、水土保持办公室、水利工程建设管理站、水利推广中心。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7,173.61万元，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7,173.61万元，使用非财政拨款结余0.00万元，年初结转和结余0.00万元。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7,173.61万元，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7,173.61万元，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减少17,363.88万元</w:t>
      </w:r>
      <w:r>
        <w:rPr>
          <w:rFonts w:hint="eastAsia" w:ascii="仿宋_GB2312" w:eastAsia="仿宋_GB2312"/>
          <w:color w:val="auto"/>
          <w:spacing w:val="0"/>
          <w:sz w:val="32"/>
          <w:szCs w:val="32"/>
          <w:highlight w:val="none"/>
          <w:lang w:eastAsia="zh-CN"/>
        </w:rPr>
        <w:t>，下降70.76%，主要原因是：</w:t>
      </w:r>
      <w:r>
        <w:rPr>
          <w:rFonts w:hint="eastAsia" w:ascii="仿宋_GB2312" w:hAnsi="Times New Roman" w:eastAsia="仿宋_GB2312" w:cs="Times New Roman"/>
          <w:sz w:val="32"/>
          <w:szCs w:val="32"/>
          <w:lang w:val="en-US" w:eastAsia="zh-CN"/>
        </w:rPr>
        <w:t>库尔楚水库建设项目，博斯腾工程及博斯腾罐区</w:t>
      </w:r>
      <w:r>
        <w:rPr>
          <w:rFonts w:hint="eastAsia" w:ascii="仿宋_GB2312" w:eastAsia="仿宋_GB2312" w:cs="Times New Roman"/>
          <w:sz w:val="32"/>
          <w:szCs w:val="32"/>
          <w:lang w:val="en-US" w:eastAsia="zh-CN"/>
        </w:rPr>
        <w:t>“</w:t>
      </w:r>
      <w:r>
        <w:rPr>
          <w:rFonts w:hint="eastAsia" w:ascii="仿宋_GB2312" w:hAnsi="仿宋_GB2312" w:eastAsia="仿宋_GB2312" w:cs="仿宋_GB2312"/>
          <w:kern w:val="0"/>
          <w:sz w:val="32"/>
          <w:szCs w:val="32"/>
          <w:lang w:val="en-US" w:eastAsia="zh-CN"/>
        </w:rPr>
        <w:t>十四五</w:t>
      </w:r>
      <w:r>
        <w:rPr>
          <w:rFonts w:hint="eastAsia" w:ascii="仿宋_GB2312" w:eastAsia="仿宋_GB2312" w:cs="Times New Roman"/>
          <w:sz w:val="32"/>
          <w:szCs w:val="32"/>
          <w:lang w:val="en-US" w:eastAsia="zh-CN"/>
        </w:rPr>
        <w:t>”</w:t>
      </w:r>
      <w:r>
        <w:rPr>
          <w:rFonts w:hint="eastAsia" w:ascii="仿宋_GB2312" w:hAnsi="仿宋_GB2312" w:eastAsia="仿宋_GB2312" w:cs="仿宋_GB2312"/>
          <w:kern w:val="0"/>
          <w:sz w:val="32"/>
          <w:szCs w:val="32"/>
          <w:lang w:val="en-US" w:eastAsia="zh-CN"/>
        </w:rPr>
        <w:t>续建配套与现代化改造工程项目资金较往年减少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7,173.61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7,173.61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本年支出7,173.61万元，其中：基本支出1,301.99万元，占18.15%；项目支出5,871.61万元，占81.85%；上缴上级支出0.00万元，占0.00%；经营支出0.00万元，占0.00%；对附属单位补助支出0.00万元，占0.00%。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7,173.61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7,173.61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7,173.61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7,173.61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减少17,363.88万元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下降70.76%,</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sz w:val="32"/>
          <w:szCs w:val="32"/>
          <w:lang w:val="en-US" w:eastAsia="zh-CN"/>
        </w:rPr>
        <w:t>库尔楚水库建设项目，博斯腾工程及博斯腾罐区</w:t>
      </w:r>
      <w:r>
        <w:rPr>
          <w:rFonts w:hint="eastAsia" w:ascii="仿宋_GB2312" w:hAnsi="仿宋_GB2312" w:eastAsia="仿宋_GB2312" w:cs="仿宋_GB2312"/>
          <w:kern w:val="0"/>
          <w:sz w:val="32"/>
          <w:szCs w:val="32"/>
          <w:lang w:val="en-US" w:eastAsia="zh-CN"/>
        </w:rPr>
        <w:t>十四五”续建配套与现代化改造工程项目资金较往年减少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5,579.37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7,173.61</w:t>
      </w:r>
      <w:r>
        <w:rPr>
          <w:rFonts w:hint="eastAsia" w:ascii="仿宋_GB2312" w:eastAsia="仿宋_GB2312"/>
          <w:color w:val="auto"/>
          <w:spacing w:val="0"/>
          <w:sz w:val="32"/>
          <w:szCs w:val="32"/>
          <w:highlight w:val="none"/>
          <w:lang w:eastAsia="zh-CN"/>
        </w:rPr>
        <w:t>万元，预决算差异率28.57%，主要原因是：因库尔勒市水利工程建设工作需要，今年</w:t>
      </w:r>
      <w:r>
        <w:rPr>
          <w:rFonts w:hint="eastAsia" w:ascii="仿宋_GB2312" w:eastAsia="仿宋_GB2312"/>
          <w:color w:val="auto"/>
          <w:spacing w:val="0"/>
          <w:sz w:val="32"/>
          <w:szCs w:val="32"/>
          <w:highlight w:val="none"/>
          <w:lang w:val="en-US" w:eastAsia="zh-CN"/>
        </w:rPr>
        <w:t>库尔楚水库工程项目、博</w:t>
      </w:r>
      <w:r>
        <w:rPr>
          <w:rFonts w:hint="eastAsia" w:ascii="仿宋_GB2312" w:hAnsi="Times New Roman" w:eastAsia="仿宋_GB2312" w:cs="Times New Roman"/>
          <w:sz w:val="32"/>
          <w:szCs w:val="32"/>
          <w:lang w:val="en-US" w:eastAsia="zh-CN"/>
        </w:rPr>
        <w:t>斯腾罐区</w:t>
      </w:r>
      <w:r>
        <w:rPr>
          <w:rFonts w:hint="eastAsia" w:ascii="仿宋_GB2312" w:hAnsi="仿宋_GB2312" w:eastAsia="仿宋_GB2312" w:cs="仿宋_GB2312"/>
          <w:kern w:val="0"/>
          <w:sz w:val="32"/>
          <w:szCs w:val="32"/>
          <w:lang w:val="en-US" w:eastAsia="zh-CN"/>
        </w:rPr>
        <w:t>十四五”续建配套与现代化改造工程项目、</w:t>
      </w:r>
      <w:r>
        <w:rPr>
          <w:rFonts w:hint="eastAsia" w:ascii="仿宋_GB2312" w:eastAsia="仿宋_GB2312"/>
          <w:color w:val="auto"/>
          <w:spacing w:val="0"/>
          <w:sz w:val="32"/>
          <w:szCs w:val="32"/>
          <w:highlight w:val="none"/>
          <w:lang w:val="en-US" w:eastAsia="zh-CN"/>
        </w:rPr>
        <w:t>陈福良工程项目及库尔勒市防汛防洪隐患整治工作建设项目资金增加，因此财政拨款收入支出决算数较年初预算数增加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2023年度一般公共预算财政拨款支出5,180.74万元，占本年支出合计的</w:t>
      </w:r>
      <w:r>
        <w:rPr>
          <w:rFonts w:hint="eastAsia" w:ascii="仿宋_GB2312" w:eastAsia="仿宋_GB2312"/>
          <w:color w:val="auto"/>
          <w:spacing w:val="0"/>
          <w:sz w:val="32"/>
          <w:szCs w:val="32"/>
          <w:highlight w:val="none"/>
          <w:lang w:val="zh-CN" w:eastAsia="zh-CN"/>
        </w:rPr>
        <w:t>72.22%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减少12,605.25万元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下降70.87%,</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sz w:val="32"/>
          <w:szCs w:val="32"/>
          <w:lang w:val="en-US" w:eastAsia="zh-CN"/>
        </w:rPr>
        <w:t>库尔楚水库建设项目</w:t>
      </w:r>
      <w:r>
        <w:rPr>
          <w:rFonts w:hint="eastAsia" w:ascii="仿宋_GB2312" w:hAnsi="仿宋_GB2312" w:eastAsia="仿宋_GB2312" w:cs="仿宋_GB2312"/>
          <w:kern w:val="0"/>
          <w:sz w:val="32"/>
          <w:szCs w:val="32"/>
          <w:lang w:val="en-US" w:eastAsia="zh-CN"/>
        </w:rPr>
        <w:t>资金较往年减少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1,484.34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5,180.74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249.03%</w:t>
      </w:r>
      <w:r>
        <w:rPr>
          <w:rFonts w:hint="eastAsia" w:ascii="仿宋_GB2312" w:eastAsia="仿宋_GB2312"/>
          <w:color w:val="auto"/>
          <w:spacing w:val="0"/>
          <w:sz w:val="32"/>
          <w:szCs w:val="32"/>
          <w:highlight w:val="none"/>
          <w:lang w:eastAsia="zh-CN"/>
        </w:rPr>
        <w:t>，主要原因是：因库尔勒市水利工程建设工作需要，</w:t>
      </w:r>
      <w:r>
        <w:rPr>
          <w:rFonts w:hint="eastAsia" w:ascii="仿宋_GB2312" w:hAnsi="Times New Roman" w:eastAsia="仿宋_GB2312" w:cs="Times New Roman"/>
          <w:sz w:val="32"/>
          <w:szCs w:val="32"/>
          <w:lang w:val="en-US" w:eastAsia="zh-CN"/>
        </w:rPr>
        <w:t>库尔楚水库建设项目</w:t>
      </w:r>
      <w:r>
        <w:rPr>
          <w:rFonts w:hint="eastAsia" w:ascii="仿宋_GB2312" w:eastAsia="仿宋_GB2312" w:cs="Times New Roman"/>
          <w:sz w:val="32"/>
          <w:szCs w:val="32"/>
          <w:lang w:val="en-US" w:eastAsia="zh-CN"/>
        </w:rPr>
        <w:t>及库尔勒市</w:t>
      </w:r>
      <w:r>
        <w:rPr>
          <w:rFonts w:hint="eastAsia" w:ascii="仿宋_GB2312" w:eastAsia="仿宋_GB2312"/>
          <w:color w:val="auto"/>
          <w:spacing w:val="0"/>
          <w:sz w:val="32"/>
          <w:szCs w:val="32"/>
          <w:highlight w:val="none"/>
          <w:lang w:val="en-US" w:eastAsia="zh-CN"/>
        </w:rPr>
        <w:t>防汛防洪隐患整治工作项目建设资金增加，因此</w:t>
      </w:r>
      <w:r>
        <w:rPr>
          <w:rFonts w:hint="eastAsia" w:ascii="仿宋_GB2312" w:eastAsia="仿宋_GB2312"/>
          <w:color w:val="auto"/>
          <w:spacing w:val="0"/>
          <w:sz w:val="32"/>
          <w:szCs w:val="32"/>
          <w:highlight w:val="none"/>
          <w:lang w:eastAsia="zh-CN"/>
        </w:rPr>
        <w:t>一般公共预算财政拨款支出决算数较年初预算数增加。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3,819.91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73.73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1,359.34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26.24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.教育支出（类）进修及培训（款）培训支出（项）:支出决算数为1.49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下降43.98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今年水利工作相关业务培训较往年减少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.农林水支出（类）水利（款）行政运行（项）:支出决算数为1,300.50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335.82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34.81%，主要原因是：</w:t>
      </w:r>
      <w:r>
        <w:rPr>
          <w:rFonts w:hint="eastAsia" w:eastAsia="仿宋_GB2312" w:cs="Times New Roman"/>
          <w:color w:val="auto"/>
          <w:kern w:val="2"/>
          <w:sz w:val="32"/>
          <w:szCs w:val="32"/>
          <w:highlight w:val="none"/>
          <w:lang w:val="en-US" w:eastAsia="zh-CN" w:bidi="ar-SA"/>
        </w:rPr>
        <w:t>正常工资晋升及社保缴费及公积金缴费基数调整增加，补发了2020年度职工绩效考核奖励金，增加了职工死亡抚恤金支出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.农林水支出（类）水利（款）水利工程建设（项）:支出决算数为1,584.77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1,815.23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53.39%，主要原因是：</w:t>
      </w:r>
      <w:r>
        <w:rPr>
          <w:rFonts w:hint="eastAsia" w:ascii="仿宋_GB2312" w:hAnsi="Times New Roman" w:eastAsia="仿宋_GB2312" w:cs="Times New Roman"/>
          <w:sz w:val="32"/>
          <w:szCs w:val="32"/>
          <w:lang w:val="en-US" w:eastAsia="zh-CN"/>
        </w:rPr>
        <w:t>博斯腾工程及博斯腾罐区</w:t>
      </w:r>
      <w:r>
        <w:rPr>
          <w:rFonts w:hint="eastAsia" w:ascii="仿宋_GB2312" w:hAnsi="仿宋_GB2312" w:eastAsia="仿宋_GB2312" w:cs="仿宋_GB2312"/>
          <w:kern w:val="0"/>
          <w:sz w:val="32"/>
          <w:szCs w:val="32"/>
          <w:lang w:val="en-US" w:eastAsia="zh-CN"/>
        </w:rPr>
        <w:t>十四五”续建配套与现代化改造工程项目资金较往年减少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.农林水支出（类）水利（款）水资源节约管理与保护（项）:支出决算数为81.65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6.34%，主要原因是：</w:t>
      </w:r>
      <w:r>
        <w:rPr>
          <w:rFonts w:hint="eastAsia" w:eastAsia="仿宋_GB2312" w:cs="Times New Roman"/>
          <w:color w:val="auto"/>
          <w:kern w:val="2"/>
          <w:sz w:val="32"/>
          <w:szCs w:val="32"/>
          <w:highlight w:val="none"/>
          <w:lang w:val="en-US" w:eastAsia="zh-CN" w:bidi="ar-SA"/>
        </w:rPr>
        <w:t>库尔勒市地下水井电双控更新改造项目资金较往年增加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.农林水支出（类）水利（款）防汛（项）:支出决算数为657.11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647.11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6471.</w:t>
      </w: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库尔勒市</w:t>
      </w:r>
      <w:r>
        <w:rPr>
          <w:rFonts w:hint="eastAsia" w:ascii="仿宋_GB2312" w:eastAsia="仿宋_GB2312"/>
          <w:color w:val="auto"/>
          <w:spacing w:val="0"/>
          <w:sz w:val="32"/>
          <w:szCs w:val="32"/>
          <w:highlight w:val="none"/>
          <w:lang w:val="en-US" w:eastAsia="zh-CN"/>
        </w:rPr>
        <w:t>防汛防洪隐患整治工作项目资金增加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.农林水支出（类）水利（款）抗旱（项）:支出决算数为195.88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195.88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2023年度库尔勒市农村饮水工程维修养护项目资金增加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7.其他支出（类）其他支出（款）其他支出（项）:支出决算数为1,359.34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11,599.46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89.51%，主要原因是：</w:t>
      </w:r>
      <w:r>
        <w:rPr>
          <w:rFonts w:hint="eastAsia" w:ascii="仿宋_GB2312" w:hAnsi="Times New Roman" w:eastAsia="仿宋_GB2312" w:cs="Times New Roman"/>
          <w:sz w:val="32"/>
          <w:szCs w:val="32"/>
          <w:lang w:val="en-US" w:eastAsia="zh-CN"/>
        </w:rPr>
        <w:t>库尔楚水库建设项目</w:t>
      </w:r>
      <w:r>
        <w:rPr>
          <w:rFonts w:hint="eastAsia" w:ascii="仿宋_GB2312" w:eastAsia="仿宋_GB2312" w:cs="Times New Roman"/>
          <w:sz w:val="32"/>
          <w:szCs w:val="32"/>
          <w:lang w:val="en-US" w:eastAsia="zh-CN"/>
        </w:rPr>
        <w:t>资金较往年减少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8.社会保障和就业支出（类）就业补助（款）公益性岗位补贴（项）:支出决算数为0.00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159.03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Times New Roman" w:eastAsia="仿宋_GB2312" w:cs="Times New Roman"/>
          <w:sz w:val="32"/>
          <w:szCs w:val="32"/>
          <w:lang w:val="en-US" w:eastAsia="zh-CN"/>
        </w:rPr>
        <w:t>今年公益性岗位人员</w:t>
      </w:r>
      <w:r>
        <w:rPr>
          <w:rFonts w:hint="eastAsia" w:ascii="仿宋_GB2312" w:eastAsia="仿宋_GB2312" w:cs="Times New Roman"/>
          <w:sz w:val="32"/>
          <w:szCs w:val="32"/>
          <w:lang w:val="en-US" w:eastAsia="zh-CN"/>
        </w:rPr>
        <w:t>工资社保支出全部</w:t>
      </w:r>
      <w:r>
        <w:rPr>
          <w:rFonts w:hint="eastAsia" w:ascii="仿宋_GB2312" w:hAnsi="Times New Roman" w:eastAsia="仿宋_GB2312" w:cs="Times New Roman"/>
          <w:sz w:val="32"/>
          <w:szCs w:val="32"/>
          <w:lang w:val="en-US" w:eastAsia="zh-CN"/>
        </w:rPr>
        <w:t>并入行政运行中予以列支</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9.农林水支出（类）水利（款）农村人畜饮水（项）:支出决算数为0.00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204.03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100%，主要原因是：农村人畜饮水</w:t>
      </w:r>
      <w:r>
        <w:rPr>
          <w:rFonts w:hint="eastAsia" w:eastAsia="仿宋_GB2312" w:cs="Times New Roman"/>
          <w:color w:val="auto"/>
          <w:kern w:val="2"/>
          <w:sz w:val="32"/>
          <w:szCs w:val="32"/>
          <w:highlight w:val="none"/>
          <w:lang w:val="en-US" w:eastAsia="zh-CN" w:bidi="ar-SA"/>
        </w:rPr>
        <w:t>维护项目资金较往年减少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10.灾害防治及应急管理支出（类）应急管理事务（款）灾害风险防治（项）:支出决算数为0.00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灾害风险防治应急项目资金较往年减少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1,301.99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1,226.83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医疗费、其他工资福利支出、退休费、抚恤金、生活补助、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75.16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办公费、电费、邮电费、取暖费、差旅费、培训费、专用材料费、劳务费、工会经费、福利费、公务用车运行维护费、其他交通费用。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“三公”经费支出11.79万元，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增加7.65万元，</w:t>
      </w:r>
      <w:r>
        <w:rPr>
          <w:rFonts w:hint="eastAsia" w:ascii="仿宋_GB2312" w:eastAsia="仿宋_GB2312"/>
          <w:color w:val="auto"/>
          <w:spacing w:val="0"/>
          <w:sz w:val="32"/>
          <w:szCs w:val="32"/>
          <w:highlight w:val="none"/>
          <w:lang w:val="en-US" w:eastAsia="zh-CN"/>
        </w:rPr>
        <w:t>增长184.78%,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因工作需要，库尔勒市水利工程质量及防汛防洪工作需到现场监督，因此公务用车运行维护费较往年增加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sz w:val="32"/>
          <w:szCs w:val="32"/>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；公务用车购置及运行维护费支出11.79万元，占100.00%，比上年增加7.65万元，</w:t>
      </w:r>
      <w:r>
        <w:rPr>
          <w:rFonts w:hint="eastAsia" w:ascii="仿宋_GB2312" w:eastAsia="仿宋_GB2312"/>
          <w:color w:val="auto"/>
          <w:spacing w:val="0"/>
          <w:sz w:val="32"/>
          <w:szCs w:val="32"/>
          <w:highlight w:val="none"/>
          <w:lang w:val="en-US" w:eastAsia="zh-CN"/>
        </w:rPr>
        <w:t>增长184.78%,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因工作需要，库尔勒市水利工程质量及防汛防洪工作需到现场监督，因此公务用车运行维护费较往年增加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sz w:val="32"/>
          <w:szCs w:val="32"/>
          <w:lang w:val="en-US" w:eastAsia="zh-CN"/>
        </w:rPr>
        <w:t>今年未安排预算</w:t>
      </w:r>
      <w:bookmarkStart w:id="48" w:name="_GoBack"/>
      <w:bookmarkEnd w:id="48"/>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公务接待费无变动</w:t>
      </w: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hAnsi="Times New Roman" w:eastAsia="仿宋_GB2312" w:cs="Times New Roman"/>
          <w:sz w:val="32"/>
          <w:szCs w:val="32"/>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公务用车购置及运行维护费11.79万元，其中：公务用车购置费0.00万元，公务用车运行维护费11.79万元。公务用车运行维护费开支内容包括</w:t>
      </w:r>
      <w:r>
        <w:rPr>
          <w:rFonts w:hint="eastAsia" w:ascii="仿宋_GB2312" w:hAnsi="Times New Roman" w:eastAsia="仿宋_GB2312" w:cs="Times New Roman"/>
          <w:sz w:val="32"/>
          <w:szCs w:val="32"/>
          <w:lang w:val="en-US" w:eastAsia="zh-CN"/>
        </w:rPr>
        <w:t>公务用车油料款、公务用车维修费、公务用车保险费</w:t>
      </w:r>
      <w:r>
        <w:rPr>
          <w:rFonts w:hint="eastAsia" w:ascii="仿宋_GB2312" w:eastAsia="仿宋_GB2312"/>
          <w:color w:val="auto"/>
          <w:sz w:val="32"/>
          <w:szCs w:val="32"/>
          <w:highlight w:val="none"/>
          <w:lang w:val="zh-CN" w:eastAsia="zh-CN"/>
        </w:rPr>
        <w:t>。公务用车购置数0辆，公务用车保有量4辆。国有资产占用情况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中固定资产车辆数相同，无差异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Times New Roman" w:eastAsia="仿宋_GB2312" w:cs="Times New Roman"/>
          <w:sz w:val="32"/>
          <w:szCs w:val="32"/>
          <w:lang w:val="en-US" w:eastAsia="zh-CN"/>
        </w:rPr>
        <w:t>本</w:t>
      </w:r>
      <w:r>
        <w:rPr>
          <w:rFonts w:hint="eastAsia" w:ascii="仿宋_GB2312" w:hAnsi="Times New Roman" w:eastAsia="仿宋_GB2312" w:cs="Times New Roman"/>
          <w:sz w:val="32"/>
          <w:szCs w:val="32"/>
        </w:rPr>
        <w:t>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预算数11.79万元，决算数11.79万元，预决算差异率0.00%，主要原因是：</w:t>
      </w:r>
      <w:r>
        <w:rPr>
          <w:rFonts w:hint="eastAsia" w:ascii="仿宋_GB2312" w:hAnsi="Times New Roman" w:eastAsia="仿宋_GB2312" w:cs="Times New Roman"/>
          <w:sz w:val="32"/>
          <w:szCs w:val="32"/>
        </w:rPr>
        <w:t>加强公务车辆出行管理</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合理安排公务用车</w:t>
      </w:r>
      <w:r>
        <w:rPr>
          <w:rFonts w:hint="eastAsia" w:ascii="仿宋_GB2312" w:eastAsia="仿宋_GB2312"/>
          <w:color w:val="auto"/>
          <w:sz w:val="32"/>
          <w:szCs w:val="32"/>
          <w:highlight w:val="none"/>
          <w:lang w:val="zh-CN" w:eastAsia="zh-CN"/>
        </w:rPr>
        <w:t>运行维护费，</w:t>
      </w:r>
      <w:r>
        <w:rPr>
          <w:rFonts w:hint="eastAsia" w:ascii="仿宋_GB2312" w:hAnsi="Times New Roman" w:eastAsia="仿宋_GB2312" w:cs="Times New Roman"/>
          <w:sz w:val="32"/>
          <w:szCs w:val="32"/>
        </w:rPr>
        <w:t>预决算无差</w:t>
      </w:r>
      <w:r>
        <w:rPr>
          <w:rFonts w:hint="eastAsia" w:ascii="仿宋_GB2312" w:eastAsia="仿宋_GB2312" w:cs="Times New Roman"/>
          <w:sz w:val="32"/>
          <w:szCs w:val="32"/>
          <w:lang w:val="en-US" w:eastAsia="zh-CN"/>
        </w:rPr>
        <w:t>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今年未安排预算，</w:t>
      </w:r>
      <w:r>
        <w:rPr>
          <w:rFonts w:hint="eastAsia" w:ascii="仿宋_GB2312" w:eastAsia="仿宋_GB2312"/>
          <w:color w:val="auto"/>
          <w:sz w:val="32"/>
          <w:szCs w:val="32"/>
          <w:highlight w:val="none"/>
          <w:lang w:val="zh-CN" w:eastAsia="zh-CN"/>
        </w:rPr>
        <w:t>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今年未安排预算，</w:t>
      </w:r>
      <w:r>
        <w:rPr>
          <w:rFonts w:hint="eastAsia" w:ascii="仿宋_GB2312" w:eastAsia="仿宋_GB2312"/>
          <w:color w:val="auto"/>
          <w:sz w:val="32"/>
          <w:szCs w:val="32"/>
          <w:highlight w:val="none"/>
          <w:lang w:val="zh-CN" w:eastAsia="zh-CN"/>
        </w:rPr>
        <w:t>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预算数11.79万元，决算数11.79万元，预决算差异率0.00%，主要原因是：</w:t>
      </w:r>
      <w:r>
        <w:rPr>
          <w:rFonts w:hint="eastAsia" w:ascii="仿宋_GB2312" w:eastAsia="仿宋_GB2312"/>
          <w:color w:val="auto"/>
          <w:sz w:val="32"/>
          <w:szCs w:val="32"/>
          <w:highlight w:val="none"/>
          <w:lang w:val="en-US" w:eastAsia="zh-CN"/>
        </w:rPr>
        <w:t>加</w:t>
      </w:r>
      <w:r>
        <w:rPr>
          <w:rFonts w:hint="eastAsia" w:ascii="仿宋_GB2312" w:eastAsia="仿宋_GB2312"/>
          <w:color w:val="auto"/>
          <w:sz w:val="32"/>
          <w:szCs w:val="32"/>
          <w:highlight w:val="none"/>
          <w:lang w:val="zh-CN" w:eastAsia="zh-CN"/>
        </w:rPr>
        <w:t>强公务车辆出行管理，</w:t>
      </w:r>
      <w:r>
        <w:rPr>
          <w:rFonts w:hint="eastAsia" w:ascii="仿宋_GB2312" w:eastAsia="仿宋_GB2312"/>
          <w:color w:val="auto"/>
          <w:sz w:val="32"/>
          <w:szCs w:val="32"/>
          <w:highlight w:val="none"/>
          <w:lang w:val="en-US" w:eastAsia="zh-CN"/>
        </w:rPr>
        <w:t>合理安排公务用车</w:t>
      </w:r>
      <w:r>
        <w:rPr>
          <w:rFonts w:hint="eastAsia" w:ascii="仿宋_GB2312" w:eastAsia="仿宋_GB2312"/>
          <w:color w:val="auto"/>
          <w:sz w:val="32"/>
          <w:szCs w:val="32"/>
          <w:highlight w:val="none"/>
          <w:lang w:val="zh-CN" w:eastAsia="zh-CN"/>
        </w:rPr>
        <w:t>运行维护费，预决算无差</w:t>
      </w:r>
      <w:r>
        <w:rPr>
          <w:rFonts w:hint="eastAsia" w:ascii="仿宋_GB2312" w:eastAsia="仿宋_GB2312"/>
          <w:color w:val="auto"/>
          <w:sz w:val="32"/>
          <w:szCs w:val="32"/>
          <w:highlight w:val="none"/>
          <w:lang w:val="en-US" w:eastAsia="zh-CN"/>
        </w:rPr>
        <w:t>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今年未安排预算，</w:t>
      </w:r>
      <w:r>
        <w:rPr>
          <w:rFonts w:hint="eastAsia" w:ascii="仿宋_GB2312" w:eastAsia="仿宋_GB2312"/>
          <w:color w:val="auto"/>
          <w:sz w:val="32"/>
          <w:szCs w:val="32"/>
          <w:highlight w:val="none"/>
          <w:lang w:val="zh-CN" w:eastAsia="zh-CN"/>
        </w:rPr>
        <w:t>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总计1,992.86</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本年收入1,992.86</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总计1,992.86</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本年支出1,992.86</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与上年相比，减少4,758.63万元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下降70.48%</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小型农田水利建设项目及泄洪防洪农业生产发展项目资金较往年减少</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4,095.03</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1,992.86</w:t>
      </w:r>
      <w:r>
        <w:rPr>
          <w:rFonts w:hint="eastAsia" w:ascii="Times New Roman" w:hAnsi="Times New Roman" w:eastAsia="仿宋_GB2312" w:cs="Times New Roman"/>
          <w:color w:val="auto"/>
          <w:sz w:val="32"/>
          <w:szCs w:val="32"/>
          <w:highlight w:val="none"/>
          <w:lang w:val="zh-CN"/>
        </w:rPr>
        <w:t>万元，预决算差异率-51.33%</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eastAsia="仿宋_GB2312" w:cs="Times New Roman"/>
          <w:sz w:val="32"/>
          <w:szCs w:val="32"/>
          <w:lang w:val="en-US" w:eastAsia="zh-CN"/>
        </w:rPr>
        <w:t>年初预算</w:t>
      </w:r>
      <w:r>
        <w:rPr>
          <w:rFonts w:hint="eastAsia" w:ascii="仿宋_GB2312" w:hAnsi="Times New Roman" w:eastAsia="仿宋_GB2312" w:cs="Times New Roman"/>
          <w:sz w:val="32"/>
          <w:szCs w:val="32"/>
          <w:lang w:val="en-US" w:eastAsia="zh-CN"/>
        </w:rPr>
        <w:t>安排</w:t>
      </w:r>
      <w:r>
        <w:rPr>
          <w:rFonts w:hint="eastAsia" w:ascii="仿宋_GB2312" w:hAnsi="Times New Roman" w:eastAsia="仿宋_GB2312" w:cs="Times New Roman"/>
          <w:sz w:val="32"/>
          <w:szCs w:val="32"/>
        </w:rPr>
        <w:t>国有土地使用权出让</w:t>
      </w:r>
      <w:r>
        <w:rPr>
          <w:rFonts w:hint="eastAsia" w:ascii="仿宋_GB2312" w:hAnsi="Times New Roman" w:eastAsia="仿宋_GB2312" w:cs="Times New Roman"/>
          <w:sz w:val="32"/>
          <w:szCs w:val="32"/>
          <w:lang w:val="en-US" w:eastAsia="zh-CN"/>
        </w:rPr>
        <w:t>项目及其他政府性基金及对应专项债务项目</w:t>
      </w:r>
      <w:r>
        <w:rPr>
          <w:rFonts w:hint="eastAsia" w:ascii="仿宋_GB2312" w:eastAsia="仿宋_GB2312" w:cs="Times New Roman"/>
          <w:sz w:val="32"/>
          <w:szCs w:val="32"/>
          <w:lang w:val="en-US" w:eastAsia="zh-CN"/>
        </w:rPr>
        <w:t>部分未完成，部分项目资金未支付，因此</w:t>
      </w: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仿宋_GB2312" w:eastAsia="仿宋_GB2312" w:cs="Times New Roman"/>
          <w:sz w:val="32"/>
          <w:szCs w:val="32"/>
          <w:lang w:val="en-US" w:eastAsia="zh-CN"/>
        </w:rPr>
        <w:t>决算数较年初预算数减少。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1,992.86</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1.城乡社区支出（类）国有土地使用权出让收入安排的支出（款）农业生产发展支出（项）:支出决算数为200.00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6,061.40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96.81%，主要原因是：</w:t>
      </w:r>
      <w:r>
        <w:rPr>
          <w:rFonts w:hint="eastAsia" w:ascii="仿宋_GB2312" w:hAnsi="Times New Roman" w:eastAsia="仿宋_GB2312" w:cs="Times New Roman"/>
          <w:sz w:val="32"/>
          <w:szCs w:val="32"/>
          <w:lang w:val="en-US" w:eastAsia="zh-CN"/>
        </w:rPr>
        <w:t>今年财政安排</w:t>
      </w:r>
      <w:r>
        <w:rPr>
          <w:rFonts w:hint="eastAsia" w:ascii="仿宋_GB2312" w:hAnsi="Times New Roman" w:eastAsia="仿宋_GB2312" w:cs="Times New Roman"/>
          <w:sz w:val="32"/>
          <w:szCs w:val="32"/>
        </w:rPr>
        <w:t>国有土地使用权出让</w:t>
      </w:r>
      <w:r>
        <w:rPr>
          <w:rFonts w:hint="eastAsia" w:ascii="仿宋_GB2312" w:hAnsi="Times New Roman" w:eastAsia="仿宋_GB2312" w:cs="Times New Roman"/>
          <w:sz w:val="32"/>
          <w:szCs w:val="32"/>
          <w:lang w:val="en-US" w:eastAsia="zh-CN"/>
        </w:rPr>
        <w:t>项目及其他政府性基金及对应专项债务项目支出较往年减少</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2.社会保障和就业支出（类）大中型水库移民后期扶持基金支出（款）移民补助（项）:支出决算数为1.50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0.00%，主要原因是：水库移民后期扶持基金</w:t>
      </w:r>
      <w:r>
        <w:rPr>
          <w:rFonts w:hint="eastAsia" w:eastAsia="仿宋_GB2312" w:cs="Times New Roman"/>
          <w:color w:val="auto"/>
          <w:sz w:val="32"/>
          <w:szCs w:val="32"/>
          <w:highlight w:val="none"/>
          <w:lang w:val="en-US" w:eastAsia="zh-CN"/>
        </w:rPr>
        <w:t>支出上下年无变化</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3.城乡社区支出（类）国有土地使用权出让收入安排的支出（款）其他国有土地使用权出让收入安排的支出（项）:支出决算数为585.10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585.10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库尔勒市农业灌溉机井井电双控取水智能计量系统项目资金支出较往年增加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4.城乡社区支出（类）国有土地使用权出让收入安排的支出（款）农业农村生态环境支出（项）:支出决算数为1,206.27</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1,206.27</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陈福良工程款项目资金支出增加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5.城乡社区支出（类）国有土地使用权出让收入安排的支出（款）农村基础设施建设支出（项）:支出决算数为0.00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488.59</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水利工程项目设计费及监理费及博斯腾灌区续建配套与节水改造项目资金较往年减少</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库尔勒市水利局（行政单位和参照公务员法管理事业单位）机关运行经费支出75.16万元，</w:t>
      </w:r>
      <w:r>
        <w:rPr>
          <w:rFonts w:hint="eastAsia" w:ascii="Times New Roman" w:hAnsi="Times New Roman" w:eastAsia="仿宋_GB2312" w:cs="Times New Roman"/>
          <w:color w:val="auto"/>
          <w:sz w:val="32"/>
          <w:szCs w:val="32"/>
          <w:highlight w:val="none"/>
          <w:lang w:val="zh-CN" w:eastAsia="zh-CN"/>
        </w:rPr>
        <w:t>比上年增加39.32万元，增长109.72%，主要原因是：</w:t>
      </w:r>
      <w:r>
        <w:rPr>
          <w:rFonts w:hint="eastAsia" w:eastAsia="仿宋_GB2312" w:cs="Times New Roman"/>
          <w:color w:val="auto"/>
          <w:sz w:val="32"/>
          <w:szCs w:val="32"/>
          <w:highlight w:val="none"/>
          <w:lang w:val="en-US" w:eastAsia="zh-CN"/>
        </w:rPr>
        <w:t>办公费及差旅费及公务用车运行维护费等公用经费较往年增加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535.52万元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其中：政府采购货物支出152.08万元、政府采购工程支出320.55万元、政府采购服务支出62.89万元。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授予中小企业合同金额535.52万元，占政府采购支出总额的100.00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，其中：授予小微企业合同金额488.52万元，占政府采购支出总额的91.22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458.15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屋0.00平方米，价值0.00万元。车辆4辆，价值57.73万元，其中：副部（省）级及以上领导用车0辆、主要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w:t>
      </w:r>
      <w:r>
        <w:rPr>
          <w:rFonts w:hint="eastAsia" w:ascii="仿宋_GB2312" w:hAnsi="Times New Roman" w:eastAsia="仿宋_GB2312" w:cs="Times New Roman"/>
          <w:sz w:val="32"/>
          <w:szCs w:val="32"/>
          <w:lang w:val="en-US" w:eastAsia="zh-CN"/>
        </w:rPr>
        <w:t>公务用车一辆、</w:t>
      </w:r>
      <w:r>
        <w:rPr>
          <w:rFonts w:hint="eastAsia" w:ascii="仿宋_GB2312" w:hAnsi="Times New Roman" w:eastAsia="仿宋_GB2312" w:cs="Times New Roman"/>
          <w:sz w:val="32"/>
          <w:szCs w:val="32"/>
        </w:rPr>
        <w:t>执法执勤用车</w:t>
      </w:r>
      <w:r>
        <w:rPr>
          <w:rFonts w:hint="eastAsia" w:ascii="仿宋_GB2312" w:hAnsi="Times New Roman" w:eastAsia="仿宋_GB2312" w:cs="Times New Roman"/>
          <w:sz w:val="32"/>
          <w:szCs w:val="32"/>
          <w:lang w:val="en-US" w:eastAsia="zh-CN"/>
        </w:rPr>
        <w:t>一</w:t>
      </w:r>
      <w:r>
        <w:rPr>
          <w:rFonts w:hint="eastAsia" w:ascii="仿宋_GB2312" w:hAnsi="Times New Roman" w:eastAsia="仿宋_GB2312" w:cs="Times New Roman"/>
          <w:sz w:val="32"/>
          <w:szCs w:val="32"/>
        </w:rPr>
        <w:t>辆</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河湖管理巡河及防洪防汛用车</w:t>
      </w:r>
      <w:r>
        <w:rPr>
          <w:rFonts w:hint="eastAsia" w:ascii="仿宋_GB2312" w:hAnsi="Times New Roman" w:eastAsia="仿宋_GB2312" w:cs="Times New Roman"/>
          <w:sz w:val="32"/>
          <w:szCs w:val="32"/>
          <w:lang w:val="en-US" w:eastAsia="zh-CN"/>
        </w:rPr>
        <w:t>一</w:t>
      </w:r>
      <w:r>
        <w:rPr>
          <w:rFonts w:hint="eastAsia" w:ascii="仿宋_GB2312" w:hAnsi="Times New Roman" w:eastAsia="仿宋_GB2312" w:cs="Times New Roman"/>
          <w:sz w:val="32"/>
          <w:szCs w:val="32"/>
        </w:rPr>
        <w:t>辆</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不再使用</w:t>
      </w:r>
      <w:r>
        <w:rPr>
          <w:rFonts w:hint="eastAsia" w:ascii="仿宋_GB2312" w:hAnsi="Times New Roman" w:eastAsia="仿宋_GB2312" w:cs="Times New Roman"/>
          <w:sz w:val="32"/>
          <w:szCs w:val="32"/>
          <w:lang w:val="en-US" w:eastAsia="zh-CN"/>
        </w:rPr>
        <w:t>车一辆</w:t>
      </w:r>
      <w:r>
        <w:rPr>
          <w:rFonts w:hint="eastAsia" w:ascii="仿宋_GB2312" w:hAnsi="Times New Roman" w:eastAsia="仿宋_GB2312" w:cs="Times New Roman"/>
          <w:sz w:val="32"/>
          <w:szCs w:val="32"/>
        </w:rPr>
        <w:t>，因已到报废年限</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7173.61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7173.61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全年预算数5979.23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全年执行数4080.25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Times New Roman" w:eastAsia="仿宋_GB2312" w:cs="Times New Roman"/>
          <w:sz w:val="32"/>
          <w:szCs w:val="32"/>
        </w:rPr>
        <w:t>一是能做到严格执行各项财务管理制度，做到项目资金专款专用</w:t>
      </w:r>
      <w:r>
        <w:rPr>
          <w:rFonts w:hint="eastAsia" w:ascii="仿宋_GB2312" w:eastAsia="仿宋_GB2312"/>
          <w:sz w:val="32"/>
          <w:szCs w:val="32"/>
        </w:rPr>
        <w:t>；二是</w:t>
      </w:r>
      <w:r>
        <w:rPr>
          <w:rFonts w:hint="eastAsia" w:ascii="仿宋_GB2312" w:hAnsi="Times New Roman" w:eastAsia="仿宋_GB2312" w:cs="Times New Roman"/>
          <w:sz w:val="32"/>
          <w:szCs w:val="32"/>
        </w:rPr>
        <w:t>政府采购项目实现节约、高效使用财政资金，采购过程公开、程序规范</w:t>
      </w:r>
      <w:r>
        <w:rPr>
          <w:rFonts w:hint="eastAsia" w:ascii="仿宋_GB2312" w:eastAsia="仿宋_GB2312"/>
          <w:sz w:val="32"/>
          <w:szCs w:val="32"/>
        </w:rPr>
        <w:t>。发现的问题及原因：一是</w:t>
      </w:r>
      <w:r>
        <w:rPr>
          <w:rFonts w:hint="eastAsia" w:ascii="仿宋_GB2312" w:hAnsi="Times New Roman" w:eastAsia="仿宋_GB2312" w:cs="Times New Roman"/>
          <w:sz w:val="32"/>
          <w:szCs w:val="32"/>
        </w:rPr>
        <w:t>预算绩效观念不强，对预算绩效管理工作重视程度还不足</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对预算绩效管理工作的意义、框架、思路、操作规程认识不够深入，申报绩效目标不够明确</w:t>
      </w:r>
      <w:r>
        <w:rPr>
          <w:rFonts w:hint="eastAsia" w:ascii="仿宋_GB2312" w:eastAsia="仿宋_GB2312"/>
          <w:sz w:val="32"/>
          <w:szCs w:val="32"/>
        </w:rPr>
        <w:t>；二是</w:t>
      </w:r>
      <w:r>
        <w:rPr>
          <w:rFonts w:hint="eastAsia" w:ascii="仿宋_GB2312" w:eastAsia="仿宋_GB2312"/>
          <w:sz w:val="32"/>
          <w:szCs w:val="32"/>
          <w:lang w:val="en-US" w:eastAsia="zh-CN"/>
        </w:rPr>
        <w:t>项目</w:t>
      </w:r>
      <w:r>
        <w:rPr>
          <w:rFonts w:hint="eastAsia" w:ascii="仿宋_GB2312" w:hAnsi="Times New Roman" w:eastAsia="仿宋_GB2312" w:cs="Times New Roman"/>
          <w:sz w:val="32"/>
          <w:szCs w:val="32"/>
        </w:rPr>
        <w:t>绩效申报时，编制的绩效目标不具体，</w:t>
      </w:r>
      <w:r>
        <w:rPr>
          <w:rFonts w:hint="eastAsia" w:ascii="仿宋_GB2312" w:hAnsi="Times New Roman" w:eastAsia="仿宋_GB2312" w:cs="Times New Roman"/>
          <w:sz w:val="32"/>
          <w:szCs w:val="32"/>
          <w:lang w:val="en-US" w:eastAsia="zh-CN"/>
        </w:rPr>
        <w:t>没有</w:t>
      </w:r>
      <w:r>
        <w:rPr>
          <w:rFonts w:hint="eastAsia" w:ascii="仿宋_GB2312" w:hAnsi="Times New Roman" w:eastAsia="仿宋_GB2312" w:cs="Times New Roman"/>
          <w:sz w:val="32"/>
          <w:szCs w:val="32"/>
        </w:rPr>
        <w:t>细化分解为具体工作任务，部分绩效指标不清晰、可衡量性有待提高</w:t>
      </w:r>
      <w:r>
        <w:rPr>
          <w:rFonts w:hint="eastAsia" w:ascii="仿宋_GB2312" w:eastAsia="仿宋_GB2312"/>
          <w:sz w:val="32"/>
          <w:szCs w:val="32"/>
        </w:rPr>
        <w:t>。下一步改进措施：一是</w:t>
      </w:r>
      <w:r>
        <w:rPr>
          <w:rFonts w:hint="eastAsia" w:ascii="仿宋_GB2312" w:hAnsi="Times New Roman" w:eastAsia="仿宋_GB2312" w:cs="Times New Roman"/>
          <w:sz w:val="32"/>
          <w:szCs w:val="32"/>
        </w:rPr>
        <w:t>加强绩效评价结果的应用，切实提高财政资金使用效益和管理水平</w:t>
      </w:r>
      <w:r>
        <w:rPr>
          <w:rFonts w:hint="eastAsia" w:ascii="仿宋_GB2312" w:eastAsia="仿宋_GB2312"/>
          <w:sz w:val="32"/>
          <w:szCs w:val="32"/>
        </w:rPr>
        <w:t>；二是</w:t>
      </w:r>
      <w:r>
        <w:rPr>
          <w:rFonts w:hint="eastAsia" w:ascii="仿宋_GB2312" w:hAnsi="Times New Roman" w:eastAsia="仿宋_GB2312" w:cs="Times New Roman"/>
          <w:sz w:val="32"/>
          <w:szCs w:val="32"/>
        </w:rPr>
        <w:t>项目支出严格执行政府采购制度，规范签订采购合同，保证项目质量的同时节省财政资金</w:t>
      </w:r>
      <w:r>
        <w:rPr>
          <w:rFonts w:hint="eastAsia" w:ascii="仿宋_GB2312" w:eastAsia="仿宋_GB2312"/>
          <w:sz w:val="32"/>
          <w:szCs w:val="32"/>
          <w:lang w:eastAsia="zh-CN"/>
        </w:rPr>
        <w:t>；</w:t>
      </w:r>
      <w:r>
        <w:rPr>
          <w:rFonts w:hint="eastAsia" w:ascii="仿宋_GB2312" w:eastAsia="仿宋_GB2312"/>
          <w:sz w:val="32"/>
          <w:szCs w:val="32"/>
          <w:lang w:val="en-US" w:eastAsia="zh-CN"/>
        </w:rPr>
        <w:t>三是</w:t>
      </w:r>
      <w:r>
        <w:rPr>
          <w:rFonts w:hint="eastAsia" w:ascii="仿宋_GB2312" w:hAnsi="Times New Roman" w:eastAsia="仿宋_GB2312" w:cs="Times New Roman"/>
          <w:sz w:val="32"/>
          <w:szCs w:val="32"/>
        </w:rPr>
        <w:t>在编制项目资金绩效目标时要求指向明确、细化量化、合理可行、相应匹配，健全规范验收手续，以保证项目的验收质量</w:t>
      </w:r>
      <w:r>
        <w:rPr>
          <w:rFonts w:hint="eastAsia" w:ascii="仿宋_GB2312" w:hAnsi="Times New Roman" w:eastAsia="仿宋_GB2312" w:cs="Times New Roman"/>
          <w:sz w:val="32"/>
          <w:szCs w:val="32"/>
          <w:lang w:eastAsia="zh-CN"/>
        </w:rPr>
        <w:t>。具</w:t>
      </w:r>
      <w:r>
        <w:rPr>
          <w:rFonts w:hint="eastAsia" w:ascii="仿宋_GB2312" w:eastAsia="仿宋_GB2312"/>
          <w:color w:val="auto"/>
          <w:sz w:val="32"/>
          <w:szCs w:val="32"/>
          <w:highlight w:val="none"/>
          <w:lang w:eastAsia="zh-CN"/>
        </w:rPr>
        <w:t>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5970905" cy="6306185"/>
            <wp:effectExtent l="0" t="0" r="10795" b="1841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5"/>
                    <a:srcRect t="1273"/>
                    <a:stretch>
                      <a:fillRect/>
                    </a:stretch>
                  </pic:blipFill>
                  <pic:spPr>
                    <a:xfrm>
                      <a:off x="0" y="0"/>
                      <a:ext cx="5970905" cy="630618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5934075" cy="5118100"/>
            <wp:effectExtent l="0" t="0" r="9525" b="635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6"/>
                    <a:stretch>
                      <a:fillRect/>
                    </a:stretch>
                  </pic:blipFill>
                  <pic:spPr>
                    <a:xfrm>
                      <a:off x="0" y="0"/>
                      <a:ext cx="5934075" cy="51181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5915025" cy="5356225"/>
            <wp:effectExtent l="0" t="0" r="9525" b="1587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7"/>
                    <a:srcRect t="1747" r="957"/>
                    <a:stretch>
                      <a:fillRect/>
                    </a:stretch>
                  </pic:blipFill>
                  <pic:spPr>
                    <a:xfrm>
                      <a:off x="0" y="0"/>
                      <a:ext cx="5915025" cy="53562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5990590" cy="5473065"/>
            <wp:effectExtent l="0" t="0" r="1016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90590" cy="547306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5620385" cy="3857625"/>
            <wp:effectExtent l="0" t="0" r="18415" b="952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9"/>
                    <a:srcRect t="2644"/>
                    <a:stretch>
                      <a:fillRect/>
                    </a:stretch>
                  </pic:blipFill>
                  <pic:spPr>
                    <a:xfrm>
                      <a:off x="0" y="0"/>
                      <a:ext cx="5620385" cy="38576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rPr>
          <w:rFonts w:hint="eastAsia" w:ascii="黑体" w:hAnsi="黑体" w:eastAsia="黑体" w:cs="宋体"/>
          <w:bCs/>
          <w:color w:val="auto"/>
          <w:kern w:val="0"/>
          <w:sz w:val="32"/>
          <w:szCs w:val="32"/>
          <w:highlight w:val="none"/>
          <w:lang w:eastAsia="zh-CN"/>
        </w:rPr>
        <w:drawing>
          <wp:inline distT="0" distB="0" distL="114300" distR="114300">
            <wp:extent cx="5270500" cy="5679440"/>
            <wp:effectExtent l="0" t="0" r="6350" b="16510"/>
            <wp:docPr id="3" name="图片 3" descr="f2bd444db0860fe4b28dddb3ad27ce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bd444db0860fe4b28dddb3ad27ce0b"/>
                    <pic:cNvPicPr>
                      <a:picLocks noChangeAspect="1"/>
                    </pic:cNvPicPr>
                  </pic:nvPicPr>
                  <pic:blipFill>
                    <a:blip r:embed="rId10"/>
                    <a:stretch>
                      <a:fillRect/>
                    </a:stretch>
                  </pic:blipFill>
                  <pic:spPr>
                    <a:xfrm>
                      <a:off x="0" y="0"/>
                      <a:ext cx="5270500" cy="56794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6169660" cy="2520315"/>
            <wp:effectExtent l="0" t="0" r="2540" b="1333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1"/>
                    <a:srcRect t="3991"/>
                    <a:stretch>
                      <a:fillRect/>
                    </a:stretch>
                  </pic:blipFill>
                  <pic:spPr>
                    <a:xfrm>
                      <a:off x="0" y="0"/>
                      <a:ext cx="6169660" cy="252031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sectPr>
          <w:pgSz w:w="11906" w:h="16838"/>
          <w:pgMar w:top="1440" w:right="1800" w:bottom="1440" w:left="1800" w:header="851" w:footer="992" w:gutter="0"/>
          <w:cols w:space="720" w:num="1"/>
          <w:docGrid w:type="lines" w:linePitch="312" w:charSpace="0"/>
        </w:sectPr>
      </w:pPr>
      <w:r>
        <w:drawing>
          <wp:inline distT="0" distB="0" distL="114300" distR="114300">
            <wp:extent cx="5953125" cy="3840480"/>
            <wp:effectExtent l="0" t="0" r="9525" b="762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12"/>
                    <a:srcRect t="2420"/>
                    <a:stretch>
                      <a:fillRect/>
                    </a:stretch>
                  </pic:blipFill>
                  <pic:spPr>
                    <a:xfrm>
                      <a:off x="0" y="0"/>
                      <a:ext cx="5953125" cy="384048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drawing>
          <wp:inline distT="0" distB="0" distL="114300" distR="114300">
            <wp:extent cx="5781675" cy="2900045"/>
            <wp:effectExtent l="0" t="0" r="9525" b="1460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3"/>
                    <a:stretch>
                      <a:fillRect/>
                    </a:stretch>
                  </pic:blipFill>
                  <pic:spPr>
                    <a:xfrm>
                      <a:off x="0" y="0"/>
                      <a:ext cx="5781675" cy="2900045"/>
                    </a:xfrm>
                    <a:prstGeom prst="rect">
                      <a:avLst/>
                    </a:prstGeom>
                    <a:noFill/>
                    <a:ln w="9525">
                      <a:noFill/>
                    </a:ln>
                  </pic:spPr>
                </pic:pic>
              </a:graphicData>
            </a:graphic>
          </wp:inline>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jI5MTViNDMzNDY4ZDBiNDAzODY4Y2FmMDBiNDgifQ=="/>
    <w:docVar w:name="KSO_WPS_MARK_KEY" w:val="41ee2a61-2d54-4f93-83be-afdb9a40d732"/>
  </w:docVars>
  <w:rsids>
    <w:rsidRoot w:val="00000000"/>
    <w:rsid w:val="00202EF2"/>
    <w:rsid w:val="00213C59"/>
    <w:rsid w:val="003210CE"/>
    <w:rsid w:val="00B70D59"/>
    <w:rsid w:val="00F177A1"/>
    <w:rsid w:val="00F52A8D"/>
    <w:rsid w:val="019404F8"/>
    <w:rsid w:val="01ED22F2"/>
    <w:rsid w:val="028A0CAA"/>
    <w:rsid w:val="02BD3108"/>
    <w:rsid w:val="02F73D26"/>
    <w:rsid w:val="034D4FEF"/>
    <w:rsid w:val="035D1785"/>
    <w:rsid w:val="039F47CE"/>
    <w:rsid w:val="03E05CE8"/>
    <w:rsid w:val="03F973EE"/>
    <w:rsid w:val="043E5B56"/>
    <w:rsid w:val="045050A5"/>
    <w:rsid w:val="04AD1875"/>
    <w:rsid w:val="04C04386"/>
    <w:rsid w:val="04D96608"/>
    <w:rsid w:val="04FA68C4"/>
    <w:rsid w:val="053F5AE6"/>
    <w:rsid w:val="057C0B0F"/>
    <w:rsid w:val="05EF4B48"/>
    <w:rsid w:val="05F76ECA"/>
    <w:rsid w:val="06792773"/>
    <w:rsid w:val="07093795"/>
    <w:rsid w:val="07603F6B"/>
    <w:rsid w:val="07804730"/>
    <w:rsid w:val="079052BE"/>
    <w:rsid w:val="08145C21"/>
    <w:rsid w:val="08422688"/>
    <w:rsid w:val="085854ED"/>
    <w:rsid w:val="0879188F"/>
    <w:rsid w:val="08A0354D"/>
    <w:rsid w:val="08CD4C49"/>
    <w:rsid w:val="09114954"/>
    <w:rsid w:val="095A5B83"/>
    <w:rsid w:val="096466E3"/>
    <w:rsid w:val="0968304D"/>
    <w:rsid w:val="09AF3D17"/>
    <w:rsid w:val="0A763C02"/>
    <w:rsid w:val="0A7809B7"/>
    <w:rsid w:val="0A7B4867"/>
    <w:rsid w:val="0A840954"/>
    <w:rsid w:val="0A9928ED"/>
    <w:rsid w:val="0AAC56A0"/>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41487"/>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8F4CA1"/>
    <w:rsid w:val="14B932DA"/>
    <w:rsid w:val="14F216FE"/>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AE2BE7"/>
    <w:rsid w:val="1FED69B6"/>
    <w:rsid w:val="203C549D"/>
    <w:rsid w:val="2064678E"/>
    <w:rsid w:val="20DC1AB9"/>
    <w:rsid w:val="20DD6197"/>
    <w:rsid w:val="212631E0"/>
    <w:rsid w:val="21A53757"/>
    <w:rsid w:val="221236C6"/>
    <w:rsid w:val="22753573"/>
    <w:rsid w:val="22D7662C"/>
    <w:rsid w:val="23326B7F"/>
    <w:rsid w:val="2380045B"/>
    <w:rsid w:val="23BC04D2"/>
    <w:rsid w:val="23EF1892"/>
    <w:rsid w:val="24417432"/>
    <w:rsid w:val="2483647E"/>
    <w:rsid w:val="24A32D55"/>
    <w:rsid w:val="25292727"/>
    <w:rsid w:val="252E5CA9"/>
    <w:rsid w:val="254551A0"/>
    <w:rsid w:val="256C704D"/>
    <w:rsid w:val="256F7692"/>
    <w:rsid w:val="25BA2154"/>
    <w:rsid w:val="25C8773F"/>
    <w:rsid w:val="264A7253"/>
    <w:rsid w:val="265B12E7"/>
    <w:rsid w:val="26F0170C"/>
    <w:rsid w:val="27201D62"/>
    <w:rsid w:val="27286E73"/>
    <w:rsid w:val="27CF2642"/>
    <w:rsid w:val="27E777F5"/>
    <w:rsid w:val="27EA1D4C"/>
    <w:rsid w:val="27EA2E41"/>
    <w:rsid w:val="282459E2"/>
    <w:rsid w:val="283A7FE5"/>
    <w:rsid w:val="285F51FF"/>
    <w:rsid w:val="28DF2665"/>
    <w:rsid w:val="29072599"/>
    <w:rsid w:val="291029F3"/>
    <w:rsid w:val="29C37884"/>
    <w:rsid w:val="29CB58F0"/>
    <w:rsid w:val="2A053397"/>
    <w:rsid w:val="2A145E96"/>
    <w:rsid w:val="2A2131BB"/>
    <w:rsid w:val="2AA071CF"/>
    <w:rsid w:val="2AF5378F"/>
    <w:rsid w:val="2BB94DBF"/>
    <w:rsid w:val="2C6F314E"/>
    <w:rsid w:val="2CC206BE"/>
    <w:rsid w:val="2D1136DF"/>
    <w:rsid w:val="2D20606D"/>
    <w:rsid w:val="2DB87198"/>
    <w:rsid w:val="2DB93C54"/>
    <w:rsid w:val="2DF04AF1"/>
    <w:rsid w:val="2E3D144C"/>
    <w:rsid w:val="2E891204"/>
    <w:rsid w:val="2F3F0A28"/>
    <w:rsid w:val="2FA00AC9"/>
    <w:rsid w:val="2FBF7029"/>
    <w:rsid w:val="2FD0187F"/>
    <w:rsid w:val="2FD27414"/>
    <w:rsid w:val="2FFE4BB0"/>
    <w:rsid w:val="300E7B60"/>
    <w:rsid w:val="300F6E18"/>
    <w:rsid w:val="3012228A"/>
    <w:rsid w:val="30862F5F"/>
    <w:rsid w:val="314029C9"/>
    <w:rsid w:val="31C63837"/>
    <w:rsid w:val="31C82E39"/>
    <w:rsid w:val="32601BAD"/>
    <w:rsid w:val="329F6389"/>
    <w:rsid w:val="3389023A"/>
    <w:rsid w:val="33CB74FA"/>
    <w:rsid w:val="343642F2"/>
    <w:rsid w:val="343F3010"/>
    <w:rsid w:val="345D0A00"/>
    <w:rsid w:val="34713BFD"/>
    <w:rsid w:val="34C13589"/>
    <w:rsid w:val="352352A4"/>
    <w:rsid w:val="353369E3"/>
    <w:rsid w:val="35B21E0B"/>
    <w:rsid w:val="35E00D72"/>
    <w:rsid w:val="36965B9D"/>
    <w:rsid w:val="36C549FD"/>
    <w:rsid w:val="37A755DD"/>
    <w:rsid w:val="37F94FA0"/>
    <w:rsid w:val="380D3381"/>
    <w:rsid w:val="38115B1F"/>
    <w:rsid w:val="384F079E"/>
    <w:rsid w:val="385E3AC3"/>
    <w:rsid w:val="38761FFC"/>
    <w:rsid w:val="387D6B9E"/>
    <w:rsid w:val="38B75FF0"/>
    <w:rsid w:val="38D45016"/>
    <w:rsid w:val="38D90432"/>
    <w:rsid w:val="3914510A"/>
    <w:rsid w:val="3926770B"/>
    <w:rsid w:val="397C1B66"/>
    <w:rsid w:val="398D3668"/>
    <w:rsid w:val="39DA0497"/>
    <w:rsid w:val="3A4316A0"/>
    <w:rsid w:val="3A670ACE"/>
    <w:rsid w:val="3A893816"/>
    <w:rsid w:val="3A893B6D"/>
    <w:rsid w:val="3AD1763A"/>
    <w:rsid w:val="3B6716E3"/>
    <w:rsid w:val="3B6C6B2D"/>
    <w:rsid w:val="3C242659"/>
    <w:rsid w:val="3C96719C"/>
    <w:rsid w:val="3CA72BE8"/>
    <w:rsid w:val="3CF37F8C"/>
    <w:rsid w:val="3D137554"/>
    <w:rsid w:val="3D50356C"/>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4F6F42"/>
    <w:rsid w:val="417C1CE7"/>
    <w:rsid w:val="41900018"/>
    <w:rsid w:val="41944406"/>
    <w:rsid w:val="41CE128F"/>
    <w:rsid w:val="41DA6F12"/>
    <w:rsid w:val="42171FB1"/>
    <w:rsid w:val="42974CFB"/>
    <w:rsid w:val="434E6957"/>
    <w:rsid w:val="43BA0E31"/>
    <w:rsid w:val="43C15147"/>
    <w:rsid w:val="43E14DD2"/>
    <w:rsid w:val="43F800E9"/>
    <w:rsid w:val="443A7E4B"/>
    <w:rsid w:val="452F5B3A"/>
    <w:rsid w:val="454E7FD2"/>
    <w:rsid w:val="46061BDC"/>
    <w:rsid w:val="461404F8"/>
    <w:rsid w:val="46413018"/>
    <w:rsid w:val="464B7E04"/>
    <w:rsid w:val="466D6410"/>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D4187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00F3E"/>
    <w:rsid w:val="50D16158"/>
    <w:rsid w:val="50DB5F45"/>
    <w:rsid w:val="51025EB1"/>
    <w:rsid w:val="51141503"/>
    <w:rsid w:val="518D0ED5"/>
    <w:rsid w:val="525C687F"/>
    <w:rsid w:val="52F647F7"/>
    <w:rsid w:val="52F92565"/>
    <w:rsid w:val="537150D1"/>
    <w:rsid w:val="53D03877"/>
    <w:rsid w:val="542F73CA"/>
    <w:rsid w:val="5430786D"/>
    <w:rsid w:val="545A1D2A"/>
    <w:rsid w:val="54794322"/>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0812BC"/>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C0243"/>
    <w:rsid w:val="5E7E6D93"/>
    <w:rsid w:val="5ED44800"/>
    <w:rsid w:val="5F350BDE"/>
    <w:rsid w:val="5F61632C"/>
    <w:rsid w:val="5FA17648"/>
    <w:rsid w:val="5FE705CB"/>
    <w:rsid w:val="603D5080"/>
    <w:rsid w:val="609133AE"/>
    <w:rsid w:val="60C75DDC"/>
    <w:rsid w:val="60D0261B"/>
    <w:rsid w:val="618E3791"/>
    <w:rsid w:val="61947DCA"/>
    <w:rsid w:val="61A46A97"/>
    <w:rsid w:val="61D1382F"/>
    <w:rsid w:val="61F114A2"/>
    <w:rsid w:val="622B0ABA"/>
    <w:rsid w:val="62512BB4"/>
    <w:rsid w:val="625D7D1A"/>
    <w:rsid w:val="62DD7D21"/>
    <w:rsid w:val="637D586B"/>
    <w:rsid w:val="6396457B"/>
    <w:rsid w:val="63A5560B"/>
    <w:rsid w:val="63E9091F"/>
    <w:rsid w:val="64322AF9"/>
    <w:rsid w:val="64D6010D"/>
    <w:rsid w:val="64D82665"/>
    <w:rsid w:val="64E47C96"/>
    <w:rsid w:val="651E5741"/>
    <w:rsid w:val="658A4877"/>
    <w:rsid w:val="65A00902"/>
    <w:rsid w:val="65AC6EDD"/>
    <w:rsid w:val="65D97752"/>
    <w:rsid w:val="66071B42"/>
    <w:rsid w:val="66085536"/>
    <w:rsid w:val="66105BF7"/>
    <w:rsid w:val="66150023"/>
    <w:rsid w:val="6628010D"/>
    <w:rsid w:val="66282DC3"/>
    <w:rsid w:val="669B4528"/>
    <w:rsid w:val="66CC12D7"/>
    <w:rsid w:val="67134CEF"/>
    <w:rsid w:val="671F1ABD"/>
    <w:rsid w:val="67521A59"/>
    <w:rsid w:val="67C304AB"/>
    <w:rsid w:val="683F0658"/>
    <w:rsid w:val="689C6793"/>
    <w:rsid w:val="68DB0208"/>
    <w:rsid w:val="68FB170C"/>
    <w:rsid w:val="691B3D98"/>
    <w:rsid w:val="693748F0"/>
    <w:rsid w:val="69846A0E"/>
    <w:rsid w:val="69921681"/>
    <w:rsid w:val="69AA1366"/>
    <w:rsid w:val="69AD798C"/>
    <w:rsid w:val="69D005C0"/>
    <w:rsid w:val="69D80B96"/>
    <w:rsid w:val="6A58372B"/>
    <w:rsid w:val="6B2E40A7"/>
    <w:rsid w:val="6B68175F"/>
    <w:rsid w:val="6BFD799F"/>
    <w:rsid w:val="6C4A2E5A"/>
    <w:rsid w:val="6C7C4502"/>
    <w:rsid w:val="6C8138D0"/>
    <w:rsid w:val="6CEF0725"/>
    <w:rsid w:val="6D1C51ED"/>
    <w:rsid w:val="6D4B2604"/>
    <w:rsid w:val="6D8030E4"/>
    <w:rsid w:val="6E0E35C4"/>
    <w:rsid w:val="6E0F7A08"/>
    <w:rsid w:val="6E111767"/>
    <w:rsid w:val="6E3947F5"/>
    <w:rsid w:val="6E6E3938"/>
    <w:rsid w:val="6E9C74ED"/>
    <w:rsid w:val="6EF72976"/>
    <w:rsid w:val="6F795A80"/>
    <w:rsid w:val="6F7C1D2E"/>
    <w:rsid w:val="6F8E0407"/>
    <w:rsid w:val="6FDD069F"/>
    <w:rsid w:val="6FFB543D"/>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AD4D69"/>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623F9"/>
    <w:rsid w:val="770719AC"/>
    <w:rsid w:val="776526CC"/>
    <w:rsid w:val="7773527E"/>
    <w:rsid w:val="77A262E1"/>
    <w:rsid w:val="77B13C33"/>
    <w:rsid w:val="77ED6F44"/>
    <w:rsid w:val="77F45548"/>
    <w:rsid w:val="784E7CA6"/>
    <w:rsid w:val="78574801"/>
    <w:rsid w:val="7873527F"/>
    <w:rsid w:val="790A6425"/>
    <w:rsid w:val="790E2D96"/>
    <w:rsid w:val="791B54B2"/>
    <w:rsid w:val="793D5243"/>
    <w:rsid w:val="795A0A34"/>
    <w:rsid w:val="797339C3"/>
    <w:rsid w:val="79D57D57"/>
    <w:rsid w:val="79F00650"/>
    <w:rsid w:val="7A6242BF"/>
    <w:rsid w:val="7A794513"/>
    <w:rsid w:val="7AE952D2"/>
    <w:rsid w:val="7C7248A0"/>
    <w:rsid w:val="7C976D69"/>
    <w:rsid w:val="7CD752DA"/>
    <w:rsid w:val="7CDE40AB"/>
    <w:rsid w:val="7CF057E2"/>
    <w:rsid w:val="7D1548B5"/>
    <w:rsid w:val="7DBD664A"/>
    <w:rsid w:val="7DD95FC9"/>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7578</Words>
  <Characters>8476</Characters>
  <Lines>0</Lines>
  <Paragraphs>0</Paragraphs>
  <TotalTime>12</TotalTime>
  <ScaleCrop>false</ScaleCrop>
  <LinksUpToDate>false</LinksUpToDate>
  <CharactersWithSpaces>8487</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2024-11-18T10:06:55Z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ICV">
    <vt:lpwstr>D624B15633CD43C8BF9435464A96BF70</vt:lpwstr>
  </property>
</Properties>
</file>