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ind w:firstLine="1044" w:firstLineChars="200"/>
        <w:jc w:val="center"/>
        <w:rPr>
          <w:rFonts w:ascii="仿宋" w:hAnsi="仿宋" w:eastAsia="仿宋" w:cs="仿宋"/>
          <w:b/>
          <w:color w:val="auto"/>
          <w:kern w:val="0"/>
          <w:sz w:val="52"/>
          <w:szCs w:val="52"/>
        </w:rPr>
      </w:pPr>
      <w:bookmarkStart w:id="2" w:name="_GoBack"/>
      <w:bookmarkEnd w:id="2"/>
    </w:p>
    <w:p>
      <w:pPr>
        <w:spacing w:line="540" w:lineRule="exact"/>
        <w:ind w:firstLine="1044" w:firstLineChars="200"/>
        <w:jc w:val="center"/>
        <w:rPr>
          <w:rFonts w:ascii="仿宋" w:hAnsi="仿宋" w:eastAsia="仿宋" w:cs="仿宋"/>
          <w:b/>
          <w:color w:val="auto"/>
          <w:kern w:val="0"/>
          <w:sz w:val="52"/>
          <w:szCs w:val="52"/>
        </w:rPr>
      </w:pPr>
    </w:p>
    <w:p>
      <w:pPr>
        <w:spacing w:line="540" w:lineRule="exact"/>
        <w:ind w:firstLine="1044" w:firstLineChars="200"/>
        <w:jc w:val="center"/>
        <w:rPr>
          <w:rFonts w:ascii="仿宋" w:hAnsi="仿宋" w:eastAsia="仿宋" w:cs="仿宋"/>
          <w:b/>
          <w:color w:val="auto"/>
          <w:kern w:val="0"/>
          <w:sz w:val="52"/>
          <w:szCs w:val="52"/>
        </w:rPr>
      </w:pPr>
    </w:p>
    <w:p>
      <w:pPr>
        <w:spacing w:line="540" w:lineRule="exact"/>
        <w:ind w:firstLine="1044" w:firstLineChars="200"/>
        <w:rPr>
          <w:rFonts w:ascii="仿宋" w:hAnsi="仿宋" w:eastAsia="仿宋" w:cs="仿宋"/>
          <w:b/>
          <w:color w:val="auto"/>
          <w:kern w:val="0"/>
          <w:sz w:val="52"/>
          <w:szCs w:val="52"/>
        </w:rPr>
      </w:pPr>
    </w:p>
    <w:p>
      <w:pPr>
        <w:spacing w:line="540" w:lineRule="exact"/>
        <w:ind w:firstLine="1044" w:firstLineChars="200"/>
        <w:rPr>
          <w:rFonts w:ascii="仿宋" w:hAnsi="仿宋" w:eastAsia="仿宋" w:cs="仿宋"/>
          <w:b/>
          <w:color w:val="auto"/>
          <w:kern w:val="0"/>
          <w:sz w:val="52"/>
          <w:szCs w:val="52"/>
        </w:rPr>
      </w:pPr>
    </w:p>
    <w:p>
      <w:pPr>
        <w:spacing w:line="540" w:lineRule="exact"/>
        <w:ind w:firstLine="1044" w:firstLineChars="200"/>
        <w:jc w:val="center"/>
        <w:rPr>
          <w:rFonts w:ascii="仿宋" w:hAnsi="仿宋" w:eastAsia="仿宋" w:cs="仿宋"/>
          <w:b/>
          <w:color w:val="auto"/>
          <w:kern w:val="0"/>
          <w:sz w:val="52"/>
          <w:szCs w:val="52"/>
        </w:rPr>
      </w:pPr>
    </w:p>
    <w:p>
      <w:pPr>
        <w:spacing w:line="540" w:lineRule="exact"/>
        <w:ind w:firstLine="964" w:firstLineChars="200"/>
        <w:jc w:val="center"/>
        <w:rPr>
          <w:rFonts w:ascii="黑体" w:hAnsi="黑体" w:eastAsia="黑体" w:cs="黑体"/>
          <w:b/>
          <w:color w:val="auto"/>
          <w:kern w:val="0"/>
          <w:sz w:val="48"/>
          <w:szCs w:val="48"/>
        </w:rPr>
      </w:pPr>
      <w:r>
        <w:rPr>
          <w:rFonts w:hint="eastAsia" w:ascii="黑体" w:hAnsi="黑体" w:eastAsia="黑体" w:cs="黑体"/>
          <w:b/>
          <w:color w:val="auto"/>
          <w:kern w:val="0"/>
          <w:sz w:val="48"/>
          <w:szCs w:val="48"/>
        </w:rPr>
        <w:t>库尔勒市水利局部门单位整体支出绩效自评报告</w:t>
      </w:r>
    </w:p>
    <w:p>
      <w:pPr>
        <w:spacing w:line="540" w:lineRule="exact"/>
        <w:ind w:firstLine="1044" w:firstLineChars="200"/>
        <w:jc w:val="center"/>
        <w:rPr>
          <w:rFonts w:ascii="仿宋" w:hAnsi="仿宋" w:eastAsia="仿宋" w:cs="仿宋"/>
          <w:b/>
          <w:color w:val="auto"/>
          <w:kern w:val="0"/>
          <w:sz w:val="52"/>
          <w:szCs w:val="52"/>
        </w:rPr>
      </w:pPr>
    </w:p>
    <w:p>
      <w:pPr>
        <w:spacing w:line="540" w:lineRule="exact"/>
        <w:ind w:firstLine="720" w:firstLineChars="200"/>
        <w:jc w:val="center"/>
        <w:rPr>
          <w:rFonts w:ascii="黑体" w:hAnsi="黑体" w:eastAsia="黑体" w:cs="黑体"/>
          <w:color w:val="auto"/>
          <w:kern w:val="0"/>
          <w:sz w:val="36"/>
          <w:szCs w:val="36"/>
        </w:rPr>
      </w:pPr>
      <w:r>
        <w:rPr>
          <w:rFonts w:hint="eastAsia" w:ascii="黑体" w:hAnsi="黑体" w:eastAsia="黑体" w:cs="黑体"/>
          <w:color w:val="auto"/>
          <w:kern w:val="0"/>
          <w:sz w:val="36"/>
          <w:szCs w:val="36"/>
        </w:rPr>
        <w:t>（2023年度）</w:t>
      </w:r>
    </w:p>
    <w:p>
      <w:pPr>
        <w:spacing w:line="540" w:lineRule="exact"/>
        <w:ind w:firstLine="600" w:firstLineChars="200"/>
        <w:jc w:val="center"/>
        <w:rPr>
          <w:rFonts w:ascii="仿宋" w:hAnsi="仿宋" w:eastAsia="仿宋" w:cs="仿宋"/>
          <w:color w:val="auto"/>
          <w:kern w:val="0"/>
          <w:sz w:val="30"/>
          <w:szCs w:val="30"/>
        </w:rPr>
      </w:pPr>
    </w:p>
    <w:p>
      <w:pPr>
        <w:spacing w:line="540" w:lineRule="exact"/>
        <w:ind w:firstLine="600" w:firstLineChars="200"/>
        <w:jc w:val="center"/>
        <w:rPr>
          <w:rFonts w:ascii="仿宋" w:hAnsi="仿宋" w:eastAsia="仿宋" w:cs="仿宋"/>
          <w:color w:val="auto"/>
          <w:kern w:val="0"/>
          <w:sz w:val="30"/>
          <w:szCs w:val="30"/>
        </w:rPr>
      </w:pPr>
    </w:p>
    <w:p>
      <w:pPr>
        <w:spacing w:line="540" w:lineRule="exact"/>
        <w:ind w:firstLine="600" w:firstLineChars="200"/>
        <w:jc w:val="center"/>
        <w:rPr>
          <w:rFonts w:ascii="仿宋" w:hAnsi="仿宋" w:eastAsia="仿宋" w:cs="仿宋"/>
          <w:color w:val="auto"/>
          <w:kern w:val="0"/>
          <w:sz w:val="30"/>
          <w:szCs w:val="30"/>
        </w:rPr>
      </w:pPr>
    </w:p>
    <w:p>
      <w:pPr>
        <w:spacing w:line="540" w:lineRule="exact"/>
        <w:ind w:firstLine="600" w:firstLineChars="200"/>
        <w:jc w:val="center"/>
        <w:rPr>
          <w:rFonts w:ascii="仿宋" w:hAnsi="仿宋" w:eastAsia="仿宋" w:cs="仿宋"/>
          <w:color w:val="auto"/>
          <w:kern w:val="0"/>
          <w:sz w:val="30"/>
          <w:szCs w:val="30"/>
        </w:rPr>
      </w:pPr>
    </w:p>
    <w:p>
      <w:pPr>
        <w:spacing w:line="540" w:lineRule="exact"/>
        <w:ind w:firstLine="600" w:firstLineChars="200"/>
        <w:jc w:val="center"/>
        <w:rPr>
          <w:rFonts w:ascii="仿宋" w:hAnsi="仿宋" w:eastAsia="仿宋" w:cs="仿宋"/>
          <w:color w:val="auto"/>
          <w:kern w:val="0"/>
          <w:sz w:val="30"/>
          <w:szCs w:val="30"/>
        </w:rPr>
      </w:pPr>
    </w:p>
    <w:p>
      <w:pPr>
        <w:spacing w:line="540" w:lineRule="exact"/>
        <w:ind w:firstLine="600" w:firstLineChars="200"/>
        <w:rPr>
          <w:rFonts w:ascii="仿宋" w:hAnsi="仿宋" w:eastAsia="仿宋" w:cs="仿宋"/>
          <w:color w:val="auto"/>
          <w:kern w:val="0"/>
          <w:sz w:val="30"/>
          <w:szCs w:val="30"/>
        </w:rPr>
      </w:pPr>
    </w:p>
    <w:p>
      <w:pPr>
        <w:spacing w:line="700" w:lineRule="exact"/>
        <w:ind w:firstLine="720" w:firstLineChars="200"/>
        <w:jc w:val="left"/>
        <w:rPr>
          <w:rFonts w:ascii="仿宋" w:hAnsi="仿宋" w:eastAsia="仿宋" w:cs="仿宋"/>
          <w:color w:val="auto"/>
          <w:kern w:val="0"/>
          <w:sz w:val="36"/>
          <w:szCs w:val="36"/>
        </w:rPr>
      </w:pPr>
      <w:r>
        <w:rPr>
          <w:rFonts w:hint="eastAsia" w:ascii="仿宋" w:hAnsi="仿宋" w:eastAsia="仿宋" w:cs="仿宋"/>
          <w:color w:val="auto"/>
          <w:kern w:val="0"/>
          <w:sz w:val="36"/>
          <w:szCs w:val="36"/>
        </w:rPr>
        <w:t xml:space="preserve">  </w:t>
      </w:r>
    </w:p>
    <w:p>
      <w:pPr>
        <w:spacing w:line="700" w:lineRule="exact"/>
        <w:ind w:firstLine="720" w:firstLineChars="200"/>
        <w:jc w:val="left"/>
        <w:rPr>
          <w:rFonts w:ascii="仿宋" w:hAnsi="仿宋" w:eastAsia="仿宋" w:cs="仿宋"/>
          <w:color w:val="auto"/>
          <w:kern w:val="0"/>
          <w:sz w:val="36"/>
          <w:szCs w:val="36"/>
        </w:rPr>
      </w:pPr>
      <w:r>
        <w:rPr>
          <w:rFonts w:hint="eastAsia" w:ascii="仿宋" w:hAnsi="仿宋" w:eastAsia="仿宋" w:cs="仿宋"/>
          <w:color w:val="auto"/>
          <w:kern w:val="0"/>
          <w:sz w:val="36"/>
          <w:szCs w:val="36"/>
        </w:rPr>
        <w:t>部门单位名称（公章）：库尔勒市水利局</w:t>
      </w:r>
    </w:p>
    <w:p>
      <w:pPr>
        <w:spacing w:line="700" w:lineRule="exact"/>
        <w:ind w:firstLine="720" w:firstLineChars="200"/>
        <w:jc w:val="left"/>
        <w:rPr>
          <w:rFonts w:ascii="仿宋" w:hAnsi="仿宋" w:eastAsia="仿宋" w:cs="仿宋"/>
          <w:color w:val="auto"/>
          <w:kern w:val="0"/>
          <w:sz w:val="36"/>
          <w:szCs w:val="36"/>
        </w:rPr>
      </w:pPr>
      <w:r>
        <w:rPr>
          <w:rFonts w:hint="eastAsia" w:ascii="仿宋" w:hAnsi="仿宋" w:eastAsia="仿宋" w:cs="仿宋"/>
          <w:color w:val="auto"/>
          <w:kern w:val="0"/>
          <w:sz w:val="36"/>
          <w:szCs w:val="36"/>
        </w:rPr>
        <w:t>填报时间：2024年4月28日</w:t>
      </w:r>
    </w:p>
    <w:p>
      <w:pPr>
        <w:ind w:firstLine="720" w:firstLineChars="200"/>
        <w:rPr>
          <w:rFonts w:hAnsi="宋体" w:eastAsia="仿宋_GB2312" w:cs="宋体"/>
          <w:color w:val="auto"/>
          <w:kern w:val="0"/>
          <w:sz w:val="36"/>
          <w:szCs w:val="36"/>
        </w:rPr>
      </w:pPr>
      <w:r>
        <w:rPr>
          <w:rFonts w:hAnsi="宋体" w:eastAsia="仿宋_GB2312" w:cs="宋体"/>
          <w:color w:val="auto"/>
          <w:kern w:val="0"/>
          <w:sz w:val="36"/>
          <w:szCs w:val="36"/>
        </w:rPr>
        <w:br w:type="page"/>
      </w:r>
    </w:p>
    <w:p>
      <w:pPr>
        <w:spacing w:line="600" w:lineRule="exact"/>
        <w:ind w:firstLine="640" w:firstLineChars="200"/>
        <w:rPr>
          <w:rFonts w:ascii="黑体" w:hAnsi="黑体" w:eastAsia="黑体" w:cs="黑体"/>
          <w:color w:val="auto"/>
          <w:sz w:val="32"/>
          <w:szCs w:val="32"/>
        </w:rPr>
      </w:pPr>
      <w:r>
        <w:rPr>
          <w:rFonts w:hint="eastAsia" w:ascii="黑体" w:hAnsi="黑体" w:eastAsia="黑体" w:cs="黑体"/>
          <w:color w:val="auto"/>
          <w:sz w:val="32"/>
          <w:szCs w:val="32"/>
        </w:rPr>
        <w:t>一、基本概况</w:t>
      </w:r>
    </w:p>
    <w:p>
      <w:pPr>
        <w:spacing w:line="600" w:lineRule="exact"/>
        <w:ind w:firstLine="624" w:firstLineChars="200"/>
        <w:rPr>
          <w:rStyle w:val="8"/>
          <w:rFonts w:ascii="黑体" w:hAnsi="黑体" w:eastAsia="黑体" w:cs="黑体"/>
          <w:b w:val="0"/>
          <w:color w:val="auto"/>
          <w:spacing w:val="-4"/>
          <w:sz w:val="32"/>
          <w:szCs w:val="32"/>
        </w:rPr>
      </w:pPr>
      <w:r>
        <w:rPr>
          <w:rStyle w:val="8"/>
          <w:rFonts w:hint="eastAsia" w:ascii="黑体" w:hAnsi="黑体" w:eastAsia="黑体" w:cs="黑体"/>
          <w:b w:val="0"/>
          <w:color w:val="auto"/>
          <w:spacing w:val="-4"/>
          <w:sz w:val="32"/>
          <w:szCs w:val="32"/>
        </w:rPr>
        <w:t>(一)部门单位基本情况</w:t>
      </w:r>
    </w:p>
    <w:p>
      <w:pPr>
        <w:spacing w:line="600" w:lineRule="exact"/>
        <w:ind w:firstLine="640" w:firstLineChars="200"/>
        <w:jc w:val="left"/>
        <w:rPr>
          <w:rFonts w:ascii="黑体" w:hAnsi="黑体" w:eastAsia="黑体" w:cs="黑体"/>
          <w:bCs/>
          <w:color w:val="auto"/>
          <w:sz w:val="32"/>
          <w:szCs w:val="32"/>
        </w:rPr>
      </w:pPr>
      <w:r>
        <w:rPr>
          <w:rFonts w:hint="eastAsia" w:ascii="黑体" w:hAnsi="黑体" w:eastAsia="黑体" w:cs="黑体"/>
          <w:bCs/>
          <w:color w:val="auto"/>
          <w:sz w:val="32"/>
          <w:szCs w:val="32"/>
        </w:rPr>
        <w:t>1.部门职能</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（一）负责保障水资源的合理开发利用。拟订库尔勒市水利发展规划和政策，起草相关地方性法规和政府规章草案，组织编制水资源发展规划，重要河流湖泊流域综合规划，防洪规划等重大水利规划。</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二）负责生活、生产经营和生态环境用水的统筹和保障。组织实施最严格水资源管理制度，实施水资源的统一监督管理，拟订库尔勒市水资源中长期供求规划、水量分配方案并监督实施，负责重要流城、区域以及重大调水工程的水资源调度。组织实施取水许可、水资源论证和防洪论证制度；指导开展水资源有偿使用工作。指导水利行业供水和各乡镇场供水工作。</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三）按规定拟定水利工程建设有关制度并组织实施，负责提出水利固定资产投资规模、方向、具体安排建议并组织实施，按规定权限审批、核准库尔勒市规划内和年度计划规模内固定资产投资项目，提出水利资金安排建议并负责项目实施的监督管理。</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（四）指导水资源保护工作。组织编制水资源保护规划。指导地下水开发利用和地下水资源管理保护。组织指导地下水超采区综合治理。</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（五）负责农村节约用水工作。拟订农村节约用水政策，组织编制节约用水规划并监督实施。组织实施用水总量控制等管理制度，指导和推动农村节水型社会建设工作。</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（六）指导水利设施、水域及其岸线的管理、保护与综合利用。组织指导水利设施网络建设。</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（七）指导监督水利工程建设与运行管理。组织实施重要水利工程的建设与运行管理。指导监督水利工程安全运行。</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（八）负责水土保持工作。拟订水土保持规划并监督实施，组织水土流失的综合防治、监测预报并定期公告。负责建设项目水土保持监督管理工作，指导重点水土保持建设项目的实施。</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（九）指导农村水利工作。组织开展大中型灌排工程建设与改造。指导农村饮水安全工程建设管理工作，指导节水灌溉有关工作。指导农村水利改革创新和社会化服务体系建设。</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（十）负责重大涉水违法事件的查处，协调和仲裁水事纠纷，指导组织水政监察和水行政执法。依法负责水利行业安全生产工作。指导水利建设市场的监督管理，组织实施水利工程建设的监督。</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（十一）开展水利科技工作。组织开展水利行业质量监督工作，拟订水利地方行业的技术标准、规程规范并监督实施。</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十二）负责落实综合防灾减灾规划相关要求，组织编制洪水干旱灾害防治规划和防护标准并指导实施。承担水情旱情监测预警工作。组织编制重要河流湖泊和重要水工程的防御洪水抗御旱灾调度及应急水量调度方案，按程序报批并组织实施。</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（十三）完成库尔勒市党委、市人民政府交办的其他任务。</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十四）职能转变。库尔勒市水利局应切实加强水资源合理利用、优化配置和节约保护。坚持节水优先，从增加供给转向更加重视需求管理，严格控制用水总量和提高用水效率。坚持保护优先，加强水资源、水域和水利工程的管理保护，维护河湖健康美丽。坚持统筹兼顾，保障合理用水需求和水资源的可持续利用，为经济社会发展提供水安全保障。</w:t>
      </w:r>
    </w:p>
    <w:p>
      <w:pPr>
        <w:spacing w:line="560" w:lineRule="exact"/>
        <w:ind w:firstLine="640" w:firstLineChars="200"/>
        <w:rPr>
          <w:rFonts w:ascii="仿宋" w:hAnsi="仿宋" w:eastAsia="仿宋" w:cs="仿宋"/>
          <w:bCs/>
          <w:color w:val="auto"/>
          <w:sz w:val="32"/>
          <w:szCs w:val="32"/>
        </w:rPr>
      </w:pPr>
      <w:r>
        <w:rPr>
          <w:rFonts w:hint="eastAsia" w:ascii="仿宋" w:hAnsi="仿宋" w:eastAsia="仿宋" w:cs="仿宋"/>
          <w:color w:val="auto"/>
          <w:sz w:val="32"/>
          <w:szCs w:val="32"/>
        </w:rPr>
        <w:t>（十五）与有关部门的职能分工。库尔勒市水利局负责农村节约用水工作，库尔勒市住建局负责城市节约用水工作。</w:t>
      </w:r>
    </w:p>
    <w:p>
      <w:pPr>
        <w:spacing w:line="600" w:lineRule="exact"/>
        <w:ind w:firstLine="640" w:firstLineChars="200"/>
        <w:jc w:val="left"/>
        <w:rPr>
          <w:rFonts w:ascii="黑体" w:hAnsi="黑体" w:eastAsia="黑体" w:cs="黑体"/>
          <w:bCs/>
          <w:color w:val="auto"/>
          <w:sz w:val="32"/>
          <w:szCs w:val="32"/>
        </w:rPr>
      </w:pPr>
      <w:r>
        <w:rPr>
          <w:rFonts w:hint="eastAsia" w:ascii="黑体" w:hAnsi="黑体" w:eastAsia="黑体" w:cs="黑体"/>
          <w:bCs/>
          <w:color w:val="auto"/>
          <w:sz w:val="32"/>
          <w:szCs w:val="32"/>
        </w:rPr>
        <w:t>2.部门机构人员构成情况</w:t>
      </w:r>
    </w:p>
    <w:p>
      <w:pPr>
        <w:pStyle w:val="5"/>
        <w:spacing w:before="40" w:beforeAutospacing="0" w:after="0" w:afterAutospacing="0" w:line="600" w:lineRule="exact"/>
        <w:ind w:firstLine="640" w:firstLineChars="200"/>
        <w:jc w:val="both"/>
        <w:rPr>
          <w:rFonts w:ascii="仿宋" w:hAnsi="仿宋" w:eastAsia="仿宋" w:cs="仿宋"/>
          <w:color w:val="auto"/>
          <w:kern w:val="2"/>
          <w:sz w:val="32"/>
          <w:szCs w:val="32"/>
        </w:rPr>
      </w:pPr>
      <w:r>
        <w:rPr>
          <w:rFonts w:hint="eastAsia" w:ascii="仿宋" w:hAnsi="仿宋" w:eastAsia="仿宋" w:cs="仿宋"/>
          <w:color w:val="auto"/>
          <w:kern w:val="2"/>
          <w:sz w:val="32"/>
          <w:szCs w:val="32"/>
        </w:rPr>
        <w:t>库尔勒市水利局编制数77人，实有人数102人，其中：在职58人；退休44人；离休0人。</w:t>
      </w:r>
    </w:p>
    <w:p>
      <w:pPr>
        <w:spacing w:line="600" w:lineRule="exact"/>
        <w:ind w:firstLine="624" w:firstLineChars="200"/>
        <w:rPr>
          <w:rStyle w:val="8"/>
          <w:rFonts w:ascii="黑体" w:hAnsi="黑体" w:eastAsia="黑体" w:cs="黑体"/>
          <w:b w:val="0"/>
          <w:color w:val="auto"/>
          <w:spacing w:val="-4"/>
          <w:sz w:val="32"/>
          <w:szCs w:val="32"/>
        </w:rPr>
      </w:pPr>
      <w:r>
        <w:rPr>
          <w:rStyle w:val="8"/>
          <w:rFonts w:hint="eastAsia" w:ascii="黑体" w:hAnsi="黑体" w:eastAsia="黑体" w:cs="黑体"/>
          <w:b w:val="0"/>
          <w:color w:val="auto"/>
          <w:spacing w:val="-4"/>
          <w:sz w:val="32"/>
          <w:szCs w:val="32"/>
        </w:rPr>
        <w:t>(二)部门单位年度重点工作</w:t>
      </w:r>
    </w:p>
    <w:p>
      <w:pPr>
        <w:spacing w:line="600" w:lineRule="exact"/>
        <w:ind w:firstLine="640" w:firstLineChars="200"/>
        <w:jc w:val="left"/>
        <w:rPr>
          <w:rFonts w:ascii="黑体" w:hAnsi="黑体" w:eastAsia="黑体" w:cs="黑体"/>
          <w:bCs/>
          <w:color w:val="auto"/>
          <w:sz w:val="32"/>
          <w:szCs w:val="32"/>
        </w:rPr>
      </w:pPr>
      <w:r>
        <w:rPr>
          <w:rFonts w:hint="eastAsia" w:ascii="黑体" w:hAnsi="黑体" w:eastAsia="黑体" w:cs="黑体"/>
          <w:bCs/>
          <w:color w:val="auto"/>
          <w:sz w:val="32"/>
          <w:szCs w:val="32"/>
        </w:rPr>
        <w:t>1.2023年度工作计划</w:t>
      </w:r>
    </w:p>
    <w:p>
      <w:pPr>
        <w:pStyle w:val="5"/>
        <w:spacing w:before="40" w:beforeAutospacing="0" w:after="0" w:afterAutospacing="0" w:line="600" w:lineRule="exact"/>
        <w:ind w:firstLine="640" w:firstLineChars="200"/>
        <w:jc w:val="both"/>
        <w:rPr>
          <w:rFonts w:ascii="仿宋" w:hAnsi="仿宋" w:eastAsia="仿宋" w:cs="仿宋"/>
          <w:color w:val="auto"/>
          <w:kern w:val="2"/>
          <w:sz w:val="32"/>
          <w:szCs w:val="32"/>
        </w:rPr>
      </w:pPr>
      <w:r>
        <w:rPr>
          <w:rFonts w:hint="eastAsia" w:ascii="仿宋" w:hAnsi="仿宋" w:eastAsia="仿宋" w:cs="仿宋"/>
          <w:color w:val="auto"/>
          <w:kern w:val="2"/>
          <w:sz w:val="32"/>
          <w:szCs w:val="32"/>
        </w:rPr>
        <w:t>2023年，库尔勒市水利局将持续深入贯彻落实党的二十大精神，严格遵循“节水优先、空间均衡、系统治理、两手发力”的治水思路，坚守水资源管理三条红线，以“强监管、补短板”为抓手，进一步推进水利基础设施建设，促进水利高质量发展。</w:t>
      </w:r>
    </w:p>
    <w:p>
      <w:pPr>
        <w:spacing w:line="600" w:lineRule="exact"/>
        <w:ind w:firstLine="640" w:firstLineChars="200"/>
        <w:jc w:val="left"/>
        <w:rPr>
          <w:rFonts w:ascii="黑体" w:hAnsi="黑体" w:eastAsia="黑体" w:cs="黑体"/>
          <w:bCs/>
          <w:color w:val="auto"/>
          <w:sz w:val="32"/>
          <w:szCs w:val="32"/>
        </w:rPr>
      </w:pPr>
      <w:r>
        <w:rPr>
          <w:rFonts w:hint="eastAsia" w:ascii="黑体" w:hAnsi="黑体" w:eastAsia="黑体" w:cs="黑体"/>
          <w:bCs/>
          <w:color w:val="auto"/>
          <w:sz w:val="32"/>
          <w:szCs w:val="32"/>
        </w:rPr>
        <w:t>一、推进水利项目建设</w:t>
      </w:r>
    </w:p>
    <w:p>
      <w:pPr>
        <w:pStyle w:val="5"/>
        <w:spacing w:before="40" w:beforeAutospacing="0" w:after="0" w:afterAutospacing="0" w:line="600" w:lineRule="exact"/>
        <w:ind w:firstLine="640" w:firstLineChars="200"/>
        <w:jc w:val="both"/>
        <w:rPr>
          <w:rFonts w:ascii="仿宋" w:hAnsi="仿宋" w:eastAsia="仿宋" w:cs="仿宋"/>
          <w:color w:val="auto"/>
          <w:kern w:val="2"/>
          <w:sz w:val="32"/>
          <w:szCs w:val="32"/>
        </w:rPr>
      </w:pPr>
      <w:r>
        <w:rPr>
          <w:rFonts w:ascii="仿宋" w:hAnsi="仿宋" w:eastAsia="仿宋" w:cs="仿宋"/>
          <w:color w:val="auto"/>
          <w:kern w:val="2"/>
          <w:sz w:val="32"/>
          <w:szCs w:val="32"/>
        </w:rPr>
        <w:t>2023年计划实施6项水利工程项目，其中续建4个：库尔勒市库尔楚水库工程、库尔勒市末级渠系渠道防渗配套建筑物及自动化设施工程、库尔勒市城乡供水一体化农村饮水安全工程、库尔勒市孔雀河两岸（包头湖段）生态治理工程；新建2个：巴州博斯腾灌区“十四五”续建配套与现代化改造库尔勒市片区工程（2023年）、2023年库尔勒市农村饮水工程维修养护项目；项目总投资10.47亿元</w:t>
      </w:r>
      <w:r>
        <w:rPr>
          <w:rFonts w:hint="eastAsia" w:ascii="仿宋" w:hAnsi="仿宋" w:eastAsia="仿宋" w:cs="仿宋"/>
          <w:color w:val="auto"/>
          <w:kern w:val="2"/>
          <w:sz w:val="32"/>
          <w:szCs w:val="32"/>
        </w:rPr>
        <w:t>，</w:t>
      </w:r>
      <w:r>
        <w:rPr>
          <w:rFonts w:ascii="仿宋" w:hAnsi="仿宋" w:eastAsia="仿宋" w:cs="仿宋"/>
          <w:color w:val="auto"/>
          <w:kern w:val="2"/>
          <w:sz w:val="32"/>
          <w:szCs w:val="32"/>
        </w:rPr>
        <w:t>2023年计划完成投资6.48亿元。</w:t>
      </w:r>
    </w:p>
    <w:p>
      <w:pPr>
        <w:pStyle w:val="5"/>
        <w:spacing w:before="40" w:beforeAutospacing="0" w:after="0" w:afterAutospacing="0" w:line="600" w:lineRule="exact"/>
        <w:ind w:firstLine="640" w:firstLineChars="200"/>
        <w:jc w:val="both"/>
        <w:rPr>
          <w:rFonts w:ascii="仿宋" w:hAnsi="仿宋" w:eastAsia="仿宋" w:cs="仿宋"/>
          <w:color w:val="auto"/>
          <w:kern w:val="2"/>
          <w:sz w:val="32"/>
          <w:szCs w:val="32"/>
        </w:rPr>
      </w:pPr>
      <w:r>
        <w:rPr>
          <w:rFonts w:ascii="仿宋" w:hAnsi="仿宋" w:eastAsia="仿宋" w:cs="仿宋"/>
          <w:color w:val="auto"/>
          <w:kern w:val="2"/>
          <w:sz w:val="32"/>
          <w:szCs w:val="32"/>
        </w:rPr>
        <w:t>（一）续建项目</w:t>
      </w:r>
    </w:p>
    <w:p>
      <w:pPr>
        <w:pStyle w:val="5"/>
        <w:spacing w:before="40" w:beforeAutospacing="0" w:after="0" w:afterAutospacing="0" w:line="600" w:lineRule="exact"/>
        <w:ind w:firstLine="640" w:firstLineChars="200"/>
        <w:jc w:val="both"/>
        <w:rPr>
          <w:rFonts w:ascii="仿宋" w:hAnsi="仿宋" w:eastAsia="仿宋" w:cs="仿宋"/>
          <w:color w:val="auto"/>
          <w:kern w:val="2"/>
          <w:sz w:val="32"/>
          <w:szCs w:val="32"/>
        </w:rPr>
      </w:pPr>
      <w:r>
        <w:rPr>
          <w:rFonts w:ascii="仿宋" w:hAnsi="仿宋" w:eastAsia="仿宋" w:cs="仿宋"/>
          <w:color w:val="auto"/>
          <w:kern w:val="2"/>
          <w:sz w:val="32"/>
          <w:szCs w:val="32"/>
        </w:rPr>
        <w:t>1、库尔勒市库尔楚水库工程，工程主要由拦河大坝、溢洪道、导流兼泄洪冲沙洞和灌溉放水隧洞等组成，总库容为927.8万m3，最大坝高61m。总投资44252.42万元。资金来源为中央预算内和专项债。该工程于2022年3月31日正式开工，已完成总工程量的约30%。已完成投资12639万元。计划于2023年2月15日前复工，2023年计划完成到总工程量的70%。年内计划完成投资18000万元。</w:t>
      </w:r>
    </w:p>
    <w:p>
      <w:pPr>
        <w:pStyle w:val="5"/>
        <w:spacing w:before="40" w:beforeAutospacing="0" w:after="0" w:afterAutospacing="0" w:line="600" w:lineRule="exact"/>
        <w:ind w:firstLine="640" w:firstLineChars="200"/>
        <w:jc w:val="both"/>
        <w:rPr>
          <w:rFonts w:ascii="仿宋" w:hAnsi="仿宋" w:eastAsia="仿宋" w:cs="仿宋"/>
          <w:color w:val="auto"/>
          <w:kern w:val="2"/>
          <w:sz w:val="32"/>
          <w:szCs w:val="32"/>
        </w:rPr>
      </w:pPr>
      <w:r>
        <w:rPr>
          <w:rFonts w:ascii="仿宋" w:hAnsi="仿宋" w:eastAsia="仿宋" w:cs="仿宋"/>
          <w:color w:val="auto"/>
          <w:kern w:val="2"/>
          <w:sz w:val="32"/>
          <w:szCs w:val="32"/>
        </w:rPr>
        <w:t>库尔勒市末级渠系渠道防渗配套建筑物及自动化设施工程，计划库尔勒市各乡镇场改建防渗渠260公里及配套计量设施，总投资30325.3万元。资金来源为银行贷款。该工程分期实施，铁克其乡2022年7月2日开工建设，已完成工程量30%；普惠干渠抢修工程、EPC标段已完成招投标工作。已完成投资2050万元。计划2023年3月底复工，2023年11月底完成建设，完成投资18275万元。</w:t>
      </w:r>
    </w:p>
    <w:p>
      <w:pPr>
        <w:pStyle w:val="5"/>
        <w:spacing w:before="40" w:beforeAutospacing="0" w:after="0" w:afterAutospacing="0" w:line="600" w:lineRule="exact"/>
        <w:ind w:firstLine="640" w:firstLineChars="200"/>
        <w:jc w:val="both"/>
        <w:rPr>
          <w:rFonts w:ascii="仿宋" w:hAnsi="仿宋" w:eastAsia="仿宋" w:cs="仿宋"/>
          <w:color w:val="auto"/>
          <w:kern w:val="2"/>
          <w:sz w:val="32"/>
          <w:szCs w:val="32"/>
        </w:rPr>
      </w:pPr>
      <w:r>
        <w:rPr>
          <w:rFonts w:ascii="仿宋" w:hAnsi="仿宋" w:eastAsia="仿宋" w:cs="仿宋"/>
          <w:color w:val="auto"/>
          <w:kern w:val="2"/>
          <w:sz w:val="32"/>
          <w:szCs w:val="32"/>
        </w:rPr>
        <w:t>3、库尔勒市城乡供水一体化农村饮水安全工程，计划对阿瓦提乡、哈拉玉宫乡、西尼尔镇片区实施城乡供水一体化工程，改造供水管网461.54km，总投资为14989.44万元。资金来源为银行贷款。该工程2022年7月25日开工建设，已完成总体进度13%。已完成投资1537万元。计划2023年3月底复工，2023年11月底完成建设，完成投资13425万元。</w:t>
      </w:r>
    </w:p>
    <w:p>
      <w:pPr>
        <w:pStyle w:val="5"/>
        <w:spacing w:before="40" w:beforeAutospacing="0" w:after="0" w:afterAutospacing="0" w:line="600" w:lineRule="exact"/>
        <w:ind w:firstLine="640" w:firstLineChars="200"/>
        <w:jc w:val="both"/>
        <w:rPr>
          <w:rFonts w:ascii="仿宋" w:hAnsi="仿宋" w:eastAsia="仿宋" w:cs="仿宋"/>
          <w:color w:val="auto"/>
          <w:kern w:val="2"/>
          <w:sz w:val="32"/>
          <w:szCs w:val="32"/>
        </w:rPr>
      </w:pPr>
      <w:r>
        <w:rPr>
          <w:rFonts w:ascii="仿宋" w:hAnsi="仿宋" w:eastAsia="仿宋" w:cs="仿宋"/>
          <w:color w:val="auto"/>
          <w:kern w:val="2"/>
          <w:sz w:val="32"/>
          <w:szCs w:val="32"/>
        </w:rPr>
        <w:t>4、库尔勒市孔雀河两岸（包头湖段）生态治理工程，计划孔雀河包头湖段新建橡胶坝2座、堤防道路23.73km及围栏20.90km，总投资2895.42万元。资金来源为银行贷款。该工程于2022年12月21日完成招投标，计划2023年3月底复工，2023年11月底完成建设，完成投资2895万元。</w:t>
      </w:r>
    </w:p>
    <w:p>
      <w:pPr>
        <w:pStyle w:val="5"/>
        <w:spacing w:before="40" w:beforeAutospacing="0" w:after="0" w:afterAutospacing="0" w:line="600" w:lineRule="exact"/>
        <w:ind w:firstLine="640" w:firstLineChars="200"/>
        <w:jc w:val="both"/>
        <w:rPr>
          <w:rFonts w:ascii="仿宋" w:hAnsi="仿宋" w:eastAsia="仿宋" w:cs="仿宋"/>
          <w:color w:val="auto"/>
          <w:kern w:val="2"/>
          <w:sz w:val="32"/>
          <w:szCs w:val="32"/>
        </w:rPr>
      </w:pPr>
      <w:r>
        <w:rPr>
          <w:rFonts w:hint="eastAsia" w:ascii="仿宋" w:hAnsi="仿宋" w:eastAsia="仿宋" w:cs="仿宋"/>
          <w:color w:val="auto"/>
          <w:kern w:val="2"/>
          <w:sz w:val="32"/>
          <w:szCs w:val="32"/>
        </w:rPr>
        <w:t>（二）新建项目</w:t>
      </w:r>
    </w:p>
    <w:p>
      <w:pPr>
        <w:pStyle w:val="5"/>
        <w:spacing w:before="40" w:beforeAutospacing="0" w:after="0" w:afterAutospacing="0" w:line="600" w:lineRule="exact"/>
        <w:ind w:firstLine="640" w:firstLineChars="200"/>
        <w:jc w:val="both"/>
        <w:rPr>
          <w:rFonts w:ascii="仿宋" w:hAnsi="仿宋" w:eastAsia="仿宋" w:cs="仿宋"/>
          <w:color w:val="auto"/>
          <w:kern w:val="2"/>
          <w:sz w:val="32"/>
          <w:szCs w:val="32"/>
        </w:rPr>
      </w:pPr>
      <w:r>
        <w:rPr>
          <w:rFonts w:ascii="仿宋" w:hAnsi="仿宋" w:eastAsia="仿宋" w:cs="仿宋"/>
          <w:color w:val="auto"/>
          <w:kern w:val="2"/>
          <w:sz w:val="32"/>
          <w:szCs w:val="32"/>
        </w:rPr>
        <w:t>1、巴州博斯腾灌区“十四五”续建配套与现代化改造库尔勒市片区工程（2023年），计划改造普惠干渠二支渠、普惠干渠三支渠、普惠乡三支渠、普米干渠西六支渠、塔里木北干渠等5条渠，总长度29.017km。总投资12079.45万元。资金来源为中央预算内和地方配套资金。该项目已完成所有前置手续办理。划待2023年中央预算内资金到位后，立即开展招投标工作，2023年11月底完成工程建设</w:t>
      </w:r>
      <w:r>
        <w:rPr>
          <w:rFonts w:hint="eastAsia" w:ascii="仿宋" w:hAnsi="仿宋" w:eastAsia="仿宋" w:cs="仿宋"/>
          <w:color w:val="auto"/>
          <w:kern w:val="2"/>
          <w:sz w:val="32"/>
          <w:szCs w:val="32"/>
        </w:rPr>
        <w:t>，</w:t>
      </w:r>
      <w:r>
        <w:rPr>
          <w:rFonts w:ascii="仿宋" w:hAnsi="仿宋" w:eastAsia="仿宋" w:cs="仿宋"/>
          <w:color w:val="auto"/>
          <w:kern w:val="2"/>
          <w:sz w:val="32"/>
          <w:szCs w:val="32"/>
        </w:rPr>
        <w:t>完成投资12000万元。</w:t>
      </w:r>
    </w:p>
    <w:p>
      <w:pPr>
        <w:pStyle w:val="5"/>
        <w:spacing w:before="40" w:beforeAutospacing="0" w:after="0" w:afterAutospacing="0" w:line="600" w:lineRule="exact"/>
        <w:ind w:firstLine="640" w:firstLineChars="200"/>
        <w:jc w:val="both"/>
        <w:rPr>
          <w:rFonts w:ascii="仿宋" w:hAnsi="仿宋" w:eastAsia="仿宋" w:cs="仿宋"/>
          <w:color w:val="auto"/>
          <w:kern w:val="2"/>
          <w:sz w:val="32"/>
          <w:szCs w:val="32"/>
        </w:rPr>
      </w:pPr>
      <w:r>
        <w:rPr>
          <w:rFonts w:hint="eastAsia" w:ascii="仿宋" w:hAnsi="仿宋" w:eastAsia="仿宋" w:cs="仿宋"/>
          <w:color w:val="auto"/>
          <w:kern w:val="2"/>
          <w:sz w:val="32"/>
          <w:szCs w:val="32"/>
        </w:rPr>
        <w:t>2、</w:t>
      </w:r>
      <w:r>
        <w:rPr>
          <w:rFonts w:ascii="仿宋" w:hAnsi="仿宋" w:eastAsia="仿宋" w:cs="仿宋"/>
          <w:color w:val="auto"/>
          <w:kern w:val="2"/>
          <w:sz w:val="32"/>
          <w:szCs w:val="32"/>
        </w:rPr>
        <w:t>2023年库尔勒市农村饮水工程维修养护项目</w:t>
      </w:r>
      <w:r>
        <w:rPr>
          <w:rFonts w:hint="eastAsia" w:ascii="仿宋" w:hAnsi="仿宋" w:eastAsia="仿宋" w:cs="仿宋"/>
          <w:color w:val="auto"/>
          <w:kern w:val="2"/>
          <w:sz w:val="32"/>
          <w:szCs w:val="32"/>
        </w:rPr>
        <w:t>，</w:t>
      </w:r>
      <w:r>
        <w:rPr>
          <w:rFonts w:ascii="仿宋" w:hAnsi="仿宋" w:eastAsia="仿宋" w:cs="仿宋"/>
          <w:color w:val="auto"/>
          <w:kern w:val="2"/>
          <w:sz w:val="32"/>
          <w:szCs w:val="32"/>
        </w:rPr>
        <w:t>计划输配水管道维修6km，配套检查井、消防栓、标志桩等总投资200万元。资金来源为水利发展资金。该项目已发布施工招标公告，计划2月10日开标。3月开工建设，5月完成建设</w:t>
      </w:r>
      <w:r>
        <w:rPr>
          <w:rFonts w:hint="eastAsia" w:ascii="仿宋" w:hAnsi="仿宋" w:eastAsia="仿宋" w:cs="仿宋"/>
          <w:color w:val="auto"/>
          <w:kern w:val="2"/>
          <w:sz w:val="32"/>
          <w:szCs w:val="32"/>
        </w:rPr>
        <w:t>，</w:t>
      </w:r>
      <w:r>
        <w:rPr>
          <w:rFonts w:ascii="仿宋" w:hAnsi="仿宋" w:eastAsia="仿宋" w:cs="仿宋"/>
          <w:color w:val="auto"/>
          <w:kern w:val="2"/>
          <w:sz w:val="32"/>
          <w:szCs w:val="32"/>
        </w:rPr>
        <w:t>完成投资200万元</w:t>
      </w:r>
      <w:r>
        <w:rPr>
          <w:rFonts w:hint="eastAsia" w:ascii="仿宋" w:hAnsi="仿宋" w:eastAsia="仿宋" w:cs="仿宋"/>
          <w:color w:val="auto"/>
          <w:kern w:val="2"/>
          <w:sz w:val="32"/>
          <w:szCs w:val="32"/>
        </w:rPr>
        <w:t>。</w:t>
      </w:r>
    </w:p>
    <w:p>
      <w:pPr>
        <w:pStyle w:val="5"/>
        <w:spacing w:before="40" w:beforeAutospacing="0" w:after="0" w:afterAutospacing="0" w:line="600" w:lineRule="exact"/>
        <w:ind w:firstLine="640" w:firstLineChars="200"/>
        <w:jc w:val="both"/>
        <w:rPr>
          <w:rFonts w:ascii="仿宋" w:hAnsi="仿宋" w:eastAsia="仿宋" w:cs="仿宋"/>
          <w:color w:val="auto"/>
          <w:kern w:val="2"/>
          <w:sz w:val="32"/>
          <w:szCs w:val="32"/>
        </w:rPr>
      </w:pPr>
      <w:r>
        <w:rPr>
          <w:rFonts w:hint="eastAsia" w:ascii="仿宋" w:hAnsi="仿宋" w:eastAsia="仿宋" w:cs="仿宋"/>
          <w:color w:val="auto"/>
          <w:kern w:val="2"/>
          <w:sz w:val="32"/>
          <w:szCs w:val="32"/>
        </w:rPr>
        <w:t>结合库尔勒市农口整体规划和中央、自治区治水新理念，市水利局将进一步压紧压实责任，保证施工进度，确保按照计划完成年度投资。一是开展储备项目前期踏勘工作和项目可行性研究报告编制，推动立项审批和前期工作，力争项目落地实施。二是</w:t>
      </w:r>
      <w:r>
        <w:rPr>
          <w:rFonts w:ascii="仿宋" w:hAnsi="仿宋" w:eastAsia="仿宋" w:cs="仿宋"/>
          <w:color w:val="auto"/>
          <w:kern w:val="2"/>
          <w:sz w:val="32"/>
          <w:szCs w:val="32"/>
        </w:rPr>
        <w:t>加强水利项目建设监管。严格落实项目包联制度，做到一个项目、一个领导、一抓到底</w:t>
      </w:r>
      <w:r>
        <w:rPr>
          <w:rFonts w:hint="eastAsia" w:ascii="仿宋" w:hAnsi="仿宋" w:eastAsia="仿宋" w:cs="仿宋"/>
          <w:color w:val="auto"/>
          <w:kern w:val="2"/>
          <w:sz w:val="32"/>
          <w:szCs w:val="32"/>
        </w:rPr>
        <w:t>；</w:t>
      </w:r>
      <w:r>
        <w:rPr>
          <w:rFonts w:ascii="仿宋" w:hAnsi="仿宋" w:eastAsia="仿宋" w:cs="仿宋"/>
          <w:color w:val="auto"/>
          <w:kern w:val="2"/>
          <w:sz w:val="32"/>
          <w:szCs w:val="32"/>
        </w:rPr>
        <w:t>实行项目会商制度，定期组织项目管理人员培训，</w:t>
      </w:r>
      <w:r>
        <w:rPr>
          <w:rFonts w:hint="eastAsia" w:ascii="仿宋" w:hAnsi="仿宋" w:eastAsia="仿宋" w:cs="仿宋"/>
          <w:color w:val="auto"/>
          <w:kern w:val="2"/>
          <w:sz w:val="32"/>
          <w:szCs w:val="32"/>
        </w:rPr>
        <w:t>及时解决施工过程中遇到的问题；</w:t>
      </w:r>
      <w:r>
        <w:rPr>
          <w:rFonts w:ascii="仿宋" w:hAnsi="仿宋" w:eastAsia="仿宋" w:cs="仿宋"/>
          <w:color w:val="auto"/>
          <w:kern w:val="2"/>
          <w:sz w:val="32"/>
          <w:szCs w:val="32"/>
        </w:rPr>
        <w:t>加强项目质量安全管理，增加日常巡查频率，强化安全生产教育，完善工程质量管理体系。</w:t>
      </w:r>
    </w:p>
    <w:p>
      <w:pPr>
        <w:spacing w:line="600" w:lineRule="exact"/>
        <w:ind w:firstLine="640" w:firstLineChars="200"/>
        <w:jc w:val="left"/>
        <w:rPr>
          <w:rFonts w:ascii="黑体" w:hAnsi="黑体" w:eastAsia="黑体" w:cs="黑体"/>
          <w:bCs/>
          <w:color w:val="auto"/>
          <w:sz w:val="32"/>
          <w:szCs w:val="32"/>
        </w:rPr>
      </w:pPr>
      <w:r>
        <w:rPr>
          <w:rFonts w:hint="eastAsia" w:ascii="黑体" w:hAnsi="黑体" w:eastAsia="黑体" w:cs="黑体"/>
          <w:bCs/>
          <w:color w:val="auto"/>
          <w:sz w:val="32"/>
          <w:szCs w:val="32"/>
        </w:rPr>
        <w:t>二、加强水资源管理。</w:t>
      </w:r>
    </w:p>
    <w:p>
      <w:pPr>
        <w:pStyle w:val="5"/>
        <w:spacing w:before="40" w:beforeAutospacing="0" w:after="0" w:afterAutospacing="0" w:line="600" w:lineRule="exact"/>
        <w:ind w:firstLine="640" w:firstLineChars="200"/>
        <w:jc w:val="both"/>
        <w:rPr>
          <w:rFonts w:ascii="仿宋" w:hAnsi="仿宋" w:eastAsia="仿宋" w:cs="仿宋"/>
          <w:color w:val="auto"/>
          <w:kern w:val="2"/>
          <w:sz w:val="32"/>
          <w:szCs w:val="32"/>
        </w:rPr>
      </w:pPr>
      <w:r>
        <w:rPr>
          <w:rFonts w:hint="eastAsia" w:ascii="仿宋" w:hAnsi="仿宋" w:eastAsia="仿宋" w:cs="仿宋"/>
          <w:color w:val="auto"/>
          <w:kern w:val="2"/>
          <w:sz w:val="32"/>
          <w:szCs w:val="32"/>
        </w:rPr>
        <w:t>1、</w:t>
      </w:r>
      <w:r>
        <w:rPr>
          <w:rFonts w:ascii="仿宋" w:hAnsi="仿宋" w:eastAsia="仿宋" w:cs="仿宋"/>
          <w:color w:val="auto"/>
          <w:kern w:val="2"/>
          <w:sz w:val="32"/>
          <w:szCs w:val="32"/>
        </w:rPr>
        <w:t>保障粮食安全。优先保障粮食生产用水，对2023年14万亩粮食作物，优先配水。并通过库塔干渠西干渠引水、孔雀河老河道抽水等方式解决普惠干渠维修期普惠地区的粮食作物用水问题。</w:t>
      </w:r>
    </w:p>
    <w:p>
      <w:pPr>
        <w:pStyle w:val="5"/>
        <w:spacing w:before="40" w:beforeAutospacing="0" w:after="0" w:afterAutospacing="0" w:line="600" w:lineRule="exact"/>
        <w:ind w:firstLine="640" w:firstLineChars="200"/>
        <w:jc w:val="both"/>
        <w:rPr>
          <w:rFonts w:ascii="仿宋" w:hAnsi="仿宋" w:eastAsia="仿宋" w:cs="仿宋"/>
          <w:color w:val="auto"/>
          <w:kern w:val="2"/>
          <w:sz w:val="32"/>
          <w:szCs w:val="32"/>
        </w:rPr>
      </w:pPr>
      <w:r>
        <w:rPr>
          <w:rFonts w:hint="eastAsia" w:ascii="仿宋" w:hAnsi="仿宋" w:eastAsia="仿宋" w:cs="仿宋"/>
          <w:color w:val="auto"/>
          <w:kern w:val="2"/>
          <w:sz w:val="32"/>
          <w:szCs w:val="32"/>
        </w:rPr>
        <w:t>2、</w:t>
      </w:r>
      <w:r>
        <w:rPr>
          <w:rFonts w:ascii="仿宋" w:hAnsi="仿宋" w:eastAsia="仿宋" w:cs="仿宋"/>
          <w:color w:val="auto"/>
          <w:kern w:val="2"/>
          <w:sz w:val="32"/>
          <w:szCs w:val="32"/>
        </w:rPr>
        <w:t>加强地表水灌溉管理。一是优化大坝水管站等3个水管站职能，分片区做好用水管理。二是落实“四到户”工作，实行24小时轮灌制度，细化用水量测算，与用水户双方签字认可。三是用水管理透明化、精细化</w:t>
      </w:r>
      <w:r>
        <w:rPr>
          <w:rFonts w:hint="eastAsia" w:ascii="仿宋" w:hAnsi="仿宋" w:eastAsia="仿宋" w:cs="仿宋"/>
          <w:color w:val="auto"/>
          <w:kern w:val="2"/>
          <w:sz w:val="32"/>
          <w:szCs w:val="32"/>
        </w:rPr>
        <w:t>，</w:t>
      </w:r>
      <w:r>
        <w:rPr>
          <w:rFonts w:ascii="仿宋" w:hAnsi="仿宋" w:eastAsia="仿宋" w:cs="仿宋"/>
          <w:color w:val="auto"/>
          <w:kern w:val="2"/>
          <w:sz w:val="32"/>
          <w:szCs w:val="32"/>
        </w:rPr>
        <w:t>落实超定额累进加价制度，水费核算结果张榜公示。</w:t>
      </w:r>
    </w:p>
    <w:p>
      <w:pPr>
        <w:pStyle w:val="5"/>
        <w:spacing w:before="40" w:beforeAutospacing="0" w:after="0" w:afterAutospacing="0" w:line="600" w:lineRule="exact"/>
        <w:ind w:firstLine="640" w:firstLineChars="200"/>
        <w:jc w:val="both"/>
        <w:rPr>
          <w:rFonts w:ascii="仿宋" w:hAnsi="仿宋" w:eastAsia="仿宋" w:cs="仿宋"/>
          <w:color w:val="auto"/>
          <w:kern w:val="2"/>
          <w:sz w:val="32"/>
          <w:szCs w:val="32"/>
        </w:rPr>
      </w:pPr>
      <w:r>
        <w:rPr>
          <w:rFonts w:hint="eastAsia" w:ascii="仿宋" w:hAnsi="仿宋" w:eastAsia="仿宋" w:cs="仿宋"/>
          <w:color w:val="auto"/>
          <w:kern w:val="2"/>
          <w:sz w:val="32"/>
          <w:szCs w:val="32"/>
        </w:rPr>
        <w:t>3、加强节水灌溉。一是</w:t>
      </w:r>
      <w:r>
        <w:rPr>
          <w:rFonts w:ascii="仿宋" w:hAnsi="仿宋" w:eastAsia="仿宋" w:cs="仿宋"/>
          <w:color w:val="auto"/>
          <w:kern w:val="2"/>
          <w:sz w:val="32"/>
          <w:szCs w:val="32"/>
        </w:rPr>
        <w:t>做好工程性节水</w:t>
      </w:r>
      <w:r>
        <w:rPr>
          <w:rFonts w:hint="eastAsia" w:ascii="仿宋" w:hAnsi="仿宋" w:eastAsia="仿宋" w:cs="仿宋"/>
          <w:color w:val="auto"/>
          <w:kern w:val="2"/>
          <w:sz w:val="32"/>
          <w:szCs w:val="32"/>
        </w:rPr>
        <w:t>。</w:t>
      </w:r>
      <w:r>
        <w:rPr>
          <w:rFonts w:ascii="仿宋" w:hAnsi="仿宋" w:eastAsia="仿宋" w:cs="仿宋"/>
          <w:color w:val="auto"/>
          <w:kern w:val="2"/>
          <w:sz w:val="32"/>
          <w:szCs w:val="32"/>
        </w:rPr>
        <w:t>全力抓好大型灌区改造项目、末级渠系项目等6个重大项目建设工作。进一步完善水利基础设施，提高灌溉保证率和水的利用率，节约农民用水成本、增加农民收入。二是做好管理节水。结合上级下达的用水指标，根据作物种植结构及灌溉面积，制定全市用水计划；发挥农民用水协会作用，提高农民用水协会自主管水能力，巩固农业综合水价改革成果；落实超定额累进加价制度，促进用水户主动节水。</w:t>
      </w:r>
      <w:r>
        <w:rPr>
          <w:rFonts w:hint="eastAsia" w:ascii="仿宋" w:hAnsi="仿宋" w:eastAsia="仿宋" w:cs="仿宋"/>
          <w:color w:val="auto"/>
          <w:kern w:val="2"/>
          <w:sz w:val="32"/>
          <w:szCs w:val="32"/>
        </w:rPr>
        <w:t>三是加快建设取水监测计量体系。积极争取中央水利发展资金，持续开展取水口监测计量更新改造任务，加快取水口取水监测计量体系建设，全面、准确、及时掌握取用水情况，提升用水总量控制管理基础保障能力。</w:t>
      </w:r>
    </w:p>
    <w:p>
      <w:pPr>
        <w:pStyle w:val="5"/>
        <w:spacing w:before="40" w:beforeAutospacing="0" w:after="0" w:afterAutospacing="0" w:line="600" w:lineRule="exact"/>
        <w:ind w:firstLine="640" w:firstLineChars="200"/>
        <w:jc w:val="both"/>
        <w:rPr>
          <w:rFonts w:ascii="仿宋" w:hAnsi="仿宋" w:eastAsia="仿宋" w:cs="仿宋"/>
          <w:color w:val="auto"/>
          <w:kern w:val="2"/>
          <w:sz w:val="32"/>
          <w:szCs w:val="32"/>
        </w:rPr>
      </w:pPr>
      <w:r>
        <w:rPr>
          <w:rFonts w:hint="eastAsia" w:ascii="仿宋" w:hAnsi="仿宋" w:eastAsia="仿宋" w:cs="仿宋"/>
          <w:color w:val="auto"/>
          <w:kern w:val="2"/>
          <w:sz w:val="32"/>
          <w:szCs w:val="32"/>
        </w:rPr>
        <w:t>4、</w:t>
      </w:r>
      <w:r>
        <w:rPr>
          <w:rFonts w:ascii="仿宋" w:hAnsi="仿宋" w:eastAsia="仿宋" w:cs="仿宋"/>
          <w:color w:val="auto"/>
          <w:kern w:val="2"/>
          <w:sz w:val="32"/>
          <w:szCs w:val="32"/>
        </w:rPr>
        <w:t>加强地下水资源保护。一是尽快确定井电双控运维单位，恢复井电双控设备，落实运维资金，对运维效果按量化指标管理。二是摸清井灌面积底数，合理核定水量指标，下达收费目标任务</w:t>
      </w:r>
      <w:r>
        <w:rPr>
          <w:rFonts w:hint="eastAsia" w:ascii="仿宋" w:hAnsi="仿宋" w:eastAsia="仿宋" w:cs="仿宋"/>
          <w:color w:val="auto"/>
          <w:kern w:val="2"/>
          <w:sz w:val="32"/>
          <w:szCs w:val="32"/>
        </w:rPr>
        <w:t>。</w:t>
      </w:r>
      <w:r>
        <w:rPr>
          <w:rFonts w:ascii="仿宋" w:hAnsi="仿宋" w:eastAsia="仿宋" w:cs="仿宋"/>
          <w:color w:val="auto"/>
          <w:kern w:val="2"/>
          <w:sz w:val="32"/>
          <w:szCs w:val="32"/>
        </w:rPr>
        <w:t>三是加大水政执法监管力度。对非法凿井、河道内非法架泵取水、机电井计量设施运行不正常、拒缴水资源费等违法行为依法严厉打击查处。集中处罚、起诉、执行一批故意破坏井电双控设备、拖欠地下水资源费的用水户。</w:t>
      </w:r>
      <w:r>
        <w:rPr>
          <w:rFonts w:hint="eastAsia" w:ascii="仿宋" w:hAnsi="仿宋" w:eastAsia="仿宋" w:cs="仿宋"/>
          <w:color w:val="auto"/>
          <w:kern w:val="2"/>
          <w:sz w:val="32"/>
          <w:szCs w:val="32"/>
        </w:rPr>
        <w:t>四是</w:t>
      </w:r>
      <w:r>
        <w:rPr>
          <w:rFonts w:ascii="仿宋" w:hAnsi="仿宋" w:eastAsia="仿宋" w:cs="仿宋"/>
          <w:color w:val="auto"/>
          <w:kern w:val="2"/>
          <w:sz w:val="32"/>
          <w:szCs w:val="32"/>
        </w:rPr>
        <w:t>加强部门协作。对恶意破坏井电双控计量设施、拖欠水资源费的，电力部门不予供电；农业、财政部门暂缓兑现各类补贴。</w:t>
      </w:r>
    </w:p>
    <w:p>
      <w:pPr>
        <w:pStyle w:val="5"/>
        <w:spacing w:before="40" w:beforeAutospacing="0" w:after="0" w:afterAutospacing="0" w:line="600" w:lineRule="exact"/>
        <w:ind w:firstLine="640" w:firstLineChars="200"/>
        <w:jc w:val="both"/>
        <w:rPr>
          <w:rFonts w:ascii="仿宋" w:hAnsi="仿宋" w:eastAsia="仿宋" w:cs="仿宋"/>
          <w:color w:val="auto"/>
          <w:kern w:val="2"/>
          <w:sz w:val="32"/>
          <w:szCs w:val="32"/>
        </w:rPr>
      </w:pPr>
      <w:r>
        <w:rPr>
          <w:rFonts w:hint="eastAsia" w:ascii="仿宋" w:hAnsi="仿宋" w:eastAsia="仿宋" w:cs="仿宋"/>
          <w:color w:val="auto"/>
          <w:kern w:val="2"/>
          <w:sz w:val="32"/>
          <w:szCs w:val="32"/>
        </w:rPr>
        <w:t>5</w:t>
      </w:r>
      <w:r>
        <w:rPr>
          <w:rFonts w:ascii="仿宋" w:hAnsi="仿宋" w:eastAsia="仿宋" w:cs="仿宋"/>
          <w:color w:val="auto"/>
          <w:kern w:val="2"/>
          <w:sz w:val="32"/>
          <w:szCs w:val="32"/>
        </w:rPr>
        <w:t>、加强水利队伍建设。一是压实水管干部责任，定人定岗定责并与绩效挂钩，将地表水灌溉管理、机电井核查、水费征收等工作责任到人。二是</w:t>
      </w:r>
      <w:r>
        <w:rPr>
          <w:rFonts w:hint="eastAsia" w:ascii="仿宋" w:hAnsi="仿宋" w:eastAsia="仿宋" w:cs="仿宋"/>
          <w:color w:val="auto"/>
          <w:kern w:val="2"/>
          <w:sz w:val="32"/>
          <w:szCs w:val="32"/>
        </w:rPr>
        <w:t>尽快招聘一批水管人员，充实基层水管队伍。</w:t>
      </w:r>
    </w:p>
    <w:p>
      <w:pPr>
        <w:spacing w:line="600" w:lineRule="exact"/>
        <w:ind w:firstLine="640" w:firstLineChars="200"/>
        <w:jc w:val="left"/>
        <w:rPr>
          <w:rFonts w:ascii="黑体" w:hAnsi="黑体" w:eastAsia="黑体" w:cs="黑体"/>
          <w:bCs/>
          <w:color w:val="auto"/>
          <w:sz w:val="32"/>
          <w:szCs w:val="32"/>
        </w:rPr>
      </w:pPr>
      <w:r>
        <w:rPr>
          <w:rFonts w:hint="eastAsia" w:ascii="黑体" w:hAnsi="黑体" w:eastAsia="黑体" w:cs="黑体"/>
          <w:bCs/>
          <w:color w:val="auto"/>
          <w:sz w:val="32"/>
          <w:szCs w:val="32"/>
        </w:rPr>
        <w:t>三、保障农村饮水安全</w:t>
      </w:r>
    </w:p>
    <w:p>
      <w:pPr>
        <w:pStyle w:val="5"/>
        <w:spacing w:before="40" w:beforeAutospacing="0" w:after="0" w:afterAutospacing="0" w:line="600" w:lineRule="exact"/>
        <w:ind w:firstLine="640" w:firstLineChars="200"/>
        <w:jc w:val="both"/>
        <w:rPr>
          <w:rFonts w:ascii="仿宋" w:hAnsi="仿宋" w:eastAsia="仿宋" w:cs="仿宋"/>
          <w:color w:val="auto"/>
          <w:kern w:val="2"/>
          <w:sz w:val="32"/>
          <w:szCs w:val="32"/>
        </w:rPr>
      </w:pPr>
      <w:r>
        <w:rPr>
          <w:rFonts w:hint="eastAsia" w:ascii="仿宋" w:hAnsi="仿宋" w:eastAsia="仿宋" w:cs="仿宋"/>
          <w:color w:val="auto"/>
          <w:kern w:val="2"/>
          <w:sz w:val="32"/>
          <w:szCs w:val="32"/>
        </w:rPr>
        <w:t>一是加强巡查，持续做好自来水管网维修养护和抢修工作，开展农村管网巡查，对冻胀等情况及时处理，保障农村居民饮水安全；二是开展2次水质检测工作，对各乡镇农村供水水样检测33项，确保水质达到国家《生活饮用水卫生标准》（GB5749-2006），保证农村居民安全饮水；三是继续实施</w:t>
      </w:r>
      <w:r>
        <w:rPr>
          <w:rFonts w:ascii="仿宋" w:hAnsi="仿宋" w:eastAsia="仿宋" w:cs="仿宋"/>
          <w:color w:val="auto"/>
          <w:kern w:val="2"/>
          <w:sz w:val="32"/>
          <w:szCs w:val="32"/>
        </w:rPr>
        <w:t>库尔勒市城乡供水一体化农村饮水安全工程</w:t>
      </w:r>
      <w:r>
        <w:rPr>
          <w:rFonts w:hint="eastAsia" w:ascii="仿宋" w:hAnsi="仿宋" w:eastAsia="仿宋" w:cs="仿宋"/>
          <w:color w:val="auto"/>
          <w:kern w:val="2"/>
          <w:sz w:val="32"/>
          <w:szCs w:val="32"/>
        </w:rPr>
        <w:t>，逐步更新完善我市农村饮水管网。</w:t>
      </w:r>
    </w:p>
    <w:p>
      <w:pPr>
        <w:spacing w:line="600" w:lineRule="exact"/>
        <w:ind w:firstLine="640" w:firstLineChars="200"/>
        <w:jc w:val="left"/>
        <w:rPr>
          <w:rFonts w:ascii="黑体" w:hAnsi="黑体" w:eastAsia="黑体" w:cs="黑体"/>
          <w:bCs/>
          <w:color w:val="auto"/>
          <w:sz w:val="32"/>
          <w:szCs w:val="32"/>
        </w:rPr>
      </w:pPr>
      <w:r>
        <w:rPr>
          <w:rFonts w:hint="eastAsia" w:ascii="黑体" w:hAnsi="黑体" w:eastAsia="黑体" w:cs="黑体"/>
          <w:bCs/>
          <w:color w:val="auto"/>
          <w:sz w:val="32"/>
          <w:szCs w:val="32"/>
        </w:rPr>
        <w:t>四、</w:t>
      </w:r>
      <w:r>
        <w:rPr>
          <w:rFonts w:ascii="黑体" w:hAnsi="黑体" w:eastAsia="黑体" w:cs="黑体"/>
          <w:bCs/>
          <w:color w:val="auto"/>
          <w:sz w:val="32"/>
          <w:szCs w:val="32"/>
        </w:rPr>
        <w:t>积极开展河湖管理、水土保持等工作</w:t>
      </w:r>
    </w:p>
    <w:p>
      <w:pPr>
        <w:pStyle w:val="5"/>
        <w:spacing w:before="40" w:beforeAutospacing="0" w:after="0" w:afterAutospacing="0" w:line="600" w:lineRule="exact"/>
        <w:ind w:firstLine="640" w:firstLineChars="200"/>
        <w:jc w:val="both"/>
        <w:rPr>
          <w:rFonts w:ascii="仿宋" w:hAnsi="仿宋" w:eastAsia="仿宋" w:cs="仿宋"/>
          <w:color w:val="auto"/>
          <w:kern w:val="2"/>
          <w:sz w:val="32"/>
          <w:szCs w:val="32"/>
        </w:rPr>
      </w:pPr>
      <w:r>
        <w:rPr>
          <w:rFonts w:ascii="仿宋" w:hAnsi="仿宋" w:eastAsia="仿宋" w:cs="仿宋"/>
          <w:color w:val="auto"/>
          <w:kern w:val="2"/>
          <w:sz w:val="32"/>
          <w:szCs w:val="32"/>
        </w:rPr>
        <w:t>1、加大河湖保护治理力度。一是</w:t>
      </w:r>
      <w:r>
        <w:rPr>
          <w:rFonts w:hint="eastAsia" w:ascii="仿宋" w:hAnsi="仿宋" w:eastAsia="仿宋" w:cs="仿宋"/>
          <w:color w:val="auto"/>
          <w:kern w:val="2"/>
          <w:sz w:val="32"/>
          <w:szCs w:val="32"/>
        </w:rPr>
        <w:t>督促</w:t>
      </w:r>
      <w:r>
        <w:rPr>
          <w:rFonts w:ascii="仿宋" w:hAnsi="仿宋" w:eastAsia="仿宋" w:cs="仿宋"/>
          <w:color w:val="auto"/>
          <w:kern w:val="2"/>
          <w:sz w:val="32"/>
          <w:szCs w:val="32"/>
        </w:rPr>
        <w:t>各级河湖长落实巡河责任，</w:t>
      </w:r>
      <w:r>
        <w:rPr>
          <w:rFonts w:hint="eastAsia" w:ascii="仿宋" w:hAnsi="仿宋" w:eastAsia="仿宋" w:cs="仿宋"/>
          <w:color w:val="auto"/>
          <w:kern w:val="2"/>
          <w:sz w:val="32"/>
          <w:szCs w:val="32"/>
        </w:rPr>
        <w:t>使用巡河APP开展巡河工作，巡河次数、质量达标；二是加强指导，提高各级河长发现问题的能力，</w:t>
      </w:r>
      <w:r>
        <w:rPr>
          <w:rFonts w:ascii="仿宋" w:hAnsi="仿宋" w:eastAsia="仿宋" w:cs="仿宋"/>
          <w:color w:val="auto"/>
          <w:kern w:val="2"/>
          <w:sz w:val="32"/>
          <w:szCs w:val="32"/>
        </w:rPr>
        <w:t>推进河湖“清四乱”常态化规范化，坚决遏增量、清存量，防反弹。</w:t>
      </w:r>
      <w:r>
        <w:rPr>
          <w:rFonts w:hint="eastAsia" w:ascii="仿宋" w:hAnsi="仿宋" w:eastAsia="仿宋" w:cs="仿宋"/>
          <w:color w:val="auto"/>
          <w:kern w:val="2"/>
          <w:sz w:val="32"/>
          <w:szCs w:val="32"/>
        </w:rPr>
        <w:t>三</w:t>
      </w:r>
      <w:r>
        <w:rPr>
          <w:rFonts w:ascii="仿宋" w:hAnsi="仿宋" w:eastAsia="仿宋" w:cs="仿宋"/>
          <w:color w:val="auto"/>
          <w:kern w:val="2"/>
          <w:sz w:val="32"/>
          <w:szCs w:val="32"/>
        </w:rPr>
        <w:t>是推动实施孔雀河美丽幸福河湖创建工作。</w:t>
      </w:r>
    </w:p>
    <w:p>
      <w:pPr>
        <w:pStyle w:val="5"/>
        <w:spacing w:before="40" w:beforeAutospacing="0" w:after="0" w:afterAutospacing="0" w:line="600" w:lineRule="exact"/>
        <w:ind w:firstLine="640" w:firstLineChars="200"/>
        <w:jc w:val="both"/>
        <w:rPr>
          <w:rFonts w:ascii="仿宋" w:hAnsi="仿宋" w:eastAsia="仿宋" w:cs="仿宋"/>
          <w:color w:val="auto"/>
          <w:kern w:val="2"/>
          <w:sz w:val="32"/>
          <w:szCs w:val="32"/>
        </w:rPr>
      </w:pPr>
      <w:r>
        <w:rPr>
          <w:rFonts w:ascii="仿宋" w:hAnsi="仿宋" w:eastAsia="仿宋" w:cs="仿宋"/>
          <w:color w:val="auto"/>
          <w:kern w:val="2"/>
          <w:sz w:val="32"/>
          <w:szCs w:val="32"/>
        </w:rPr>
        <w:t>2、加强水旱灾害防御。一是做好汛前隐患排查及整改。汛前对我市辖区内水库、渠首、重点河段、堤防、险工险段进行全面排查，主汛期前完成隐患问题整改。二是督促防洪重点区域内各单位开展应急演练，提高</w:t>
      </w:r>
      <w:r>
        <w:rPr>
          <w:rFonts w:hint="eastAsia" w:ascii="仿宋" w:hAnsi="仿宋" w:eastAsia="仿宋" w:cs="仿宋"/>
          <w:color w:val="auto"/>
          <w:kern w:val="2"/>
          <w:sz w:val="32"/>
          <w:szCs w:val="32"/>
        </w:rPr>
        <w:t>应对</w:t>
      </w:r>
      <w:r>
        <w:rPr>
          <w:rFonts w:ascii="仿宋" w:hAnsi="仿宋" w:eastAsia="仿宋" w:cs="仿宋"/>
          <w:color w:val="auto"/>
          <w:kern w:val="2"/>
          <w:sz w:val="32"/>
          <w:szCs w:val="32"/>
        </w:rPr>
        <w:t>突发性灾害性天气的能力。三是做好抗旱保灌工作。</w:t>
      </w:r>
    </w:p>
    <w:p>
      <w:pPr>
        <w:pStyle w:val="5"/>
        <w:spacing w:before="40" w:beforeAutospacing="0" w:after="0" w:afterAutospacing="0" w:line="600" w:lineRule="exact"/>
        <w:ind w:firstLine="640" w:firstLineChars="200"/>
        <w:jc w:val="both"/>
        <w:rPr>
          <w:rFonts w:ascii="仿宋" w:hAnsi="仿宋" w:eastAsia="仿宋" w:cs="仿宋"/>
          <w:color w:val="auto"/>
          <w:kern w:val="2"/>
          <w:sz w:val="32"/>
          <w:szCs w:val="32"/>
        </w:rPr>
      </w:pPr>
      <w:r>
        <w:rPr>
          <w:rFonts w:ascii="仿宋" w:hAnsi="仿宋" w:eastAsia="仿宋" w:cs="仿宋"/>
          <w:color w:val="auto"/>
          <w:kern w:val="2"/>
          <w:sz w:val="32"/>
          <w:szCs w:val="32"/>
        </w:rPr>
        <w:t>3、加强水土保持监管。一是扎实开展市域内水土保持执法巡查，规范水土保持方案审批工作，加大补偿费征收力度；二是完成2023年卫星遥感监管违法违规图斑整改工作任务，规范信息化应用。</w:t>
      </w:r>
    </w:p>
    <w:p>
      <w:pPr>
        <w:pStyle w:val="2"/>
        <w:spacing w:line="600" w:lineRule="exact"/>
        <w:ind w:firstLine="640" w:firstLineChars="200"/>
        <w:rPr>
          <w:rFonts w:ascii="黑体" w:hAnsi="黑体" w:eastAsia="黑体" w:cs="黑体"/>
          <w:color w:val="auto"/>
        </w:rPr>
      </w:pPr>
      <w:r>
        <w:rPr>
          <w:rFonts w:hint="eastAsia" w:ascii="黑体" w:hAnsi="黑体" w:eastAsia="黑体" w:cs="黑体"/>
          <w:b w:val="0"/>
          <w:color w:val="auto"/>
        </w:rPr>
        <w:t>2.机构人员保障情况</w:t>
      </w:r>
    </w:p>
    <w:p>
      <w:pPr>
        <w:spacing w:line="600" w:lineRule="exact"/>
        <w:ind w:firstLine="624" w:firstLineChars="200"/>
        <w:rPr>
          <w:rStyle w:val="8"/>
          <w:rFonts w:ascii="仿宋" w:hAnsi="仿宋" w:eastAsia="仿宋" w:cs="仿宋"/>
          <w:b w:val="0"/>
          <w:color w:val="auto"/>
          <w:spacing w:val="-4"/>
          <w:sz w:val="32"/>
          <w:szCs w:val="32"/>
        </w:rPr>
      </w:pPr>
      <w:r>
        <w:rPr>
          <w:rStyle w:val="8"/>
          <w:rFonts w:hint="eastAsia" w:ascii="仿宋" w:hAnsi="仿宋" w:eastAsia="仿宋" w:cs="仿宋"/>
          <w:b w:val="0"/>
          <w:color w:val="auto"/>
          <w:spacing w:val="-4"/>
          <w:sz w:val="32"/>
          <w:szCs w:val="32"/>
        </w:rPr>
        <w:t>库尔勒市水利局2023年通过本部门预算支出，确保了58名在职人员的工资、津贴、补贴、社保、绩效、公积金等以及44名离退休人员的工资、医疗费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spacing w:line="600" w:lineRule="exact"/>
        <w:ind w:firstLine="624" w:firstLineChars="200"/>
        <w:rPr>
          <w:rStyle w:val="8"/>
          <w:rFonts w:ascii="黑体" w:hAnsi="黑体" w:eastAsia="黑体" w:cs="黑体"/>
          <w:b w:val="0"/>
          <w:color w:val="auto"/>
          <w:spacing w:val="-4"/>
          <w:sz w:val="32"/>
          <w:szCs w:val="32"/>
        </w:rPr>
      </w:pPr>
      <w:r>
        <w:rPr>
          <w:rStyle w:val="8"/>
          <w:rFonts w:hint="eastAsia" w:ascii="黑体" w:hAnsi="黑体" w:eastAsia="黑体" w:cs="黑体"/>
          <w:b w:val="0"/>
          <w:color w:val="auto"/>
          <w:spacing w:val="-4"/>
          <w:sz w:val="32"/>
          <w:szCs w:val="32"/>
        </w:rPr>
        <w:t>(三)部门单位整体预算规模及安排情况</w:t>
      </w:r>
    </w:p>
    <w:p>
      <w:pPr>
        <w:spacing w:line="600" w:lineRule="exact"/>
        <w:ind w:firstLine="640" w:firstLineChars="200"/>
        <w:jc w:val="left"/>
        <w:rPr>
          <w:rFonts w:ascii="黑体" w:hAnsi="黑体" w:eastAsia="黑体" w:cs="黑体"/>
          <w:bCs/>
          <w:color w:val="auto"/>
          <w:sz w:val="32"/>
          <w:szCs w:val="32"/>
        </w:rPr>
      </w:pPr>
      <w:r>
        <w:rPr>
          <w:rFonts w:hint="eastAsia" w:ascii="黑体" w:hAnsi="黑体" w:eastAsia="黑体" w:cs="黑体"/>
          <w:bCs/>
          <w:color w:val="auto"/>
          <w:sz w:val="32"/>
          <w:szCs w:val="32"/>
        </w:rPr>
        <w:t>1.年初预算安排</w:t>
      </w:r>
    </w:p>
    <w:p>
      <w:pPr>
        <w:spacing w:line="600" w:lineRule="exact"/>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2023年我部门年初安排预算数为5579.37万元，其中:上级安排0.00万元,本级安排5579.37万元，其他资金0.00万元。</w:t>
      </w:r>
    </w:p>
    <w:p>
      <w:pPr>
        <w:pStyle w:val="2"/>
        <w:ind w:firstLine="640" w:firstLineChars="200"/>
        <w:rPr>
          <w:rFonts w:ascii="仿宋" w:hAnsi="仿宋" w:eastAsia="仿宋" w:cs="仿宋"/>
          <w:b w:val="0"/>
          <w:bCs w:val="0"/>
          <w:color w:val="auto"/>
        </w:rPr>
      </w:pPr>
      <w:r>
        <w:rPr>
          <w:rFonts w:hint="eastAsia" w:ascii="仿宋" w:hAnsi="仿宋" w:eastAsia="仿宋" w:cs="仿宋"/>
          <w:b w:val="0"/>
          <w:bCs w:val="0"/>
          <w:color w:val="auto"/>
        </w:rPr>
        <w:t>综上所述，部门预算安排与本单位职能关联度较高，预算安排结构清晰明了，能够直观展示各项费用的分配情况，预算规模合理，为单位的稳健发展和高效运行提供了有力保障。</w:t>
      </w:r>
    </w:p>
    <w:p>
      <w:pPr>
        <w:spacing w:line="600" w:lineRule="exact"/>
        <w:ind w:firstLine="640" w:firstLineChars="200"/>
        <w:jc w:val="left"/>
        <w:rPr>
          <w:rFonts w:ascii="黑体" w:hAnsi="黑体" w:eastAsia="黑体" w:cs="黑体"/>
          <w:bCs/>
          <w:color w:val="auto"/>
          <w:sz w:val="32"/>
          <w:szCs w:val="32"/>
        </w:rPr>
      </w:pPr>
      <w:r>
        <w:rPr>
          <w:rFonts w:hint="eastAsia" w:ascii="黑体" w:hAnsi="黑体" w:eastAsia="黑体" w:cs="黑体"/>
          <w:bCs/>
          <w:color w:val="auto"/>
          <w:sz w:val="32"/>
          <w:szCs w:val="32"/>
        </w:rPr>
        <w:t>2.预算年中调整情况</w:t>
      </w:r>
    </w:p>
    <w:p>
      <w:pPr>
        <w:spacing w:line="600" w:lineRule="exact"/>
        <w:ind w:firstLine="640" w:firstLineChars="200"/>
        <w:jc w:val="left"/>
        <w:rPr>
          <w:rFonts w:ascii="仿宋" w:hAnsi="仿宋" w:eastAsia="仿宋" w:cs="仿宋"/>
          <w:bCs/>
          <w:color w:val="auto"/>
          <w:sz w:val="32"/>
          <w:szCs w:val="32"/>
        </w:rPr>
      </w:pPr>
      <w:r>
        <w:rPr>
          <w:rFonts w:hint="eastAsia" w:ascii="仿宋" w:hAnsi="仿宋" w:eastAsia="仿宋" w:cs="仿宋"/>
          <w:bCs/>
          <w:color w:val="auto"/>
          <w:sz w:val="32"/>
          <w:szCs w:val="32"/>
        </w:rPr>
        <w:t>我部门年初安排预算数5579.37万元，年中调整数增加+1594.24万元，调整后全年预算数7173.61万元，预算调整率28.57%。</w:t>
      </w:r>
    </w:p>
    <w:p>
      <w:pPr>
        <w:pStyle w:val="2"/>
        <w:ind w:firstLine="640" w:firstLineChars="200"/>
        <w:rPr>
          <w:rFonts w:ascii="仿宋" w:hAnsi="仿宋" w:eastAsia="仿宋" w:cs="仿宋"/>
          <w:b w:val="0"/>
          <w:color w:val="auto"/>
        </w:rPr>
      </w:pPr>
      <w:r>
        <w:rPr>
          <w:rFonts w:hint="eastAsia" w:ascii="仿宋" w:hAnsi="仿宋" w:eastAsia="仿宋" w:cs="仿宋"/>
          <w:b w:val="0"/>
          <w:color w:val="auto"/>
        </w:rPr>
        <w:t>综上所述，年中预算调整幅度与本单位运转情况和履职情况相匹配，未出现资金收支不平衡以及债务风险等负面影响，确保了预算调整的合理性和必要性。</w:t>
      </w:r>
    </w:p>
    <w:p>
      <w:pPr>
        <w:spacing w:line="600" w:lineRule="exact"/>
        <w:ind w:firstLine="640" w:firstLineChars="200"/>
        <w:jc w:val="left"/>
        <w:rPr>
          <w:rFonts w:ascii="黑体" w:hAnsi="黑体" w:eastAsia="黑体" w:cs="黑体"/>
          <w:bCs/>
          <w:color w:val="auto"/>
          <w:sz w:val="32"/>
          <w:szCs w:val="32"/>
        </w:rPr>
      </w:pPr>
      <w:r>
        <w:rPr>
          <w:rFonts w:hint="eastAsia" w:ascii="黑体" w:hAnsi="黑体" w:eastAsia="黑体" w:cs="黑体"/>
          <w:bCs/>
          <w:color w:val="auto"/>
          <w:sz w:val="32"/>
          <w:szCs w:val="32"/>
        </w:rPr>
        <w:t>3.资金使用主要内容、涉及的范围</w:t>
      </w:r>
    </w:p>
    <w:p>
      <w:pPr>
        <w:spacing w:line="60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我单位2023年度部门整体支出为</w:t>
      </w:r>
      <w:r>
        <w:rPr>
          <w:rFonts w:hint="eastAsia" w:ascii="仿宋" w:hAnsi="仿宋" w:eastAsia="仿宋" w:cs="仿宋"/>
          <w:bCs/>
          <w:color w:val="auto"/>
          <w:sz w:val="32"/>
          <w:szCs w:val="32"/>
        </w:rPr>
        <w:t>7173.61</w:t>
      </w:r>
      <w:r>
        <w:rPr>
          <w:rFonts w:hint="eastAsia" w:ascii="仿宋" w:hAnsi="仿宋" w:eastAsia="仿宋" w:cs="仿宋"/>
          <w:color w:val="auto"/>
          <w:sz w:val="32"/>
          <w:szCs w:val="32"/>
        </w:rPr>
        <w:t>万元，其中：</w:t>
      </w:r>
    </w:p>
    <w:p>
      <w:pPr>
        <w:spacing w:line="60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1）基本支出1301.99万元，主要用于：基本工资、津贴补贴、奖金、机关事业单位基本养老保险缴费、职业年金缴费、职工基本医疗保险缴费、公务员医疗补助缴费、其他社会保障缴费、住房公积金、医疗费、其他工资福利支出、办公费、电费、邮电费、取暖费、差旅费、培训费、专用材料费、劳务费、工会经费、福利费、公务用车运行维护费、其他交通费、退休费，抚恤金，生活补助，医疗补助费。</w:t>
      </w:r>
    </w:p>
    <w:p>
      <w:pPr>
        <w:spacing w:line="60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2）项目支出5871.62万元，主要用于2023年中央水库移民扶持基金项目1.50万元、解决春节前农民工工资项目项目200.00万元、陈福良工程项目资金1206.26万元、隐性债务工程款585.10万元、2023年国家水网骨干工程专项【第一批】中央基建项目1584.78万元、2022年中央水利发展资金81.65万元、2023年中央水利发展资金防汛项目657.11万元、2023年中央水利发展项目195.88万元、2023年新疆专项[第一批]中央基建投资预算项目1359.34万元。</w:t>
      </w:r>
    </w:p>
    <w:p>
      <w:pPr>
        <w:spacing w:line="600" w:lineRule="exact"/>
        <w:ind w:firstLine="640" w:firstLineChars="200"/>
        <w:rPr>
          <w:rFonts w:ascii="黑体" w:hAnsi="黑体" w:eastAsia="黑体" w:cs="黑体"/>
          <w:color w:val="auto"/>
          <w:sz w:val="32"/>
          <w:szCs w:val="32"/>
        </w:rPr>
      </w:pPr>
      <w:r>
        <w:rPr>
          <w:rFonts w:hint="eastAsia" w:ascii="黑体" w:hAnsi="黑体" w:eastAsia="黑体" w:cs="黑体"/>
          <w:color w:val="auto"/>
          <w:sz w:val="32"/>
          <w:szCs w:val="32"/>
        </w:rPr>
        <w:t>二、部门单位整体支出管理及使用情况</w:t>
      </w:r>
    </w:p>
    <w:p>
      <w:pPr>
        <w:spacing w:line="600" w:lineRule="exact"/>
        <w:ind w:firstLine="640" w:firstLineChars="200"/>
        <w:rPr>
          <w:rFonts w:ascii="黑体" w:hAnsi="黑体" w:eastAsia="黑体" w:cs="黑体"/>
          <w:bCs/>
          <w:color w:val="auto"/>
          <w:sz w:val="32"/>
          <w:szCs w:val="32"/>
        </w:rPr>
      </w:pPr>
      <w:r>
        <w:rPr>
          <w:rFonts w:hint="eastAsia" w:ascii="黑体" w:hAnsi="黑体" w:eastAsia="黑体" w:cs="黑体"/>
          <w:bCs/>
          <w:color w:val="auto"/>
          <w:sz w:val="32"/>
          <w:szCs w:val="32"/>
        </w:rPr>
        <w:t>（一）基本支出投入、管理和使用情况</w:t>
      </w:r>
    </w:p>
    <w:p>
      <w:pPr>
        <w:spacing w:line="600" w:lineRule="exact"/>
        <w:ind w:firstLine="640" w:firstLineChars="200"/>
        <w:rPr>
          <w:rFonts w:ascii="黑体" w:hAnsi="黑体" w:eastAsia="黑体" w:cs="黑体"/>
          <w:bCs/>
          <w:color w:val="auto"/>
          <w:sz w:val="32"/>
          <w:szCs w:val="32"/>
        </w:rPr>
      </w:pPr>
      <w:r>
        <w:rPr>
          <w:rFonts w:hint="eastAsia" w:ascii="黑体" w:hAnsi="黑体" w:eastAsia="黑体" w:cs="黑体"/>
          <w:bCs/>
          <w:color w:val="auto"/>
          <w:sz w:val="32"/>
          <w:szCs w:val="32"/>
        </w:rPr>
        <w:t>1.基本支出投入和使用情况</w:t>
      </w:r>
    </w:p>
    <w:p>
      <w:pPr>
        <w:spacing w:line="600" w:lineRule="exact"/>
        <w:ind w:firstLine="640" w:firstLineChars="200"/>
        <w:rPr>
          <w:rFonts w:ascii="仿宋" w:hAnsi="仿宋" w:eastAsia="仿宋" w:cs="仿宋"/>
          <w:bCs/>
          <w:color w:val="auto"/>
          <w:sz w:val="32"/>
          <w:szCs w:val="32"/>
        </w:rPr>
      </w:pPr>
      <w:r>
        <w:rPr>
          <w:rFonts w:hint="eastAsia" w:ascii="仿宋" w:hAnsi="仿宋" w:eastAsia="仿宋" w:cs="仿宋"/>
          <w:bCs/>
          <w:color w:val="auto"/>
          <w:sz w:val="32"/>
          <w:szCs w:val="32"/>
        </w:rPr>
        <w:t>2023年我部门基本支出年初预算安排1284.34万元，全年预算数1301.99万元，全年实际支出数1301.99万元，其中：人员经费1226.83万元，公用经费75.16万元。全年预算执行率100.00%。</w:t>
      </w:r>
    </w:p>
    <w:p>
      <w:pPr>
        <w:spacing w:line="600" w:lineRule="exact"/>
        <w:ind w:firstLine="640" w:firstLineChars="200"/>
        <w:rPr>
          <w:rFonts w:ascii="黑体" w:hAnsi="黑体" w:eastAsia="黑体" w:cs="黑体"/>
          <w:bCs/>
          <w:color w:val="auto"/>
          <w:sz w:val="32"/>
          <w:szCs w:val="32"/>
        </w:rPr>
      </w:pPr>
      <w:r>
        <w:rPr>
          <w:rFonts w:hint="eastAsia" w:ascii="黑体" w:hAnsi="黑体" w:eastAsia="黑体" w:cs="黑体"/>
          <w:bCs/>
          <w:color w:val="auto"/>
          <w:sz w:val="32"/>
          <w:szCs w:val="32"/>
        </w:rPr>
        <w:t>2.基本支出管理情况</w:t>
      </w:r>
    </w:p>
    <w:p>
      <w:pPr>
        <w:spacing w:line="600" w:lineRule="exact"/>
        <w:ind w:firstLine="640" w:firstLineChars="200"/>
        <w:rPr>
          <w:rFonts w:ascii="仿宋" w:hAnsi="仿宋" w:eastAsia="仿宋" w:cs="仿宋"/>
          <w:bCs/>
          <w:color w:val="auto"/>
          <w:sz w:val="32"/>
          <w:szCs w:val="32"/>
        </w:rPr>
      </w:pPr>
      <w:r>
        <w:rPr>
          <w:rFonts w:hint="eastAsia" w:ascii="仿宋" w:hAnsi="仿宋" w:eastAsia="仿宋" w:cs="仿宋"/>
          <w:bCs/>
          <w:color w:val="auto"/>
          <w:sz w:val="32"/>
          <w:szCs w:val="32"/>
        </w:rPr>
        <w:t>基本支出严格按照财务管理制度执行。人员工资由相关部门严格审核，按月申报及发放。基本公用经费主要用于支付单位日常的办公费、电费、邮电费、取暖费、差旅费、培训费、专用材料费、劳务费、工会经费、福利费、公务用车运行维护费、其他交通费用。公务用车运行维护费主要用于单位车辆加油、维修及购买车辆保险。</w:t>
      </w:r>
    </w:p>
    <w:p>
      <w:pPr>
        <w:pStyle w:val="2"/>
        <w:spacing w:line="600" w:lineRule="exact"/>
        <w:ind w:firstLine="640" w:firstLineChars="200"/>
        <w:rPr>
          <w:rFonts w:ascii="黑体" w:hAnsi="黑体" w:eastAsia="黑体" w:cs="黑体"/>
          <w:b w:val="0"/>
          <w:bCs w:val="0"/>
          <w:color w:val="auto"/>
        </w:rPr>
      </w:pPr>
      <w:r>
        <w:rPr>
          <w:rFonts w:hint="eastAsia" w:ascii="黑体" w:hAnsi="黑体" w:eastAsia="黑体" w:cs="黑体"/>
          <w:b w:val="0"/>
          <w:bCs w:val="0"/>
          <w:color w:val="auto"/>
        </w:rPr>
        <w:t>（二）项目支出投入、管理和使用情况</w:t>
      </w:r>
    </w:p>
    <w:p>
      <w:pPr>
        <w:spacing w:line="600" w:lineRule="exact"/>
        <w:ind w:firstLine="640" w:firstLineChars="200"/>
        <w:rPr>
          <w:rFonts w:ascii="黑体" w:hAnsi="黑体" w:eastAsia="黑体" w:cs="黑体"/>
          <w:color w:val="auto"/>
          <w:sz w:val="32"/>
          <w:szCs w:val="32"/>
        </w:rPr>
      </w:pPr>
      <w:r>
        <w:rPr>
          <w:rFonts w:hint="eastAsia" w:ascii="黑体" w:hAnsi="黑体" w:eastAsia="黑体" w:cs="黑体"/>
          <w:color w:val="auto"/>
          <w:sz w:val="32"/>
          <w:szCs w:val="32"/>
        </w:rPr>
        <w:t>1.项目支出投入和使用情况</w:t>
      </w:r>
    </w:p>
    <w:p>
      <w:pPr>
        <w:spacing w:line="600" w:lineRule="exact"/>
        <w:ind w:firstLine="640" w:firstLineChars="200"/>
        <w:rPr>
          <w:rFonts w:ascii="仿宋" w:hAnsi="仿宋" w:eastAsia="仿宋" w:cs="仿宋"/>
          <w:bCs/>
          <w:color w:val="auto"/>
          <w:sz w:val="32"/>
          <w:szCs w:val="32"/>
        </w:rPr>
      </w:pPr>
      <w:r>
        <w:rPr>
          <w:rFonts w:hint="eastAsia" w:ascii="仿宋" w:hAnsi="仿宋" w:eastAsia="仿宋" w:cs="仿宋"/>
          <w:bCs/>
          <w:color w:val="auto"/>
          <w:sz w:val="32"/>
          <w:szCs w:val="32"/>
        </w:rPr>
        <w:t>2023年本单位共安排9个项目，全年预算数为5871.62万元，全年实际支出数5871.62万元，执行率100.00%。</w:t>
      </w:r>
    </w:p>
    <w:p>
      <w:pPr>
        <w:spacing w:line="600" w:lineRule="exact"/>
        <w:ind w:firstLine="640" w:firstLineChars="200"/>
        <w:rPr>
          <w:rFonts w:ascii="仿宋" w:hAnsi="仿宋" w:eastAsia="仿宋" w:cs="仿宋"/>
          <w:bCs/>
          <w:color w:val="auto"/>
          <w:sz w:val="32"/>
          <w:szCs w:val="32"/>
        </w:rPr>
      </w:pPr>
      <w:r>
        <w:rPr>
          <w:rFonts w:hint="eastAsia" w:ascii="仿宋" w:hAnsi="仿宋" w:eastAsia="仿宋" w:cs="仿宋"/>
          <w:bCs/>
          <w:color w:val="auto"/>
          <w:sz w:val="32"/>
          <w:szCs w:val="32"/>
        </w:rPr>
        <w:t>其中:上级安排项目9个5871.62万元，本级安排项目0个0.00万元,其他资金安排项目0个0.00万元。</w:t>
      </w:r>
    </w:p>
    <w:p>
      <w:pPr>
        <w:spacing w:line="600" w:lineRule="exact"/>
        <w:ind w:firstLine="640" w:firstLineChars="200"/>
        <w:jc w:val="left"/>
        <w:rPr>
          <w:rFonts w:ascii="黑体" w:hAnsi="黑体" w:eastAsia="黑体" w:cs="黑体"/>
          <w:color w:val="auto"/>
          <w:sz w:val="32"/>
          <w:szCs w:val="32"/>
        </w:rPr>
      </w:pPr>
      <w:r>
        <w:rPr>
          <w:rFonts w:hint="eastAsia" w:ascii="黑体" w:hAnsi="黑体" w:eastAsia="黑体" w:cs="黑体"/>
          <w:color w:val="auto"/>
          <w:sz w:val="32"/>
          <w:szCs w:val="32"/>
        </w:rPr>
        <w:t>2.项目支出管理情况</w:t>
      </w:r>
    </w:p>
    <w:p>
      <w:pPr>
        <w:spacing w:line="600" w:lineRule="exact"/>
        <w:ind w:firstLine="640" w:firstLineChars="200"/>
        <w:rPr>
          <w:rFonts w:ascii="仿宋" w:hAnsi="仿宋" w:eastAsia="仿宋" w:cs="仿宋"/>
          <w:bCs/>
          <w:color w:val="auto"/>
          <w:sz w:val="32"/>
          <w:szCs w:val="32"/>
        </w:rPr>
      </w:pPr>
      <w:r>
        <w:rPr>
          <w:rFonts w:hint="eastAsia" w:ascii="仿宋" w:hAnsi="仿宋" w:eastAsia="仿宋" w:cs="仿宋"/>
          <w:bCs/>
          <w:color w:val="auto"/>
          <w:sz w:val="32"/>
          <w:szCs w:val="32"/>
        </w:rPr>
        <w:t>（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w:t>
      </w:r>
    </w:p>
    <w:p>
      <w:pPr>
        <w:spacing w:line="600" w:lineRule="exact"/>
        <w:ind w:firstLine="640" w:firstLineChars="200"/>
        <w:rPr>
          <w:rFonts w:ascii="仿宋" w:hAnsi="仿宋" w:eastAsia="仿宋" w:cs="仿宋"/>
          <w:bCs/>
          <w:color w:val="auto"/>
          <w:sz w:val="32"/>
          <w:szCs w:val="32"/>
        </w:rPr>
      </w:pPr>
      <w:r>
        <w:rPr>
          <w:rFonts w:hint="eastAsia" w:ascii="仿宋" w:hAnsi="仿宋" w:eastAsia="仿宋" w:cs="仿宋"/>
          <w:bCs/>
          <w:color w:val="auto"/>
          <w:sz w:val="32"/>
          <w:szCs w:val="32"/>
        </w:rPr>
        <w:t>（2）资金拨付审批手续完整。项目资金专款专用，不存在支出依据不合规，序列项目支出，截留，挤占，挪用和超标准支出等现象，使项目资金的运用得到了合理的控制，项目得到了切实的保障。</w:t>
      </w:r>
    </w:p>
    <w:p>
      <w:pPr>
        <w:spacing w:line="600" w:lineRule="exact"/>
        <w:ind w:firstLine="640" w:firstLineChars="200"/>
        <w:rPr>
          <w:rFonts w:ascii="仿宋" w:hAnsi="仿宋" w:eastAsia="仿宋" w:cs="仿宋"/>
          <w:bCs/>
          <w:color w:val="auto"/>
          <w:sz w:val="32"/>
          <w:szCs w:val="32"/>
        </w:rPr>
      </w:pPr>
      <w:r>
        <w:rPr>
          <w:rFonts w:hint="eastAsia" w:ascii="仿宋" w:hAnsi="仿宋" w:eastAsia="仿宋" w:cs="仿宋"/>
          <w:bCs/>
          <w:color w:val="auto"/>
          <w:sz w:val="32"/>
          <w:szCs w:val="32"/>
        </w:rPr>
        <w:t>（3）会计信息质量真实。严格执行《会计法》等财经法规，严格按照相关会计制度办理会计业务，进行会计核算，并做好会计记录，真实的反映项目资金管理情况，并接受财政、审批部门及上级主管部门的检查、监督。</w:t>
      </w:r>
    </w:p>
    <w:p>
      <w:pPr>
        <w:spacing w:line="600" w:lineRule="exact"/>
        <w:ind w:firstLine="640" w:firstLineChars="200"/>
        <w:rPr>
          <w:rFonts w:ascii="仿宋" w:hAnsi="仿宋" w:eastAsia="仿宋" w:cs="仿宋"/>
          <w:bCs/>
          <w:color w:val="auto"/>
          <w:sz w:val="32"/>
          <w:szCs w:val="32"/>
        </w:rPr>
      </w:pPr>
      <w:r>
        <w:rPr>
          <w:rFonts w:hint="eastAsia" w:ascii="仿宋" w:hAnsi="仿宋" w:eastAsia="仿宋" w:cs="仿宋"/>
          <w:bCs/>
          <w:color w:val="auto"/>
          <w:sz w:val="32"/>
          <w:szCs w:val="32"/>
        </w:rPr>
        <w:t>（4）执行预决算管理。严格按预算管理要求使用资金，严格按进度和合同拨付资金，严格执行政府采购制度；严格执行国库集中支付制度，严防截留、挪用资金。</w:t>
      </w:r>
    </w:p>
    <w:p>
      <w:pPr>
        <w:spacing w:line="600" w:lineRule="exact"/>
        <w:ind w:firstLine="640" w:firstLineChars="200"/>
        <w:rPr>
          <w:rStyle w:val="8"/>
          <w:rFonts w:ascii="仿宋_GB2312" w:hAnsi="楷体" w:eastAsia="仿宋_GB2312" w:cs="Times New Roman"/>
          <w:b w:val="0"/>
          <w:color w:val="auto"/>
          <w:spacing w:val="-4"/>
          <w:sz w:val="32"/>
          <w:szCs w:val="32"/>
        </w:rPr>
      </w:pPr>
      <w:r>
        <w:rPr>
          <w:rFonts w:hint="eastAsia" w:ascii="黑体" w:hAnsi="黑体" w:eastAsia="黑体" w:cs="黑体"/>
          <w:color w:val="auto"/>
          <w:sz w:val="32"/>
          <w:szCs w:val="32"/>
        </w:rPr>
        <w:t>三、部门单位整体支出绩效分析</w:t>
      </w:r>
    </w:p>
    <w:p>
      <w:pPr>
        <w:spacing w:line="600" w:lineRule="exact"/>
        <w:ind w:firstLine="624" w:firstLineChars="200"/>
        <w:rPr>
          <w:rStyle w:val="8"/>
          <w:rFonts w:ascii="仿宋" w:hAnsi="仿宋" w:eastAsia="仿宋" w:cs="仿宋"/>
          <w:b w:val="0"/>
          <w:color w:val="auto"/>
          <w:spacing w:val="-4"/>
          <w:sz w:val="32"/>
          <w:szCs w:val="32"/>
        </w:rPr>
      </w:pPr>
      <w:r>
        <w:rPr>
          <w:rStyle w:val="8"/>
          <w:rFonts w:hint="eastAsia" w:ascii="仿宋" w:hAnsi="仿宋" w:eastAsia="仿宋" w:cs="仿宋"/>
          <w:b w:val="0"/>
          <w:color w:val="auto"/>
          <w:spacing w:val="-4"/>
          <w:sz w:val="32"/>
          <w:szCs w:val="32"/>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p>
    <w:p>
      <w:pPr>
        <w:spacing w:line="600" w:lineRule="exact"/>
        <w:ind w:firstLine="624" w:firstLineChars="200"/>
        <w:rPr>
          <w:rStyle w:val="8"/>
          <w:rFonts w:ascii="仿宋" w:hAnsi="仿宋" w:eastAsia="仿宋" w:cs="仿宋"/>
          <w:b w:val="0"/>
          <w:color w:val="auto"/>
          <w:spacing w:val="-4"/>
          <w:sz w:val="32"/>
          <w:szCs w:val="32"/>
        </w:rPr>
      </w:pPr>
      <w:r>
        <w:rPr>
          <w:rStyle w:val="8"/>
          <w:rFonts w:hint="eastAsia" w:ascii="仿宋" w:hAnsi="仿宋" w:eastAsia="仿宋" w:cs="仿宋"/>
          <w:b w:val="0"/>
          <w:color w:val="auto"/>
          <w:spacing w:val="-4"/>
          <w:sz w:val="32"/>
          <w:szCs w:val="32"/>
        </w:rPr>
        <w:t>我单位将部门单位整体绩效目标细化分解为具体的绩效指标，一级指标共1条，二级指标共1条，三级指标共4条，其中量化指标条数共4条，所有绩效指标均通过清晰、可衡量的指标值予以体现。</w:t>
      </w:r>
    </w:p>
    <w:p>
      <w:pPr>
        <w:spacing w:line="600" w:lineRule="exact"/>
        <w:ind w:firstLine="624" w:firstLineChars="200"/>
        <w:rPr>
          <w:rStyle w:val="8"/>
          <w:rFonts w:ascii="黑体" w:hAnsi="黑体" w:eastAsia="黑体" w:cs="黑体"/>
          <w:b w:val="0"/>
          <w:color w:val="auto"/>
          <w:spacing w:val="-4"/>
          <w:sz w:val="32"/>
          <w:szCs w:val="32"/>
        </w:rPr>
      </w:pPr>
      <w:r>
        <w:rPr>
          <w:rStyle w:val="8"/>
          <w:rFonts w:hint="eastAsia" w:ascii="黑体" w:hAnsi="黑体" w:eastAsia="黑体" w:cs="黑体"/>
          <w:b w:val="0"/>
          <w:color w:val="auto"/>
          <w:spacing w:val="-4"/>
          <w:sz w:val="32"/>
          <w:szCs w:val="32"/>
        </w:rPr>
        <w:t>（一）指标一：运行成本</w:t>
      </w:r>
    </w:p>
    <w:p>
      <w:pPr>
        <w:spacing w:line="600" w:lineRule="exact"/>
        <w:ind w:firstLine="624" w:firstLineChars="200"/>
        <w:rPr>
          <w:rStyle w:val="8"/>
          <w:rFonts w:ascii="仿宋" w:hAnsi="仿宋" w:eastAsia="仿宋" w:cs="仿宋"/>
          <w:b w:val="0"/>
          <w:color w:val="auto"/>
          <w:spacing w:val="-4"/>
          <w:sz w:val="32"/>
          <w:szCs w:val="32"/>
        </w:rPr>
      </w:pPr>
      <w:r>
        <w:rPr>
          <w:rStyle w:val="8"/>
          <w:rFonts w:hint="eastAsia" w:ascii="仿宋" w:hAnsi="仿宋" w:eastAsia="仿宋" w:cs="仿宋"/>
          <w:b w:val="0"/>
          <w:color w:val="auto"/>
          <w:spacing w:val="-4"/>
          <w:sz w:val="32"/>
          <w:szCs w:val="32"/>
        </w:rPr>
        <w:t>无此项指标。</w:t>
      </w:r>
    </w:p>
    <w:p>
      <w:pPr>
        <w:spacing w:line="600" w:lineRule="exact"/>
        <w:ind w:firstLine="624" w:firstLineChars="200"/>
        <w:rPr>
          <w:rStyle w:val="8"/>
          <w:rFonts w:ascii="黑体" w:hAnsi="黑体" w:eastAsia="黑体" w:cs="黑体"/>
          <w:b w:val="0"/>
          <w:color w:val="auto"/>
          <w:spacing w:val="-4"/>
          <w:sz w:val="32"/>
          <w:szCs w:val="32"/>
        </w:rPr>
      </w:pPr>
      <w:r>
        <w:rPr>
          <w:rStyle w:val="8"/>
          <w:rFonts w:hint="eastAsia" w:ascii="黑体" w:hAnsi="黑体" w:eastAsia="黑体" w:cs="黑体"/>
          <w:b w:val="0"/>
          <w:color w:val="auto"/>
          <w:spacing w:val="-4"/>
          <w:sz w:val="32"/>
          <w:szCs w:val="32"/>
        </w:rPr>
        <w:t>（二）指标二：管理效率</w:t>
      </w:r>
    </w:p>
    <w:p>
      <w:pPr>
        <w:spacing w:line="600" w:lineRule="exact"/>
        <w:ind w:firstLine="624" w:firstLineChars="200"/>
        <w:rPr>
          <w:rStyle w:val="8"/>
          <w:rFonts w:ascii="仿宋" w:hAnsi="仿宋" w:eastAsia="仿宋" w:cs="仿宋"/>
          <w:b w:val="0"/>
          <w:color w:val="auto"/>
          <w:spacing w:val="-4"/>
          <w:sz w:val="32"/>
          <w:szCs w:val="32"/>
        </w:rPr>
      </w:pPr>
      <w:r>
        <w:rPr>
          <w:rStyle w:val="8"/>
          <w:rFonts w:hint="eastAsia" w:ascii="仿宋" w:hAnsi="仿宋" w:eastAsia="仿宋" w:cs="仿宋"/>
          <w:b w:val="0"/>
          <w:color w:val="auto"/>
          <w:spacing w:val="-4"/>
          <w:sz w:val="32"/>
          <w:szCs w:val="32"/>
        </w:rPr>
        <w:t>无此项指标。</w:t>
      </w:r>
    </w:p>
    <w:p>
      <w:pPr>
        <w:spacing w:line="600" w:lineRule="exact"/>
        <w:ind w:firstLine="624" w:firstLineChars="200"/>
        <w:rPr>
          <w:rStyle w:val="8"/>
          <w:rFonts w:ascii="黑体" w:hAnsi="黑体" w:eastAsia="黑体" w:cs="黑体"/>
          <w:b w:val="0"/>
          <w:color w:val="auto"/>
          <w:spacing w:val="-4"/>
          <w:sz w:val="32"/>
          <w:szCs w:val="32"/>
        </w:rPr>
      </w:pPr>
      <w:r>
        <w:rPr>
          <w:rStyle w:val="8"/>
          <w:rFonts w:hint="eastAsia" w:ascii="黑体" w:hAnsi="黑体" w:eastAsia="黑体" w:cs="黑体"/>
          <w:b w:val="0"/>
          <w:color w:val="auto"/>
          <w:spacing w:val="-4"/>
          <w:sz w:val="32"/>
          <w:szCs w:val="32"/>
        </w:rPr>
        <w:t>（三）指标三：履职效能</w:t>
      </w:r>
    </w:p>
    <w:p>
      <w:pPr>
        <w:spacing w:line="600" w:lineRule="exact"/>
        <w:ind w:firstLine="624" w:firstLineChars="200"/>
        <w:rPr>
          <w:rStyle w:val="8"/>
          <w:rFonts w:ascii="仿宋" w:hAnsi="仿宋" w:eastAsia="仿宋" w:cs="仿宋"/>
          <w:b w:val="0"/>
          <w:color w:val="auto"/>
          <w:spacing w:val="-4"/>
          <w:sz w:val="32"/>
          <w:szCs w:val="32"/>
        </w:rPr>
      </w:pPr>
      <w:r>
        <w:rPr>
          <w:rStyle w:val="8"/>
          <w:rFonts w:hint="eastAsia" w:ascii="仿宋" w:hAnsi="仿宋" w:eastAsia="仿宋" w:cs="仿宋"/>
          <w:b w:val="0"/>
          <w:color w:val="auto"/>
          <w:spacing w:val="-4"/>
          <w:sz w:val="32"/>
          <w:szCs w:val="32"/>
        </w:rPr>
        <w:t>数量指标1：开展项目个数,预期指标值为：&gt;=6项；监控节点完成值：=6项；评价实际完成值：=9项；指标完成率：100.00%；成效分析：提高站位、布局精准，推动实施9个水利项目，着力解决我市地下水超采、渠道防渗率底、河道堤防损毁、农村供水管网老化等突出问题。</w:t>
      </w:r>
    </w:p>
    <w:p>
      <w:pPr>
        <w:spacing w:line="560" w:lineRule="exact"/>
        <w:ind w:firstLine="312" w:firstLineChars="100"/>
        <w:rPr>
          <w:rStyle w:val="8"/>
          <w:rFonts w:ascii="仿宋" w:hAnsi="仿宋" w:eastAsia="仿宋" w:cs="仿宋"/>
          <w:b w:val="0"/>
          <w:color w:val="auto"/>
          <w:spacing w:val="-4"/>
          <w:sz w:val="32"/>
          <w:szCs w:val="32"/>
        </w:rPr>
      </w:pPr>
      <w:r>
        <w:rPr>
          <w:rStyle w:val="8"/>
          <w:rFonts w:hint="eastAsia" w:ascii="仿宋" w:hAnsi="仿宋" w:eastAsia="仿宋" w:cs="仿宋"/>
          <w:b w:val="0"/>
          <w:color w:val="auto"/>
          <w:spacing w:val="-4"/>
          <w:sz w:val="32"/>
          <w:szCs w:val="32"/>
        </w:rPr>
        <w:t>数量指标2：优化水管站数量,预期指标值为：&gt;=3个；监控节点完成值：=3个；评价实际完成值：=</w:t>
      </w:r>
      <w:r>
        <w:rPr>
          <w:rStyle w:val="8"/>
          <w:rFonts w:hint="eastAsia" w:ascii="仿宋" w:hAnsi="仿宋" w:eastAsia="仿宋" w:cs="仿宋"/>
          <w:b w:val="0"/>
          <w:color w:val="auto"/>
          <w:spacing w:val="-4"/>
          <w:sz w:val="32"/>
          <w:szCs w:val="32"/>
          <w:lang w:val="en-US" w:eastAsia="zh-CN"/>
        </w:rPr>
        <w:t>5</w:t>
      </w:r>
      <w:r>
        <w:rPr>
          <w:rStyle w:val="8"/>
          <w:rFonts w:hint="eastAsia" w:ascii="仿宋" w:hAnsi="仿宋" w:eastAsia="仿宋" w:cs="仿宋"/>
          <w:b w:val="0"/>
          <w:color w:val="auto"/>
          <w:spacing w:val="-4"/>
          <w:sz w:val="32"/>
          <w:szCs w:val="32"/>
        </w:rPr>
        <w:t>个；指标完成率：100.00%；成效分析：分片区做好用水管理，落实“四到户”工作，实行24小时轮灌制度，细化用水测量，与用水户双方签字认可，用水管理透明化、精细化、落实超定额累进加价制度，水费核算结果张榜公示。</w:t>
      </w:r>
    </w:p>
    <w:p>
      <w:pPr>
        <w:spacing w:line="560" w:lineRule="exact"/>
        <w:ind w:firstLine="312" w:firstLineChars="100"/>
        <w:rPr>
          <w:rStyle w:val="8"/>
          <w:rFonts w:ascii="仿宋" w:hAnsi="仿宋" w:eastAsia="仿宋" w:cs="仿宋"/>
          <w:b w:val="0"/>
          <w:color w:val="auto"/>
          <w:spacing w:val="-4"/>
          <w:sz w:val="32"/>
          <w:szCs w:val="32"/>
        </w:rPr>
      </w:pPr>
      <w:r>
        <w:rPr>
          <w:rStyle w:val="8"/>
          <w:rFonts w:hint="eastAsia" w:ascii="仿宋" w:hAnsi="仿宋" w:eastAsia="仿宋" w:cs="仿宋"/>
          <w:b w:val="0"/>
          <w:color w:val="auto"/>
          <w:spacing w:val="-4"/>
          <w:sz w:val="32"/>
          <w:szCs w:val="32"/>
        </w:rPr>
        <w:t>数量指标3：保障粮食作物灌溉亩数,预期指标值为：&gt;=14万亩；监控节点完成值：=14万亩；评价实际完成值：=14万亩；指标完成率：100.00%；成效分析：</w:t>
      </w:r>
      <w:r>
        <w:rPr>
          <w:rStyle w:val="8"/>
          <w:rFonts w:ascii="仿宋" w:hAnsi="仿宋" w:eastAsia="仿宋" w:cs="仿宋"/>
          <w:b w:val="0"/>
          <w:color w:val="auto"/>
          <w:spacing w:val="-4"/>
          <w:sz w:val="32"/>
          <w:szCs w:val="32"/>
        </w:rPr>
        <w:t>保障渠道安全、水流畅通，各类建筑物和各级水利工程运行正常，为农业灌溉打下坚实的基础。在农业灌溉期间督促各基层水管人员做好用水情况全过程管理，优先保障粮食生产用水，实时巡视检查渠道运行情况，发现问题及时组织渠道清淤及维护。积极同塔里木河流域巴音郭楞管理局对接，协调用水计划、放水时间、时长等，确保农业灌溉不误农时、有序进行。解决好普惠地区用水困难问题</w:t>
      </w:r>
      <w:r>
        <w:rPr>
          <w:rStyle w:val="8"/>
          <w:rFonts w:hint="eastAsia" w:ascii="仿宋" w:hAnsi="仿宋" w:eastAsia="仿宋" w:cs="仿宋"/>
          <w:b w:val="0"/>
          <w:color w:val="auto"/>
          <w:spacing w:val="-4"/>
          <w:sz w:val="32"/>
          <w:szCs w:val="32"/>
        </w:rPr>
        <w:t>，</w:t>
      </w:r>
      <w:r>
        <w:rPr>
          <w:rStyle w:val="8"/>
          <w:rFonts w:ascii="仿宋" w:hAnsi="仿宋" w:eastAsia="仿宋" w:cs="仿宋"/>
          <w:b w:val="0"/>
          <w:color w:val="auto"/>
          <w:spacing w:val="-4"/>
          <w:sz w:val="32"/>
          <w:szCs w:val="32"/>
        </w:rPr>
        <w:t>制定夏灌农业用水管理方案，规定轮灌时间，规范用水秩序，</w:t>
      </w:r>
      <w:r>
        <w:rPr>
          <w:rStyle w:val="8"/>
          <w:rFonts w:hint="eastAsia" w:ascii="仿宋" w:hAnsi="仿宋" w:eastAsia="仿宋" w:cs="仿宋"/>
          <w:b w:val="0"/>
          <w:color w:val="auto"/>
          <w:spacing w:val="-4"/>
          <w:sz w:val="32"/>
          <w:szCs w:val="32"/>
        </w:rPr>
        <w:t>促进</w:t>
      </w:r>
      <w:r>
        <w:rPr>
          <w:rStyle w:val="8"/>
          <w:rFonts w:ascii="仿宋" w:hAnsi="仿宋" w:eastAsia="仿宋" w:cs="仿宋"/>
          <w:b w:val="0"/>
          <w:color w:val="auto"/>
          <w:spacing w:val="-4"/>
          <w:sz w:val="32"/>
          <w:szCs w:val="32"/>
        </w:rPr>
        <w:t>水资源集约高效利用。</w:t>
      </w:r>
    </w:p>
    <w:p>
      <w:pPr>
        <w:spacing w:line="560" w:lineRule="exact"/>
        <w:ind w:firstLine="312" w:firstLineChars="100"/>
        <w:rPr>
          <w:rStyle w:val="8"/>
          <w:rFonts w:ascii="仿宋" w:hAnsi="仿宋" w:eastAsia="仿宋" w:cs="仿宋"/>
          <w:b w:val="0"/>
          <w:color w:val="auto"/>
          <w:spacing w:val="-4"/>
          <w:sz w:val="32"/>
          <w:szCs w:val="32"/>
        </w:rPr>
      </w:pPr>
      <w:r>
        <w:rPr>
          <w:rStyle w:val="8"/>
          <w:rFonts w:hint="eastAsia" w:ascii="仿宋" w:hAnsi="仿宋" w:eastAsia="仿宋" w:cs="仿宋"/>
          <w:b w:val="0"/>
          <w:color w:val="auto"/>
          <w:spacing w:val="-4"/>
          <w:sz w:val="32"/>
          <w:szCs w:val="32"/>
        </w:rPr>
        <w:t>数量指标4：开展水质检查次数,预期指标值为：&gt;=2次；监控节点完成值：=1次；评价实际完成值：=2次；指标完成率：100</w:t>
      </w:r>
      <w:r>
        <w:rPr>
          <w:rStyle w:val="8"/>
          <w:rFonts w:ascii="仿宋" w:hAnsi="仿宋" w:eastAsia="仿宋" w:cs="仿宋"/>
          <w:b w:val="0"/>
          <w:color w:val="auto"/>
          <w:spacing w:val="-4"/>
          <w:sz w:val="32"/>
          <w:szCs w:val="32"/>
        </w:rPr>
        <w:t>.00</w:t>
      </w:r>
      <w:r>
        <w:rPr>
          <w:rStyle w:val="8"/>
          <w:rFonts w:hint="eastAsia" w:ascii="仿宋" w:hAnsi="仿宋" w:eastAsia="仿宋" w:cs="仿宋"/>
          <w:b w:val="0"/>
          <w:color w:val="auto"/>
          <w:spacing w:val="-4"/>
          <w:sz w:val="32"/>
          <w:szCs w:val="32"/>
        </w:rPr>
        <w:t>%；成效分析：每年委托市疾控中心分别于上半年、下半年开展2次水质检测，同时</w:t>
      </w:r>
      <w:r>
        <w:rPr>
          <w:rStyle w:val="8"/>
          <w:rFonts w:ascii="仿宋" w:hAnsi="仿宋" w:eastAsia="仿宋" w:cs="仿宋"/>
          <w:b w:val="0"/>
          <w:color w:val="auto"/>
          <w:spacing w:val="-4"/>
          <w:sz w:val="32"/>
          <w:szCs w:val="32"/>
        </w:rPr>
        <w:t>委托第三方开展水质检测，</w:t>
      </w:r>
      <w:r>
        <w:rPr>
          <w:rStyle w:val="8"/>
          <w:rFonts w:hint="eastAsia" w:ascii="仿宋" w:hAnsi="仿宋" w:eastAsia="仿宋" w:cs="仿宋"/>
          <w:b w:val="0"/>
          <w:color w:val="auto"/>
          <w:spacing w:val="-4"/>
          <w:sz w:val="32"/>
          <w:szCs w:val="32"/>
        </w:rPr>
        <w:t>对水质做好监测管理，经检测我市</w:t>
      </w:r>
      <w:r>
        <w:rPr>
          <w:rStyle w:val="8"/>
          <w:rFonts w:ascii="仿宋" w:hAnsi="仿宋" w:eastAsia="仿宋" w:cs="仿宋"/>
          <w:b w:val="0"/>
          <w:color w:val="auto"/>
          <w:spacing w:val="-4"/>
          <w:sz w:val="32"/>
          <w:szCs w:val="32"/>
        </w:rPr>
        <w:t>农村饮用水水质</w:t>
      </w:r>
      <w:r>
        <w:rPr>
          <w:rStyle w:val="8"/>
          <w:rFonts w:hint="eastAsia" w:ascii="仿宋" w:hAnsi="仿宋" w:eastAsia="仿宋" w:cs="仿宋"/>
          <w:b w:val="0"/>
          <w:color w:val="auto"/>
          <w:spacing w:val="-4"/>
          <w:sz w:val="32"/>
          <w:szCs w:val="32"/>
        </w:rPr>
        <w:t>已</w:t>
      </w:r>
      <w:r>
        <w:rPr>
          <w:rStyle w:val="8"/>
          <w:rFonts w:ascii="仿宋" w:hAnsi="仿宋" w:eastAsia="仿宋" w:cs="仿宋"/>
          <w:b w:val="0"/>
          <w:color w:val="auto"/>
          <w:spacing w:val="-4"/>
          <w:sz w:val="32"/>
          <w:szCs w:val="32"/>
        </w:rPr>
        <w:t>达</w:t>
      </w:r>
      <w:r>
        <w:rPr>
          <w:rStyle w:val="8"/>
          <w:rFonts w:hint="eastAsia" w:ascii="仿宋" w:hAnsi="仿宋" w:eastAsia="仿宋" w:cs="仿宋"/>
          <w:b w:val="0"/>
          <w:color w:val="auto"/>
          <w:spacing w:val="-4"/>
          <w:sz w:val="32"/>
          <w:szCs w:val="32"/>
        </w:rPr>
        <w:t>到国家生活饮用水安全标准。</w:t>
      </w:r>
    </w:p>
    <w:p>
      <w:pPr>
        <w:spacing w:line="600" w:lineRule="exact"/>
        <w:ind w:firstLine="624" w:firstLineChars="200"/>
        <w:rPr>
          <w:rStyle w:val="8"/>
          <w:rFonts w:ascii="黑体" w:hAnsi="黑体" w:eastAsia="黑体" w:cs="黑体"/>
          <w:b w:val="0"/>
          <w:color w:val="auto"/>
          <w:spacing w:val="-4"/>
          <w:sz w:val="32"/>
          <w:szCs w:val="32"/>
        </w:rPr>
      </w:pPr>
      <w:r>
        <w:rPr>
          <w:rStyle w:val="8"/>
          <w:rFonts w:hint="eastAsia" w:ascii="黑体" w:hAnsi="黑体" w:eastAsia="黑体" w:cs="黑体"/>
          <w:b w:val="0"/>
          <w:color w:val="auto"/>
          <w:spacing w:val="-4"/>
          <w:sz w:val="32"/>
          <w:szCs w:val="32"/>
        </w:rPr>
        <w:t>（四）指标四：社会效益</w:t>
      </w:r>
    </w:p>
    <w:p>
      <w:pPr>
        <w:spacing w:line="560" w:lineRule="exact"/>
        <w:ind w:firstLine="312" w:firstLineChars="100"/>
        <w:rPr>
          <w:rStyle w:val="8"/>
          <w:rFonts w:ascii="仿宋" w:hAnsi="仿宋" w:eastAsia="仿宋" w:cs="仿宋"/>
          <w:b w:val="0"/>
          <w:color w:val="auto"/>
          <w:spacing w:val="-4"/>
          <w:sz w:val="32"/>
          <w:szCs w:val="32"/>
        </w:rPr>
      </w:pPr>
      <w:r>
        <w:rPr>
          <w:rStyle w:val="8"/>
          <w:rFonts w:hint="eastAsia" w:ascii="仿宋" w:hAnsi="仿宋" w:eastAsia="仿宋" w:cs="仿宋"/>
          <w:b w:val="0"/>
          <w:color w:val="auto"/>
          <w:spacing w:val="-4"/>
          <w:sz w:val="32"/>
          <w:szCs w:val="32"/>
        </w:rPr>
        <w:t>无此项指标。</w:t>
      </w:r>
    </w:p>
    <w:p>
      <w:pPr>
        <w:spacing w:line="600" w:lineRule="exact"/>
        <w:ind w:firstLine="624" w:firstLineChars="200"/>
        <w:rPr>
          <w:rStyle w:val="8"/>
          <w:rFonts w:ascii="黑体" w:hAnsi="黑体" w:eastAsia="黑体" w:cs="黑体"/>
          <w:b w:val="0"/>
          <w:color w:val="auto"/>
          <w:spacing w:val="-4"/>
          <w:sz w:val="32"/>
          <w:szCs w:val="32"/>
        </w:rPr>
      </w:pPr>
      <w:r>
        <w:rPr>
          <w:rStyle w:val="8"/>
          <w:rFonts w:hint="eastAsia" w:ascii="黑体" w:hAnsi="黑体" w:eastAsia="黑体" w:cs="黑体"/>
          <w:b w:val="0"/>
          <w:color w:val="auto"/>
          <w:spacing w:val="-4"/>
          <w:sz w:val="32"/>
          <w:szCs w:val="32"/>
        </w:rPr>
        <w:t>（五）指标五：可持续发展能力</w:t>
      </w:r>
    </w:p>
    <w:p>
      <w:pPr>
        <w:spacing w:line="560" w:lineRule="exact"/>
        <w:ind w:firstLine="312" w:firstLineChars="100"/>
        <w:rPr>
          <w:rStyle w:val="8"/>
          <w:rFonts w:ascii="仿宋" w:hAnsi="仿宋" w:eastAsia="仿宋" w:cs="仿宋"/>
          <w:b w:val="0"/>
          <w:color w:val="auto"/>
          <w:spacing w:val="-4"/>
          <w:sz w:val="32"/>
          <w:szCs w:val="32"/>
        </w:rPr>
      </w:pPr>
      <w:r>
        <w:rPr>
          <w:rStyle w:val="8"/>
          <w:rFonts w:hint="eastAsia" w:ascii="仿宋" w:hAnsi="仿宋" w:eastAsia="仿宋" w:cs="仿宋"/>
          <w:b w:val="0"/>
          <w:color w:val="auto"/>
          <w:spacing w:val="-4"/>
          <w:sz w:val="32"/>
          <w:szCs w:val="32"/>
        </w:rPr>
        <w:t>无此项指标。</w:t>
      </w:r>
    </w:p>
    <w:p>
      <w:pPr>
        <w:spacing w:line="600" w:lineRule="exact"/>
        <w:ind w:firstLine="624" w:firstLineChars="200"/>
        <w:rPr>
          <w:rStyle w:val="8"/>
          <w:rFonts w:ascii="黑体" w:hAnsi="黑体" w:eastAsia="黑体" w:cs="黑体"/>
          <w:b w:val="0"/>
          <w:color w:val="auto"/>
          <w:spacing w:val="-4"/>
          <w:sz w:val="32"/>
          <w:szCs w:val="32"/>
        </w:rPr>
      </w:pPr>
      <w:r>
        <w:rPr>
          <w:rStyle w:val="8"/>
          <w:rFonts w:hint="eastAsia" w:ascii="黑体" w:hAnsi="黑体" w:eastAsia="黑体" w:cs="黑体"/>
          <w:b w:val="0"/>
          <w:color w:val="auto"/>
          <w:spacing w:val="-4"/>
          <w:sz w:val="32"/>
          <w:szCs w:val="32"/>
        </w:rPr>
        <w:t>（六）指标六：服务对象满意度</w:t>
      </w:r>
    </w:p>
    <w:p>
      <w:pPr>
        <w:spacing w:line="560" w:lineRule="exact"/>
        <w:ind w:firstLine="312" w:firstLineChars="100"/>
        <w:rPr>
          <w:rStyle w:val="8"/>
          <w:rFonts w:ascii="仿宋" w:hAnsi="仿宋" w:eastAsia="仿宋" w:cs="仿宋"/>
          <w:b w:val="0"/>
          <w:color w:val="auto"/>
          <w:spacing w:val="-4"/>
          <w:sz w:val="32"/>
          <w:szCs w:val="32"/>
        </w:rPr>
      </w:pPr>
      <w:r>
        <w:rPr>
          <w:rStyle w:val="8"/>
          <w:rFonts w:hint="eastAsia" w:ascii="仿宋" w:hAnsi="仿宋" w:eastAsia="仿宋" w:cs="仿宋"/>
          <w:b w:val="0"/>
          <w:color w:val="auto"/>
          <w:spacing w:val="-4"/>
          <w:sz w:val="32"/>
          <w:szCs w:val="32"/>
        </w:rPr>
        <w:t>无此项指标。</w:t>
      </w:r>
    </w:p>
    <w:p>
      <w:pPr>
        <w:pStyle w:val="11"/>
        <w:snapToGrid w:val="0"/>
        <w:spacing w:line="600" w:lineRule="exact"/>
        <w:ind w:firstLine="936" w:firstLineChars="300"/>
        <w:rPr>
          <w:rStyle w:val="8"/>
          <w:rFonts w:ascii="黑体" w:hAnsi="黑体" w:eastAsia="黑体"/>
          <w:b w:val="0"/>
          <w:bCs w:val="0"/>
          <w:color w:val="auto"/>
          <w:spacing w:val="-4"/>
          <w:sz w:val="32"/>
          <w:szCs w:val="32"/>
        </w:rPr>
      </w:pPr>
      <w:r>
        <w:rPr>
          <w:rStyle w:val="8"/>
          <w:rFonts w:hint="eastAsia" w:ascii="黑体" w:hAnsi="黑体" w:eastAsia="黑体"/>
          <w:b w:val="0"/>
          <w:bCs w:val="0"/>
          <w:color w:val="auto"/>
          <w:spacing w:val="-4"/>
          <w:sz w:val="32"/>
          <w:szCs w:val="32"/>
        </w:rPr>
        <w:t>四、评价结论</w:t>
      </w:r>
    </w:p>
    <w:p>
      <w:pPr>
        <w:spacing w:line="600" w:lineRule="exact"/>
        <w:ind w:firstLine="624" w:firstLineChars="200"/>
        <w:rPr>
          <w:rStyle w:val="8"/>
          <w:rFonts w:ascii="仿宋" w:hAnsi="仿宋" w:eastAsia="仿宋" w:cs="仿宋"/>
          <w:b w:val="0"/>
          <w:color w:val="auto"/>
          <w:spacing w:val="-4"/>
          <w:sz w:val="32"/>
          <w:szCs w:val="32"/>
        </w:rPr>
      </w:pPr>
      <w:r>
        <w:rPr>
          <w:rStyle w:val="8"/>
          <w:rFonts w:hint="eastAsia" w:ascii="仿宋" w:hAnsi="仿宋" w:eastAsia="仿宋" w:cs="仿宋"/>
          <w:b w:val="0"/>
          <w:color w:val="auto"/>
          <w:spacing w:val="-4"/>
          <w:sz w:val="32"/>
          <w:szCs w:val="32"/>
        </w:rPr>
        <w:t>本部门严格按照科学公正、统筹兼顾、激励约束、公开透明的绩效评价原则，对本部门预算执行情况、部门单位整体支出管理及使用情况、部门单位整体支出绩效指标完成情况等进行了综合评价。</w:t>
      </w:r>
    </w:p>
    <w:p>
      <w:pPr>
        <w:spacing w:line="600" w:lineRule="exact"/>
        <w:ind w:firstLine="624" w:firstLineChars="200"/>
        <w:rPr>
          <w:rStyle w:val="8"/>
          <w:rFonts w:ascii="仿宋" w:hAnsi="仿宋" w:eastAsia="仿宋" w:cs="仿宋"/>
          <w:b w:val="0"/>
          <w:color w:val="auto"/>
          <w:spacing w:val="-4"/>
          <w:sz w:val="32"/>
          <w:szCs w:val="32"/>
        </w:rPr>
      </w:pPr>
      <w:r>
        <w:rPr>
          <w:rStyle w:val="8"/>
          <w:rFonts w:hint="eastAsia" w:ascii="仿宋" w:hAnsi="仿宋" w:eastAsia="仿宋" w:cs="仿宋"/>
          <w:b w:val="0"/>
          <w:color w:val="auto"/>
          <w:spacing w:val="-4"/>
          <w:sz w:val="32"/>
          <w:szCs w:val="32"/>
        </w:rPr>
        <w:t>2023年度部门整体支出绩效自评综合得分100分，评价结果为“优”。</w:t>
      </w:r>
    </w:p>
    <w:p>
      <w:pPr>
        <w:pStyle w:val="11"/>
        <w:numPr>
          <w:ilvl w:val="0"/>
          <w:numId w:val="1"/>
        </w:numPr>
        <w:snapToGrid w:val="0"/>
        <w:spacing w:line="600" w:lineRule="exact"/>
        <w:ind w:firstLine="624"/>
        <w:rPr>
          <w:rStyle w:val="8"/>
          <w:rFonts w:ascii="黑体" w:hAnsi="黑体" w:eastAsia="黑体" w:cs="黑体"/>
          <w:b w:val="0"/>
          <w:bCs w:val="0"/>
          <w:color w:val="auto"/>
          <w:spacing w:val="-4"/>
          <w:sz w:val="32"/>
          <w:szCs w:val="32"/>
        </w:rPr>
      </w:pPr>
      <w:r>
        <w:rPr>
          <w:rStyle w:val="8"/>
          <w:rFonts w:hint="eastAsia" w:ascii="黑体" w:hAnsi="黑体" w:eastAsia="黑体" w:cs="黑体"/>
          <w:b w:val="0"/>
          <w:bCs w:val="0"/>
          <w:color w:val="auto"/>
          <w:spacing w:val="-4"/>
          <w:sz w:val="32"/>
          <w:szCs w:val="32"/>
        </w:rPr>
        <w:t>存在的主要问题及原因分析</w:t>
      </w:r>
    </w:p>
    <w:p>
      <w:pPr>
        <w:adjustRightInd w:val="0"/>
        <w:snapToGrid w:val="0"/>
        <w:spacing w:line="600" w:lineRule="exact"/>
        <w:ind w:firstLine="624" w:firstLineChars="200"/>
        <w:rPr>
          <w:rStyle w:val="8"/>
          <w:rFonts w:ascii="仿宋" w:hAnsi="仿宋" w:eastAsia="仿宋" w:cs="仿宋"/>
          <w:b w:val="0"/>
          <w:color w:val="auto"/>
          <w:spacing w:val="-4"/>
          <w:sz w:val="32"/>
          <w:szCs w:val="32"/>
        </w:rPr>
      </w:pPr>
      <w:r>
        <w:rPr>
          <w:rStyle w:val="8"/>
          <w:rFonts w:hint="eastAsia" w:ascii="仿宋" w:hAnsi="仿宋" w:eastAsia="仿宋" w:cs="仿宋"/>
          <w:b w:val="0"/>
          <w:color w:val="auto"/>
          <w:spacing w:val="-4"/>
          <w:sz w:val="32"/>
          <w:szCs w:val="32"/>
        </w:rPr>
        <w:t>1、对全面实施预算绩效管理的要求认识还不到位，项目申报、实施等环节与预算绩效管理各个环节联系不够紧密；同时预算绩效管理也是一项新工作，面对专业人手不足、绩效管理水平欠缺的情况下，绩效监督管理需继续加强。</w:t>
      </w:r>
    </w:p>
    <w:p>
      <w:pPr>
        <w:pStyle w:val="5"/>
        <w:shd w:val="clear" w:color="auto" w:fill="FFFFFF"/>
        <w:spacing w:before="0" w:beforeAutospacing="0" w:after="0" w:afterAutospacing="0" w:line="444" w:lineRule="atLeast"/>
        <w:ind w:firstLine="456"/>
        <w:rPr>
          <w:rStyle w:val="8"/>
          <w:rFonts w:ascii="仿宋" w:hAnsi="仿宋" w:eastAsia="仿宋" w:cs="仿宋"/>
          <w:b w:val="0"/>
          <w:color w:val="auto"/>
          <w:spacing w:val="-4"/>
          <w:kern w:val="2"/>
          <w:sz w:val="32"/>
          <w:szCs w:val="32"/>
        </w:rPr>
      </w:pPr>
      <w:r>
        <w:rPr>
          <w:rStyle w:val="8"/>
          <w:rFonts w:hint="eastAsia" w:ascii="仿宋" w:hAnsi="仿宋" w:eastAsia="仿宋" w:cs="仿宋"/>
          <w:b w:val="0"/>
          <w:color w:val="auto"/>
          <w:spacing w:val="-4"/>
          <w:kern w:val="2"/>
          <w:sz w:val="32"/>
          <w:szCs w:val="32"/>
        </w:rPr>
        <w:t>2、在工作产出完成及时率上由于前期计划工作数制定有所偏差，同时部门在工作完成及时率上也有所延迟，所以导致工作产出完成及时率没有达到100%。</w:t>
      </w:r>
    </w:p>
    <w:p>
      <w:pPr>
        <w:spacing w:line="600" w:lineRule="exact"/>
        <w:ind w:firstLine="312" w:firstLineChars="100"/>
        <w:rPr>
          <w:rStyle w:val="8"/>
          <w:rFonts w:ascii="仿宋" w:hAnsi="仿宋" w:eastAsia="仿宋" w:cs="仿宋"/>
          <w:b w:val="0"/>
          <w:color w:val="auto"/>
          <w:spacing w:val="-4"/>
          <w:sz w:val="32"/>
          <w:szCs w:val="32"/>
        </w:rPr>
      </w:pPr>
      <w:r>
        <w:rPr>
          <w:rStyle w:val="8"/>
          <w:rFonts w:hint="eastAsia" w:ascii="仿宋" w:hAnsi="仿宋" w:eastAsia="仿宋" w:cs="仿宋"/>
          <w:b w:val="0"/>
          <w:color w:val="auto"/>
          <w:spacing w:val="-4"/>
          <w:sz w:val="32"/>
          <w:szCs w:val="32"/>
        </w:rPr>
        <w:t>3、建议财政部门多开展部门整体绩效评价工作的业务工作培训，组织开展部门之间、单位之间的经验交流，特别是要组织非财务部门的人员参与评价工作，切实推进绩效评价工作的开展；</w:t>
      </w:r>
    </w:p>
    <w:p>
      <w:pPr>
        <w:pBdr>
          <w:bottom w:val="single" w:color="FFFFFF" w:sz="4" w:space="31"/>
        </w:pBdr>
        <w:spacing w:line="560" w:lineRule="exact"/>
        <w:ind w:firstLine="312" w:firstLineChars="100"/>
        <w:rPr>
          <w:rStyle w:val="8"/>
          <w:rFonts w:ascii="仿宋" w:hAnsi="仿宋" w:eastAsia="仿宋" w:cs="仿宋"/>
          <w:b w:val="0"/>
          <w:color w:val="auto"/>
          <w:spacing w:val="-4"/>
          <w:sz w:val="32"/>
          <w:szCs w:val="32"/>
        </w:rPr>
      </w:pPr>
      <w:r>
        <w:rPr>
          <w:rStyle w:val="8"/>
          <w:rFonts w:hint="eastAsia" w:ascii="仿宋" w:hAnsi="仿宋" w:eastAsia="仿宋" w:cs="仿宋"/>
          <w:b w:val="0"/>
          <w:color w:val="auto"/>
          <w:spacing w:val="-4"/>
          <w:sz w:val="32"/>
          <w:szCs w:val="32"/>
        </w:rPr>
        <w:t>4、经费严重不足，财政局按人头拨付的办公经费，只够支付电话费等日常费用，各项业务经办缺少经费保障。</w:t>
      </w:r>
    </w:p>
    <w:p>
      <w:pPr>
        <w:pBdr>
          <w:bottom w:val="single" w:color="FFFFFF" w:sz="4" w:space="31"/>
        </w:pBdr>
        <w:spacing w:line="560" w:lineRule="exact"/>
        <w:ind w:firstLine="624" w:firstLineChars="200"/>
        <w:rPr>
          <w:rStyle w:val="8"/>
          <w:rFonts w:ascii="黑体" w:hAnsi="黑体" w:eastAsia="黑体" w:cs="黑体"/>
          <w:b w:val="0"/>
          <w:bCs w:val="0"/>
          <w:color w:val="auto"/>
          <w:spacing w:val="-4"/>
          <w:sz w:val="32"/>
          <w:szCs w:val="32"/>
        </w:rPr>
      </w:pPr>
      <w:r>
        <w:rPr>
          <w:rStyle w:val="8"/>
          <w:rFonts w:hint="eastAsia" w:ascii="黑体" w:hAnsi="黑体" w:eastAsia="黑体" w:cs="黑体"/>
          <w:b w:val="0"/>
          <w:bCs w:val="0"/>
          <w:color w:val="auto"/>
          <w:spacing w:val="-4"/>
          <w:sz w:val="32"/>
          <w:szCs w:val="32"/>
        </w:rPr>
        <w:t>六、改进措施和建议</w:t>
      </w:r>
    </w:p>
    <w:p>
      <w:pPr>
        <w:pStyle w:val="2"/>
        <w:spacing w:line="360" w:lineRule="auto"/>
        <w:ind w:firstLine="936" w:firstLineChars="300"/>
        <w:rPr>
          <w:rStyle w:val="8"/>
          <w:rFonts w:ascii="黑体" w:hAnsi="黑体" w:eastAsia="黑体" w:cs="黑体"/>
          <w:b w:val="0"/>
          <w:bCs w:val="0"/>
          <w:color w:val="auto"/>
          <w:spacing w:val="-4"/>
        </w:rPr>
      </w:pPr>
      <w:bookmarkStart w:id="0" w:name="_Toc70450319"/>
      <w:r>
        <w:rPr>
          <w:rStyle w:val="8"/>
          <w:rFonts w:hint="eastAsia" w:ascii="黑体" w:hAnsi="黑体" w:eastAsia="黑体" w:cs="黑体"/>
          <w:b w:val="0"/>
          <w:bCs w:val="0"/>
          <w:color w:val="auto"/>
          <w:spacing w:val="-4"/>
        </w:rPr>
        <w:t>（一）改进措施</w:t>
      </w:r>
      <w:bookmarkEnd w:id="0"/>
    </w:p>
    <w:p>
      <w:pPr>
        <w:spacing w:line="600" w:lineRule="exact"/>
        <w:ind w:firstLine="624" w:firstLineChars="200"/>
        <w:rPr>
          <w:rStyle w:val="8"/>
          <w:rFonts w:ascii="仿宋" w:hAnsi="仿宋" w:eastAsia="仿宋" w:cs="仿宋"/>
          <w:b w:val="0"/>
          <w:color w:val="auto"/>
          <w:spacing w:val="-4"/>
          <w:sz w:val="32"/>
          <w:szCs w:val="32"/>
        </w:rPr>
      </w:pPr>
      <w:r>
        <w:rPr>
          <w:rStyle w:val="8"/>
          <w:rFonts w:hint="eastAsia" w:ascii="仿宋" w:hAnsi="仿宋" w:eastAsia="仿宋" w:cs="仿宋"/>
          <w:b w:val="0"/>
          <w:color w:val="auto"/>
          <w:spacing w:val="-4"/>
          <w:sz w:val="32"/>
          <w:szCs w:val="32"/>
        </w:rPr>
        <w:t>1、加强新行政单位会计制度和新预算法学习培训、规范账务处理，加强新《预算法》、《行政单位会计制度》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p>
    <w:p>
      <w:pPr>
        <w:spacing w:line="600" w:lineRule="exact"/>
        <w:ind w:firstLine="624" w:firstLineChars="200"/>
        <w:rPr>
          <w:rStyle w:val="8"/>
          <w:rFonts w:ascii="仿宋" w:hAnsi="仿宋" w:eastAsia="仿宋" w:cs="仿宋"/>
          <w:b w:val="0"/>
          <w:color w:val="auto"/>
          <w:spacing w:val="-4"/>
          <w:sz w:val="32"/>
          <w:szCs w:val="32"/>
        </w:rPr>
      </w:pPr>
      <w:r>
        <w:rPr>
          <w:rStyle w:val="8"/>
          <w:rFonts w:hint="eastAsia" w:ascii="仿宋" w:hAnsi="仿宋" w:eastAsia="仿宋" w:cs="仿宋"/>
          <w:b w:val="0"/>
          <w:color w:val="auto"/>
          <w:spacing w:val="-4"/>
          <w:sz w:val="32"/>
          <w:szCs w:val="32"/>
        </w:rPr>
        <w:t>2、完善管理制度,进-步加强资产管理。严格按照《固定资产管理办法》的规定，加强固定资产管理,及时登记、更新台账，加强资产卡片管理,对各类实物资产进行全面盘点,确保账账、账实相符。</w:t>
      </w:r>
    </w:p>
    <w:p>
      <w:pPr>
        <w:spacing w:line="600" w:lineRule="exact"/>
        <w:ind w:firstLine="624" w:firstLineChars="200"/>
        <w:rPr>
          <w:rStyle w:val="8"/>
          <w:rFonts w:ascii="仿宋" w:hAnsi="仿宋" w:eastAsia="仿宋" w:cs="仿宋"/>
          <w:b w:val="0"/>
          <w:color w:val="auto"/>
          <w:spacing w:val="-4"/>
          <w:sz w:val="32"/>
          <w:szCs w:val="32"/>
        </w:rPr>
      </w:pPr>
      <w:r>
        <w:rPr>
          <w:rStyle w:val="8"/>
          <w:rFonts w:hint="eastAsia" w:ascii="仿宋" w:hAnsi="仿宋" w:eastAsia="仿宋" w:cs="仿宋"/>
          <w:b w:val="0"/>
          <w:color w:val="auto"/>
          <w:spacing w:val="-4"/>
          <w:sz w:val="32"/>
          <w:szCs w:val="32"/>
        </w:rPr>
        <w:t>3、财务上，会计核算要更加详细，为本单位各项工作的开展、总结、评估提供有效数据资料支撑,为各项业务工作更好的开展提供帮助。</w:t>
      </w:r>
    </w:p>
    <w:p>
      <w:pPr>
        <w:spacing w:line="600" w:lineRule="exact"/>
        <w:ind w:firstLine="624" w:firstLineChars="200"/>
        <w:rPr>
          <w:rStyle w:val="8"/>
          <w:rFonts w:ascii="仿宋" w:hAnsi="仿宋" w:eastAsia="仿宋" w:cs="仿宋"/>
          <w:b w:val="0"/>
          <w:color w:val="auto"/>
          <w:spacing w:val="-4"/>
          <w:sz w:val="32"/>
          <w:szCs w:val="32"/>
        </w:rPr>
      </w:pPr>
      <w:r>
        <w:rPr>
          <w:rStyle w:val="8"/>
          <w:rFonts w:hint="eastAsia" w:ascii="仿宋" w:hAnsi="仿宋" w:eastAsia="仿宋" w:cs="仿宋"/>
          <w:b w:val="0"/>
          <w:color w:val="auto"/>
          <w:spacing w:val="-4"/>
          <w:sz w:val="32"/>
          <w:szCs w:val="32"/>
        </w:rPr>
        <w:t>4、从源头上强化对专项资金预算管理。实行专项资金预算管理，结合单位实际, 按轻重缓急统筹安排编制预算,提高预算编制科学性和合理性,优化资金结构。</w:t>
      </w:r>
      <w:bookmarkStart w:id="1" w:name="_Toc70450320"/>
    </w:p>
    <w:p>
      <w:pPr>
        <w:pStyle w:val="2"/>
        <w:spacing w:line="360" w:lineRule="auto"/>
        <w:ind w:firstLine="936" w:firstLineChars="300"/>
        <w:rPr>
          <w:rStyle w:val="8"/>
          <w:rFonts w:ascii="黑体" w:hAnsi="黑体" w:eastAsia="黑体" w:cs="黑体"/>
          <w:b w:val="0"/>
          <w:bCs w:val="0"/>
          <w:color w:val="auto"/>
          <w:spacing w:val="-4"/>
        </w:rPr>
      </w:pPr>
      <w:r>
        <w:rPr>
          <w:rStyle w:val="8"/>
          <w:rFonts w:hint="eastAsia" w:ascii="黑体" w:hAnsi="黑体" w:eastAsia="黑体" w:cs="黑体"/>
          <w:b w:val="0"/>
          <w:bCs w:val="0"/>
          <w:color w:val="auto"/>
          <w:spacing w:val="-4"/>
        </w:rPr>
        <w:t>（二）建议</w:t>
      </w:r>
      <w:bookmarkEnd w:id="1"/>
    </w:p>
    <w:p>
      <w:pPr>
        <w:spacing w:line="600" w:lineRule="exact"/>
        <w:ind w:firstLine="624" w:firstLineChars="200"/>
        <w:rPr>
          <w:rStyle w:val="8"/>
          <w:rFonts w:ascii="仿宋" w:hAnsi="仿宋" w:eastAsia="仿宋" w:cs="仿宋"/>
          <w:b w:val="0"/>
          <w:color w:val="auto"/>
          <w:spacing w:val="-4"/>
          <w:sz w:val="32"/>
          <w:szCs w:val="32"/>
        </w:rPr>
      </w:pPr>
      <w:r>
        <w:rPr>
          <w:rStyle w:val="8"/>
          <w:rFonts w:hint="eastAsia" w:ascii="仿宋" w:hAnsi="仿宋" w:eastAsia="仿宋" w:cs="仿宋"/>
          <w:b w:val="0"/>
          <w:color w:val="auto"/>
          <w:spacing w:val="-4"/>
          <w:sz w:val="32"/>
          <w:szCs w:val="32"/>
        </w:rPr>
        <w:t>1、细化预算编制工作，严格按照预算编制的相关制度和要求做好预算的编制，单位综合业务费只能保证培训大楼水电暖及锅炉工劳务费，应适当增加新型职业技能培训经费，为经济发展奠定基础。</w:t>
      </w:r>
    </w:p>
    <w:p>
      <w:pPr>
        <w:spacing w:line="600" w:lineRule="exact"/>
        <w:ind w:firstLine="624" w:firstLineChars="200"/>
        <w:rPr>
          <w:rStyle w:val="8"/>
          <w:rFonts w:ascii="仿宋" w:hAnsi="仿宋" w:eastAsia="仿宋" w:cs="仿宋"/>
          <w:b w:val="0"/>
          <w:color w:val="auto"/>
          <w:spacing w:val="-4"/>
          <w:sz w:val="32"/>
          <w:szCs w:val="32"/>
        </w:rPr>
      </w:pPr>
      <w:r>
        <w:rPr>
          <w:rStyle w:val="8"/>
          <w:rFonts w:hint="eastAsia" w:ascii="仿宋" w:hAnsi="仿宋" w:eastAsia="仿宋" w:cs="仿宋"/>
          <w:b w:val="0"/>
          <w:color w:val="auto"/>
          <w:spacing w:val="-4"/>
          <w:sz w:val="32"/>
          <w:szCs w:val="32"/>
        </w:rPr>
        <w:t>2、加强财务管理，严格财务审核。在费用报账支付时，按照预算规定的费用项目和用途进行资金使用审核、列报支付、财务核算，杜绝</w:t>
      </w:r>
    </w:p>
    <w:p>
      <w:pPr>
        <w:spacing w:line="600" w:lineRule="exact"/>
        <w:ind w:firstLine="624" w:firstLineChars="200"/>
        <w:rPr>
          <w:rStyle w:val="8"/>
          <w:rFonts w:ascii="仿宋" w:hAnsi="仿宋" w:eastAsia="仿宋" w:cs="仿宋"/>
          <w:b w:val="0"/>
          <w:color w:val="auto"/>
          <w:spacing w:val="-4"/>
          <w:sz w:val="32"/>
          <w:szCs w:val="32"/>
        </w:rPr>
      </w:pPr>
      <w:r>
        <w:rPr>
          <w:rStyle w:val="8"/>
          <w:rFonts w:hint="eastAsia" w:ascii="仿宋" w:hAnsi="仿宋" w:eastAsia="仿宋" w:cs="仿宋"/>
          <w:b w:val="0"/>
          <w:color w:val="auto"/>
          <w:spacing w:val="-4"/>
          <w:sz w:val="32"/>
          <w:szCs w:val="32"/>
        </w:rPr>
        <w:t>3、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pStyle w:val="11"/>
        <w:snapToGrid w:val="0"/>
        <w:spacing w:line="600" w:lineRule="exact"/>
        <w:ind w:firstLine="624"/>
        <w:rPr>
          <w:rStyle w:val="8"/>
          <w:rFonts w:ascii="黑体" w:hAnsi="黑体" w:eastAsia="黑体" w:cs="黑体"/>
          <w:b w:val="0"/>
          <w:bCs w:val="0"/>
          <w:color w:val="auto"/>
          <w:spacing w:val="-4"/>
          <w:sz w:val="32"/>
          <w:szCs w:val="32"/>
        </w:rPr>
      </w:pPr>
      <w:r>
        <w:rPr>
          <w:rStyle w:val="8"/>
          <w:rFonts w:hint="eastAsia" w:ascii="黑体" w:hAnsi="黑体" w:eastAsia="黑体" w:cs="黑体"/>
          <w:b w:val="0"/>
          <w:bCs w:val="0"/>
          <w:color w:val="auto"/>
          <w:spacing w:val="-4"/>
          <w:sz w:val="32"/>
          <w:szCs w:val="32"/>
        </w:rPr>
        <w:t>七、附表：《部门整体支出绩效自评表》</w:t>
      </w:r>
    </w:p>
    <w:sectPr>
      <w:headerReference r:id="rId4" w:type="first"/>
      <w:footerReference r:id="rId6" w:type="first"/>
      <w:headerReference r:id="rId3" w:type="even"/>
      <w:footerReference r:id="rId5" w:type="even"/>
      <w:pgSz w:w="11906" w:h="16838"/>
      <w:pgMar w:top="1440" w:right="1800" w:bottom="1440" w:left="1800" w:header="851" w:footer="992" w:gutter="0"/>
      <w:pgNumType w:fmt="numberInDash" w:start="2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40D0B61-377E-4EB4-BB84-635D286F2A9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embedRegular r:id="rId2" w:fontKey="{48482333-8781-46DE-B886-6828FE692DCD}"/>
  </w:font>
  <w:font w:name="仿宋_GB2312">
    <w:panose1 w:val="02010609030101010101"/>
    <w:charset w:val="86"/>
    <w:family w:val="modern"/>
    <w:pitch w:val="default"/>
    <w:sig w:usb0="00000000" w:usb1="00000000" w:usb2="00000000" w:usb3="00000000" w:csb0="00000000" w:csb1="00000000"/>
    <w:embedRegular r:id="rId3" w:fontKey="{7BF7FCA4-2D69-43EA-A1A0-EC26EE71284D}"/>
  </w:font>
  <w:font w:name="楷体">
    <w:panose1 w:val="02010609060101010101"/>
    <w:charset w:val="86"/>
    <w:family w:val="modern"/>
    <w:pitch w:val="default"/>
    <w:sig w:usb0="800002BF" w:usb1="38CF7CFA" w:usb2="00000016" w:usb3="00000000" w:csb0="00040001" w:csb1="00000000"/>
    <w:embedRegular r:id="rId4" w:fontKey="{66E38447-289D-44E8-ACB6-4349EB55001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BDFA115"/>
    <w:multiLevelType w:val="singleLevel"/>
    <w:tmpl w:val="DBDFA115"/>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kM2Y3OTk4YWJkMTlhY2M0M2NiNzUzNWU4NjU4YjYifQ=="/>
    <w:docVar w:name="KSO_WPS_MARK_KEY" w:val="40e95650-004b-4697-ae2b-25bffeeac740"/>
  </w:docVars>
  <w:rsids>
    <w:rsidRoot w:val="00633862"/>
    <w:rsid w:val="000D3AFA"/>
    <w:rsid w:val="00191BA3"/>
    <w:rsid w:val="0022744B"/>
    <w:rsid w:val="00251226"/>
    <w:rsid w:val="005B1250"/>
    <w:rsid w:val="00633862"/>
    <w:rsid w:val="006C5BED"/>
    <w:rsid w:val="00702D4A"/>
    <w:rsid w:val="007115C8"/>
    <w:rsid w:val="00730A05"/>
    <w:rsid w:val="00867FFD"/>
    <w:rsid w:val="008A4943"/>
    <w:rsid w:val="009511BB"/>
    <w:rsid w:val="0097614B"/>
    <w:rsid w:val="009A0809"/>
    <w:rsid w:val="00AA5126"/>
    <w:rsid w:val="00AD16CD"/>
    <w:rsid w:val="00C63A13"/>
    <w:rsid w:val="00CD2F35"/>
    <w:rsid w:val="00DB1085"/>
    <w:rsid w:val="00EA14FA"/>
    <w:rsid w:val="00F30D37"/>
    <w:rsid w:val="00F715C2"/>
    <w:rsid w:val="00F84215"/>
    <w:rsid w:val="010E0C0C"/>
    <w:rsid w:val="016D0077"/>
    <w:rsid w:val="02355837"/>
    <w:rsid w:val="023B0973"/>
    <w:rsid w:val="02610413"/>
    <w:rsid w:val="02F163A2"/>
    <w:rsid w:val="02FE786C"/>
    <w:rsid w:val="03341650"/>
    <w:rsid w:val="036F2FCB"/>
    <w:rsid w:val="03B2599D"/>
    <w:rsid w:val="043C5F8E"/>
    <w:rsid w:val="049941F3"/>
    <w:rsid w:val="04A60F90"/>
    <w:rsid w:val="04D2103C"/>
    <w:rsid w:val="04D550AF"/>
    <w:rsid w:val="06B83B39"/>
    <w:rsid w:val="06DE29E2"/>
    <w:rsid w:val="071579E5"/>
    <w:rsid w:val="07702E6D"/>
    <w:rsid w:val="07A86AAB"/>
    <w:rsid w:val="07C65825"/>
    <w:rsid w:val="09067414"/>
    <w:rsid w:val="09170A81"/>
    <w:rsid w:val="0AC27E84"/>
    <w:rsid w:val="0B0F5B25"/>
    <w:rsid w:val="0BD256C9"/>
    <w:rsid w:val="0D3F0613"/>
    <w:rsid w:val="0D617282"/>
    <w:rsid w:val="0EE54141"/>
    <w:rsid w:val="0F661726"/>
    <w:rsid w:val="0F772EC6"/>
    <w:rsid w:val="0F877334"/>
    <w:rsid w:val="10182B28"/>
    <w:rsid w:val="109160DD"/>
    <w:rsid w:val="10947BCD"/>
    <w:rsid w:val="114B3E5E"/>
    <w:rsid w:val="115E3FEE"/>
    <w:rsid w:val="116B384E"/>
    <w:rsid w:val="11DD16C8"/>
    <w:rsid w:val="127A77C1"/>
    <w:rsid w:val="130A20A3"/>
    <w:rsid w:val="13352CE1"/>
    <w:rsid w:val="13E07D60"/>
    <w:rsid w:val="150177FB"/>
    <w:rsid w:val="15875F52"/>
    <w:rsid w:val="15AB5573"/>
    <w:rsid w:val="15B73666"/>
    <w:rsid w:val="15C42D02"/>
    <w:rsid w:val="168A2EA6"/>
    <w:rsid w:val="17D5194F"/>
    <w:rsid w:val="180A4FDB"/>
    <w:rsid w:val="1840056E"/>
    <w:rsid w:val="192177D8"/>
    <w:rsid w:val="196A001E"/>
    <w:rsid w:val="198331C0"/>
    <w:rsid w:val="19AD1CFF"/>
    <w:rsid w:val="19C92FDD"/>
    <w:rsid w:val="19DB061A"/>
    <w:rsid w:val="19E576EB"/>
    <w:rsid w:val="19FF664E"/>
    <w:rsid w:val="1A091F78"/>
    <w:rsid w:val="1A0A0EFF"/>
    <w:rsid w:val="1A6D6D72"/>
    <w:rsid w:val="1AEB4D61"/>
    <w:rsid w:val="1C230AC0"/>
    <w:rsid w:val="1C615CEF"/>
    <w:rsid w:val="1CDA72AF"/>
    <w:rsid w:val="1D632B53"/>
    <w:rsid w:val="1D7602A9"/>
    <w:rsid w:val="1DC83D3D"/>
    <w:rsid w:val="1E613949"/>
    <w:rsid w:val="1EAE0073"/>
    <w:rsid w:val="1F195A2C"/>
    <w:rsid w:val="1F2B3619"/>
    <w:rsid w:val="205102FB"/>
    <w:rsid w:val="20762FC4"/>
    <w:rsid w:val="212C60E2"/>
    <w:rsid w:val="21DB6E7F"/>
    <w:rsid w:val="21DE15EF"/>
    <w:rsid w:val="23021A8B"/>
    <w:rsid w:val="2320540D"/>
    <w:rsid w:val="23254B60"/>
    <w:rsid w:val="236E0539"/>
    <w:rsid w:val="23E6478B"/>
    <w:rsid w:val="2422471A"/>
    <w:rsid w:val="246F324A"/>
    <w:rsid w:val="24A85EE5"/>
    <w:rsid w:val="24DB72C2"/>
    <w:rsid w:val="253B5695"/>
    <w:rsid w:val="263962DE"/>
    <w:rsid w:val="276460F3"/>
    <w:rsid w:val="27660FAF"/>
    <w:rsid w:val="277166D1"/>
    <w:rsid w:val="277B4318"/>
    <w:rsid w:val="27B7194D"/>
    <w:rsid w:val="27E37B45"/>
    <w:rsid w:val="280600C8"/>
    <w:rsid w:val="28081174"/>
    <w:rsid w:val="28481571"/>
    <w:rsid w:val="28722F64"/>
    <w:rsid w:val="289B5D70"/>
    <w:rsid w:val="290A1EBC"/>
    <w:rsid w:val="296B40D0"/>
    <w:rsid w:val="29980ADF"/>
    <w:rsid w:val="29B460DC"/>
    <w:rsid w:val="29D532D8"/>
    <w:rsid w:val="29E74DB9"/>
    <w:rsid w:val="2A0B6FEB"/>
    <w:rsid w:val="2A2A3694"/>
    <w:rsid w:val="2A6B1740"/>
    <w:rsid w:val="2AB71864"/>
    <w:rsid w:val="2AD30362"/>
    <w:rsid w:val="2B161A0E"/>
    <w:rsid w:val="2B1D67DB"/>
    <w:rsid w:val="2B2D4A4E"/>
    <w:rsid w:val="2BCA3DF7"/>
    <w:rsid w:val="2BFA5278"/>
    <w:rsid w:val="2C3F44FD"/>
    <w:rsid w:val="2C8903AA"/>
    <w:rsid w:val="2CD01740"/>
    <w:rsid w:val="2CE43832"/>
    <w:rsid w:val="2DAA6B58"/>
    <w:rsid w:val="2DB034FA"/>
    <w:rsid w:val="2E4A4A48"/>
    <w:rsid w:val="2F065636"/>
    <w:rsid w:val="2F8715FA"/>
    <w:rsid w:val="2FB43990"/>
    <w:rsid w:val="2FB56225"/>
    <w:rsid w:val="2FC040E2"/>
    <w:rsid w:val="30143D58"/>
    <w:rsid w:val="30240D0F"/>
    <w:rsid w:val="308158E7"/>
    <w:rsid w:val="309817B5"/>
    <w:rsid w:val="30A86679"/>
    <w:rsid w:val="31505F30"/>
    <w:rsid w:val="3177520D"/>
    <w:rsid w:val="31C7249B"/>
    <w:rsid w:val="31FB7654"/>
    <w:rsid w:val="32565D7D"/>
    <w:rsid w:val="336E47B8"/>
    <w:rsid w:val="337D2302"/>
    <w:rsid w:val="33935522"/>
    <w:rsid w:val="33DE0EF4"/>
    <w:rsid w:val="3416678C"/>
    <w:rsid w:val="34486A39"/>
    <w:rsid w:val="34C13400"/>
    <w:rsid w:val="34F32864"/>
    <w:rsid w:val="35386E11"/>
    <w:rsid w:val="35612ABD"/>
    <w:rsid w:val="375B2943"/>
    <w:rsid w:val="38086A4E"/>
    <w:rsid w:val="38C32119"/>
    <w:rsid w:val="38EE054F"/>
    <w:rsid w:val="39440A0C"/>
    <w:rsid w:val="398443D3"/>
    <w:rsid w:val="398C3287"/>
    <w:rsid w:val="39A60AF6"/>
    <w:rsid w:val="3AA12D62"/>
    <w:rsid w:val="3B2319C9"/>
    <w:rsid w:val="3B5D5890"/>
    <w:rsid w:val="3BA6683D"/>
    <w:rsid w:val="3BC431AC"/>
    <w:rsid w:val="3C012639"/>
    <w:rsid w:val="3DA52B6A"/>
    <w:rsid w:val="3E833FCF"/>
    <w:rsid w:val="3EE3321B"/>
    <w:rsid w:val="3EE93EED"/>
    <w:rsid w:val="3F177A97"/>
    <w:rsid w:val="3FF57BF1"/>
    <w:rsid w:val="412953B9"/>
    <w:rsid w:val="41590DEA"/>
    <w:rsid w:val="41686388"/>
    <w:rsid w:val="416C231C"/>
    <w:rsid w:val="41C31810"/>
    <w:rsid w:val="41D659E7"/>
    <w:rsid w:val="428A15BF"/>
    <w:rsid w:val="42BB7663"/>
    <w:rsid w:val="432A3936"/>
    <w:rsid w:val="434765EB"/>
    <w:rsid w:val="43A3164E"/>
    <w:rsid w:val="43C43532"/>
    <w:rsid w:val="43F77637"/>
    <w:rsid w:val="44332E1A"/>
    <w:rsid w:val="44692B43"/>
    <w:rsid w:val="44BF2CE3"/>
    <w:rsid w:val="44BF6C07"/>
    <w:rsid w:val="45171B45"/>
    <w:rsid w:val="45247036"/>
    <w:rsid w:val="462C7B1B"/>
    <w:rsid w:val="469D3DB7"/>
    <w:rsid w:val="46BF2EEE"/>
    <w:rsid w:val="47013FF5"/>
    <w:rsid w:val="484A2C8B"/>
    <w:rsid w:val="48500FEB"/>
    <w:rsid w:val="49284D7B"/>
    <w:rsid w:val="49286DBA"/>
    <w:rsid w:val="49487285"/>
    <w:rsid w:val="49543DC1"/>
    <w:rsid w:val="4A0F39E7"/>
    <w:rsid w:val="4B0A7788"/>
    <w:rsid w:val="4B364032"/>
    <w:rsid w:val="4B3B68BB"/>
    <w:rsid w:val="4B443785"/>
    <w:rsid w:val="4B537C75"/>
    <w:rsid w:val="4BE53646"/>
    <w:rsid w:val="4C431ECB"/>
    <w:rsid w:val="4CC33C9F"/>
    <w:rsid w:val="4DFC65DE"/>
    <w:rsid w:val="4E760D0B"/>
    <w:rsid w:val="4E8F65E3"/>
    <w:rsid w:val="4EC80245"/>
    <w:rsid w:val="4ED65AC3"/>
    <w:rsid w:val="4F596A69"/>
    <w:rsid w:val="50063DD3"/>
    <w:rsid w:val="504133D8"/>
    <w:rsid w:val="505863A4"/>
    <w:rsid w:val="50591CBD"/>
    <w:rsid w:val="50A240F7"/>
    <w:rsid w:val="51971C1E"/>
    <w:rsid w:val="51C55131"/>
    <w:rsid w:val="51FF2E33"/>
    <w:rsid w:val="525877BC"/>
    <w:rsid w:val="5272504D"/>
    <w:rsid w:val="52CA50F4"/>
    <w:rsid w:val="543D24BF"/>
    <w:rsid w:val="548754B8"/>
    <w:rsid w:val="54CA318A"/>
    <w:rsid w:val="55517AB0"/>
    <w:rsid w:val="57192BB8"/>
    <w:rsid w:val="5734671F"/>
    <w:rsid w:val="57423EBA"/>
    <w:rsid w:val="57813298"/>
    <w:rsid w:val="57AE7CE9"/>
    <w:rsid w:val="57BB500C"/>
    <w:rsid w:val="58753EBA"/>
    <w:rsid w:val="58E426FC"/>
    <w:rsid w:val="58FC3B2E"/>
    <w:rsid w:val="59063548"/>
    <w:rsid w:val="5A6776CD"/>
    <w:rsid w:val="5ADD1E8F"/>
    <w:rsid w:val="5AE6303A"/>
    <w:rsid w:val="5B155A7C"/>
    <w:rsid w:val="5B442B97"/>
    <w:rsid w:val="5B745BFD"/>
    <w:rsid w:val="5B977B3E"/>
    <w:rsid w:val="5C5B0B6B"/>
    <w:rsid w:val="5CB643E4"/>
    <w:rsid w:val="5D8D11F8"/>
    <w:rsid w:val="5E2D5305"/>
    <w:rsid w:val="5F1D65AC"/>
    <w:rsid w:val="5F230066"/>
    <w:rsid w:val="5F41229A"/>
    <w:rsid w:val="5F814D8D"/>
    <w:rsid w:val="5FA47678"/>
    <w:rsid w:val="5FE455B0"/>
    <w:rsid w:val="60504E56"/>
    <w:rsid w:val="60535261"/>
    <w:rsid w:val="627A5057"/>
    <w:rsid w:val="62A033DD"/>
    <w:rsid w:val="62B113CD"/>
    <w:rsid w:val="62D376AD"/>
    <w:rsid w:val="63002758"/>
    <w:rsid w:val="63886101"/>
    <w:rsid w:val="63E072F9"/>
    <w:rsid w:val="63E738F2"/>
    <w:rsid w:val="648B2856"/>
    <w:rsid w:val="64AD2180"/>
    <w:rsid w:val="64F46001"/>
    <w:rsid w:val="658E5B0E"/>
    <w:rsid w:val="65D86017"/>
    <w:rsid w:val="65E6594A"/>
    <w:rsid w:val="660E1EAC"/>
    <w:rsid w:val="661600DA"/>
    <w:rsid w:val="66DF5346"/>
    <w:rsid w:val="66E14AAB"/>
    <w:rsid w:val="6736630B"/>
    <w:rsid w:val="67EE0E11"/>
    <w:rsid w:val="68DF3109"/>
    <w:rsid w:val="693F2885"/>
    <w:rsid w:val="699F5DE9"/>
    <w:rsid w:val="6A8A694F"/>
    <w:rsid w:val="6A9776F8"/>
    <w:rsid w:val="6AAF0A00"/>
    <w:rsid w:val="6AEF34F2"/>
    <w:rsid w:val="6AF9611F"/>
    <w:rsid w:val="6B234F4A"/>
    <w:rsid w:val="6C5F0204"/>
    <w:rsid w:val="6C69186D"/>
    <w:rsid w:val="6C7D20BE"/>
    <w:rsid w:val="6C7D443F"/>
    <w:rsid w:val="6C8851EE"/>
    <w:rsid w:val="6CCF1622"/>
    <w:rsid w:val="6CE7035E"/>
    <w:rsid w:val="6DB1246A"/>
    <w:rsid w:val="6EAE5472"/>
    <w:rsid w:val="702F5608"/>
    <w:rsid w:val="708F2CC4"/>
    <w:rsid w:val="709444F0"/>
    <w:rsid w:val="71182116"/>
    <w:rsid w:val="71205936"/>
    <w:rsid w:val="71477CCB"/>
    <w:rsid w:val="7178018F"/>
    <w:rsid w:val="71BA40BB"/>
    <w:rsid w:val="71CD052F"/>
    <w:rsid w:val="73740A39"/>
    <w:rsid w:val="73D43285"/>
    <w:rsid w:val="741E2752"/>
    <w:rsid w:val="742B746E"/>
    <w:rsid w:val="74736F42"/>
    <w:rsid w:val="74CA7F29"/>
    <w:rsid w:val="752B1D3E"/>
    <w:rsid w:val="75913D16"/>
    <w:rsid w:val="763C0048"/>
    <w:rsid w:val="77135965"/>
    <w:rsid w:val="77262B54"/>
    <w:rsid w:val="772D4414"/>
    <w:rsid w:val="773A5C43"/>
    <w:rsid w:val="775947BB"/>
    <w:rsid w:val="77AD276B"/>
    <w:rsid w:val="77B87094"/>
    <w:rsid w:val="77C96E08"/>
    <w:rsid w:val="78E27C50"/>
    <w:rsid w:val="79500F4C"/>
    <w:rsid w:val="7986195D"/>
    <w:rsid w:val="79E005EE"/>
    <w:rsid w:val="7A044DC4"/>
    <w:rsid w:val="7A865511"/>
    <w:rsid w:val="7AA20E97"/>
    <w:rsid w:val="7AAA4D40"/>
    <w:rsid w:val="7ABC4A73"/>
    <w:rsid w:val="7AC10876"/>
    <w:rsid w:val="7B2F16E9"/>
    <w:rsid w:val="7B334ED0"/>
    <w:rsid w:val="7C4B6886"/>
    <w:rsid w:val="7C71236F"/>
    <w:rsid w:val="7C7B25BC"/>
    <w:rsid w:val="7C8D2B6B"/>
    <w:rsid w:val="7D360B0D"/>
    <w:rsid w:val="7D55069E"/>
    <w:rsid w:val="7D670C49"/>
    <w:rsid w:val="7D711B45"/>
    <w:rsid w:val="7E5F5E41"/>
    <w:rsid w:val="7E78432D"/>
    <w:rsid w:val="7E8E02D3"/>
    <w:rsid w:val="7EA902C5"/>
    <w:rsid w:val="7EAA3560"/>
    <w:rsid w:val="7ECF553C"/>
    <w:rsid w:val="7EF10E29"/>
    <w:rsid w:val="7FB364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keepLines/>
      <w:spacing w:line="560" w:lineRule="exact"/>
      <w:outlineLvl w:val="2"/>
    </w:pPr>
    <w:rPr>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character" w:styleId="8">
    <w:name w:val="Strong"/>
    <w:basedOn w:val="7"/>
    <w:qFormat/>
    <w:uiPriority w:val="0"/>
    <w:rPr>
      <w:b/>
      <w:bCs/>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paragraph" w:styleId="11">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18</Pages>
  <Words>1278</Words>
  <Characters>7291</Characters>
  <Lines>60</Lines>
  <Paragraphs>17</Paragraphs>
  <TotalTime>18</TotalTime>
  <ScaleCrop>false</ScaleCrop>
  <LinksUpToDate>false</LinksUpToDate>
  <CharactersWithSpaces>8552</CharactersWithSpaces>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2019-01-16T17:12:00Z</dcterms:created>
  <dc:creator>jc</dc:creator>
  <cp:lastModifiedBy>Administrator</cp:lastModifiedBy>
  <cp:lastPrinted>2024-03-04T11:32:00Z</cp:lastPrinted>
  <dcterms:modified xsi:type="dcterms:W3CDTF">2024-08-21T02:54:13Z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ICV">
    <vt:lpwstr>8BCB9D8D15004DF781F01A88E817BC14_13</vt:lpwstr>
  </property>
</Properties>
</file>