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eastAsia="zh-CN"/>
        </w:rPr>
      </w:pPr>
      <w:r>
        <w:rPr>
          <w:rFonts w:hint="eastAsia" w:ascii="方正小标宋_GBK" w:hAnsi="宋体" w:eastAsia="方正小标宋_GBK"/>
          <w:color w:val="auto"/>
          <w:sz w:val="44"/>
          <w:szCs w:val="44"/>
          <w:highlight w:val="none"/>
          <w:lang w:val="en-US" w:eastAsia="zh-CN"/>
        </w:rPr>
        <w:t>新疆库尔勒市机关事务管理局</w:t>
      </w:r>
      <w:r>
        <w:rPr>
          <w:rFonts w:hint="eastAsia" w:ascii="方正小标宋_GBK" w:hAnsi="宋体" w:eastAsia="方正小标宋_GBK"/>
          <w:color w:val="auto"/>
          <w:sz w:val="44"/>
          <w:szCs w:val="44"/>
          <w:highlight w:val="none"/>
          <w:lang w:eastAsia="zh-CN"/>
        </w:rPr>
        <w:t xml:space="preserve"> 2023年度</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val="en-US" w:eastAsia="zh-CN"/>
        </w:rPr>
        <w:t>单位</w:t>
      </w:r>
      <w:r>
        <w:rPr>
          <w:rFonts w:hint="eastAsia" w:ascii="方正小标宋_GBK" w:hAnsi="宋体" w:eastAsia="方正小标宋_GBK"/>
          <w:color w:val="auto"/>
          <w:sz w:val="44"/>
          <w:szCs w:val="44"/>
          <w:highlight w:val="none"/>
        </w:rPr>
        <w:t>决算公开说明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bookmarkStart w:id="4" w:name="_Toc31238"/>
      <w:bookmarkStart w:id="5" w:name="_Toc2151"/>
      <w:r>
        <w:rPr>
          <w:rFonts w:hint="default" w:ascii="仿宋_GB2312" w:eastAsia="仿宋_GB2312"/>
          <w:color w:val="auto"/>
          <w:spacing w:val="0"/>
          <w:sz w:val="32"/>
          <w:szCs w:val="32"/>
          <w:highlight w:val="none"/>
          <w:lang w:val="en-US" w:eastAsia="zh-CN"/>
        </w:rPr>
        <w:t>（一）根据国家有关方针政策，负责拟定并组织实施机关事务管理工作的有关规章制度和具体措施，推动机关事务管理工作高质量发展，逐步建立和推进市直机关事务管理工作集中化、专业化、社会化的服务体系。</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default" w:ascii="仿宋_GB2312" w:eastAsia="仿宋_GB2312"/>
          <w:color w:val="auto"/>
          <w:spacing w:val="0"/>
          <w:sz w:val="32"/>
          <w:szCs w:val="32"/>
          <w:highlight w:val="none"/>
          <w:lang w:val="en-US" w:eastAsia="zh-CN"/>
        </w:rPr>
        <w:t>（二）负责库尔勒市本级党政机关办公用房、配建公益房、门面房的权属登记、清理、使用、调配、管理工作。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default" w:ascii="仿宋_GB2312" w:eastAsia="仿宋_GB2312"/>
          <w:color w:val="auto"/>
          <w:spacing w:val="0"/>
          <w:sz w:val="32"/>
          <w:szCs w:val="32"/>
          <w:highlight w:val="none"/>
          <w:lang w:val="en-US" w:eastAsia="zh-CN"/>
        </w:rPr>
        <w:t>（三）负责库尔勒市本级机关事务的管理、保障、服务工作；负责市党政机关大楼和“九馆三中心”公共设备的维修维护和公共区域的治安保卫、保洁服务、会务服务等后勤服务保障和管理工作。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default" w:ascii="仿宋_GB2312" w:eastAsia="仿宋_GB2312"/>
          <w:color w:val="auto"/>
          <w:spacing w:val="0"/>
          <w:sz w:val="32"/>
          <w:szCs w:val="32"/>
          <w:highlight w:val="none"/>
          <w:lang w:val="en-US" w:eastAsia="zh-CN"/>
        </w:rPr>
        <w:t>（四）负责库尔勒市本级党政机关公务用车的清理、登记、调配、管理工作；负责重大会议、重大活动及市委、人大、政府、政协的车辆服务保障和管理。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default" w:ascii="仿宋_GB2312" w:eastAsia="仿宋_GB2312"/>
          <w:color w:val="auto"/>
          <w:spacing w:val="0"/>
          <w:sz w:val="32"/>
          <w:szCs w:val="32"/>
          <w:highlight w:val="none"/>
          <w:lang w:val="en-US" w:eastAsia="zh-CN"/>
        </w:rPr>
        <w:t>（五）负责库尔勒市本级党政机关公产、公务用车的资产处置工作。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default" w:ascii="仿宋_GB2312" w:eastAsia="仿宋_GB2312"/>
          <w:color w:val="auto"/>
          <w:spacing w:val="0"/>
          <w:sz w:val="32"/>
          <w:szCs w:val="32"/>
          <w:highlight w:val="none"/>
          <w:lang w:val="en-US" w:eastAsia="zh-CN"/>
        </w:rPr>
        <w:t>（六）负责库尔勒市本级党政机关公共机构节能减排工作。负责党政机关公共机构节约能源资源宣传、监督和管理工作，会同相关单位制定库尔勒市公共机构节能规划、规章制度并组织实施，开展全市公共机构能耗统计、评价和考核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default" w:ascii="仿宋_GB2312" w:eastAsia="仿宋_GB2312"/>
          <w:color w:val="auto"/>
          <w:spacing w:val="0"/>
          <w:sz w:val="32"/>
          <w:szCs w:val="32"/>
          <w:highlight w:val="none"/>
          <w:lang w:val="en-US" w:eastAsia="zh-CN"/>
        </w:rPr>
        <w:t>（七）负责管理本局所属事业单位，督导检查其所承担的具体业务工作。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default" w:ascii="仿宋_GB2312" w:eastAsia="仿宋_GB2312"/>
          <w:color w:val="auto"/>
          <w:spacing w:val="0"/>
          <w:sz w:val="32"/>
          <w:szCs w:val="32"/>
          <w:highlight w:val="none"/>
          <w:lang w:val="en-US" w:eastAsia="zh-CN"/>
        </w:rPr>
        <w:t>（八）负责本局及所属事业单位的党群思想政治工作，承担党的建设、党风廉政建设和反腐败、保密、精神文明、维护稳定、“访惠聚”、平安建设、民族团结、安全生产、扶贫等工作。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default" w:ascii="仿宋_GB2312" w:eastAsia="仿宋_GB2312"/>
          <w:color w:val="auto"/>
          <w:spacing w:val="0"/>
          <w:sz w:val="32"/>
          <w:szCs w:val="32"/>
          <w:highlight w:val="none"/>
          <w:lang w:val="en-US" w:eastAsia="zh-CN"/>
        </w:rPr>
        <w:t>（九）完成市委、市人民政府交办的其他任务。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新疆库尔勒市机关事务管理局</w:t>
      </w:r>
      <w:r>
        <w:rPr>
          <w:rFonts w:hint="eastAsia" w:ascii="仿宋_GB2312" w:eastAsia="仿宋_GB2312"/>
          <w:color w:val="auto"/>
          <w:spacing w:val="0"/>
          <w:sz w:val="32"/>
          <w:szCs w:val="32"/>
          <w:highlight w:val="none"/>
          <w:lang w:eastAsia="zh-CN"/>
        </w:rPr>
        <w:t>2023年度，实有人数</w:t>
      </w:r>
      <w:r>
        <w:rPr>
          <w:rFonts w:hint="eastAsia" w:ascii="仿宋_GB2312" w:eastAsia="仿宋_GB2312"/>
          <w:color w:val="auto"/>
          <w:spacing w:val="0"/>
          <w:sz w:val="32"/>
          <w:szCs w:val="32"/>
          <w:highlight w:val="none"/>
          <w:lang w:val="zh-CN" w:eastAsia="zh-CN"/>
        </w:rPr>
        <w:t>37</w:t>
      </w:r>
      <w:r>
        <w:rPr>
          <w:rFonts w:hint="eastAsia" w:ascii="仿宋_GB2312" w:eastAsia="仿宋_GB2312"/>
          <w:color w:val="auto"/>
          <w:spacing w:val="0"/>
          <w:sz w:val="32"/>
          <w:szCs w:val="32"/>
          <w:highlight w:val="none"/>
          <w:lang w:eastAsia="zh-CN"/>
        </w:rPr>
        <w:t>人，其中：在职人员</w:t>
      </w:r>
      <w:r>
        <w:rPr>
          <w:rFonts w:hint="eastAsia" w:ascii="仿宋_GB2312" w:eastAsia="仿宋_GB2312"/>
          <w:color w:val="auto"/>
          <w:spacing w:val="0"/>
          <w:sz w:val="32"/>
          <w:szCs w:val="32"/>
          <w:highlight w:val="none"/>
          <w:lang w:val="zh-CN" w:eastAsia="zh-CN"/>
        </w:rPr>
        <w:t>21</w:t>
      </w:r>
      <w:r>
        <w:rPr>
          <w:rFonts w:hint="eastAsia" w:ascii="仿宋_GB2312" w:eastAsia="仿宋_GB2312"/>
          <w:color w:val="auto"/>
          <w:spacing w:val="0"/>
          <w:sz w:val="32"/>
          <w:szCs w:val="32"/>
          <w:highlight w:val="none"/>
          <w:lang w:eastAsia="zh-CN"/>
        </w:rPr>
        <w:t>人，离休人员</w:t>
      </w:r>
      <w:r>
        <w:rPr>
          <w:rFonts w:hint="eastAsia" w:ascii="仿宋_GB2312" w:eastAsia="仿宋_GB2312"/>
          <w:color w:val="auto"/>
          <w:spacing w:val="0"/>
          <w:sz w:val="32"/>
          <w:szCs w:val="32"/>
          <w:highlight w:val="none"/>
          <w:lang w:val="zh-CN" w:eastAsia="zh-CN"/>
        </w:rPr>
        <w:t>0</w:t>
      </w:r>
      <w:r>
        <w:rPr>
          <w:rFonts w:hint="eastAsia" w:ascii="仿宋_GB2312" w:eastAsia="仿宋_GB2312"/>
          <w:color w:val="auto"/>
          <w:spacing w:val="0"/>
          <w:sz w:val="32"/>
          <w:szCs w:val="32"/>
          <w:highlight w:val="none"/>
          <w:lang w:eastAsia="zh-CN"/>
        </w:rPr>
        <w:t>人，退休人员</w:t>
      </w:r>
      <w:r>
        <w:rPr>
          <w:rFonts w:hint="eastAsia" w:ascii="仿宋_GB2312" w:eastAsia="仿宋_GB2312"/>
          <w:color w:val="auto"/>
          <w:spacing w:val="0"/>
          <w:sz w:val="32"/>
          <w:szCs w:val="32"/>
          <w:highlight w:val="none"/>
          <w:lang w:val="zh-CN" w:eastAsia="zh-CN"/>
        </w:rPr>
        <w:t>16</w:t>
      </w:r>
      <w:r>
        <w:rPr>
          <w:rFonts w:hint="eastAsia" w:ascii="仿宋_GB2312" w:eastAsia="仿宋_GB2312"/>
          <w:color w:val="auto"/>
          <w:spacing w:val="0"/>
          <w:sz w:val="32"/>
          <w:szCs w:val="32"/>
          <w:highlight w:val="none"/>
          <w:lang w:eastAsia="zh-CN"/>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单位无下属预算单位，下设</w:t>
      </w:r>
      <w:r>
        <w:rPr>
          <w:rFonts w:hint="eastAsia" w:ascii="仿宋_GB2312" w:eastAsia="仿宋_GB2312"/>
          <w:color w:val="auto"/>
          <w:spacing w:val="0"/>
          <w:sz w:val="32"/>
          <w:szCs w:val="32"/>
          <w:highlight w:val="none"/>
          <w:lang w:val="en-US" w:eastAsia="zh-CN"/>
        </w:rPr>
        <w:t>6</w:t>
      </w:r>
      <w:r>
        <w:rPr>
          <w:rFonts w:hint="eastAsia" w:ascii="仿宋_GB2312" w:eastAsia="仿宋_GB2312"/>
          <w:color w:val="auto"/>
          <w:spacing w:val="0"/>
          <w:sz w:val="32"/>
          <w:szCs w:val="32"/>
          <w:highlight w:val="none"/>
          <w:lang w:eastAsia="zh-CN"/>
        </w:rPr>
        <w:t>个处室，分别是：</w:t>
      </w:r>
      <w:r>
        <w:rPr>
          <w:rFonts w:hint="default" w:ascii="仿宋_GB2312" w:eastAsia="仿宋_GB2312"/>
          <w:color w:val="auto"/>
          <w:spacing w:val="0"/>
          <w:sz w:val="32"/>
          <w:szCs w:val="32"/>
          <w:highlight w:val="none"/>
          <w:lang w:val="en-US" w:eastAsia="zh-CN"/>
        </w:rPr>
        <w:t>党政</w:t>
      </w:r>
      <w:r>
        <w:rPr>
          <w:rFonts w:hint="default" w:ascii="仿宋_GB2312" w:eastAsia="仿宋_GB2312"/>
          <w:color w:val="auto"/>
          <w:spacing w:val="0"/>
          <w:sz w:val="32"/>
          <w:szCs w:val="32"/>
          <w:highlight w:val="none"/>
          <w:lang w:eastAsia="zh-CN"/>
        </w:rPr>
        <w:t>办公室、资产管理室、后勤服务管理室、公共机构节能管理室、公务用车管理室、</w:t>
      </w:r>
      <w:r>
        <w:rPr>
          <w:rFonts w:hint="eastAsia" w:ascii="仿宋_GB2312" w:eastAsia="仿宋_GB2312"/>
          <w:color w:val="auto"/>
          <w:spacing w:val="0"/>
          <w:sz w:val="32"/>
          <w:szCs w:val="32"/>
          <w:highlight w:val="none"/>
          <w:lang w:val="en-US" w:eastAsia="zh-CN"/>
        </w:rPr>
        <w:t>办</w:t>
      </w:r>
      <w:r>
        <w:rPr>
          <w:rFonts w:hint="default" w:ascii="仿宋_GB2312" w:eastAsia="仿宋_GB2312"/>
          <w:color w:val="auto"/>
          <w:spacing w:val="0"/>
          <w:sz w:val="32"/>
          <w:szCs w:val="32"/>
          <w:highlight w:val="none"/>
          <w:lang w:eastAsia="zh-CN"/>
        </w:rPr>
        <w:t>公</w:t>
      </w:r>
      <w:r>
        <w:rPr>
          <w:rFonts w:hint="eastAsia" w:ascii="仿宋_GB2312" w:eastAsia="仿宋_GB2312"/>
          <w:color w:val="auto"/>
          <w:spacing w:val="0"/>
          <w:sz w:val="32"/>
          <w:szCs w:val="32"/>
          <w:highlight w:val="none"/>
          <w:lang w:val="en-US" w:eastAsia="zh-CN"/>
        </w:rPr>
        <w:t>用</w:t>
      </w:r>
      <w:r>
        <w:rPr>
          <w:rFonts w:hint="default" w:ascii="仿宋_GB2312" w:eastAsia="仿宋_GB2312"/>
          <w:color w:val="auto"/>
          <w:spacing w:val="0"/>
          <w:sz w:val="32"/>
          <w:szCs w:val="32"/>
          <w:highlight w:val="none"/>
          <w:lang w:eastAsia="zh-CN"/>
        </w:rPr>
        <w:t>房</w:t>
      </w:r>
      <w:r>
        <w:rPr>
          <w:rFonts w:hint="eastAsia" w:ascii="仿宋_GB2312" w:eastAsia="仿宋_GB2312"/>
          <w:color w:val="auto"/>
          <w:spacing w:val="0"/>
          <w:sz w:val="32"/>
          <w:szCs w:val="32"/>
          <w:highlight w:val="none"/>
          <w:lang w:val="en-US" w:eastAsia="zh-CN"/>
        </w:rPr>
        <w:t>管理</w:t>
      </w:r>
      <w:r>
        <w:rPr>
          <w:rFonts w:hint="default" w:ascii="仿宋_GB2312" w:eastAsia="仿宋_GB2312"/>
          <w:color w:val="auto"/>
          <w:spacing w:val="0"/>
          <w:sz w:val="32"/>
          <w:szCs w:val="32"/>
          <w:highlight w:val="none"/>
          <w:lang w:eastAsia="zh-CN"/>
        </w:rPr>
        <w:t>室。</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sectPr>
          <w:footerReference r:id="rId3" w:type="default"/>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3958.60万元，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3958.60万元，使用非财政拨款结余0.00万元，年初结转和结余0.00万元。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3958.60万元，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3958.60万元，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增加492.90万元</w:t>
      </w:r>
      <w:r>
        <w:rPr>
          <w:rFonts w:hint="eastAsia" w:ascii="仿宋_GB2312" w:eastAsia="仿宋_GB2312"/>
          <w:color w:val="auto"/>
          <w:spacing w:val="0"/>
          <w:sz w:val="32"/>
          <w:szCs w:val="32"/>
          <w:highlight w:val="none"/>
          <w:lang w:eastAsia="zh-CN"/>
        </w:rPr>
        <w:t>，增长14.22%，主要原因是：</w:t>
      </w:r>
      <w:r>
        <w:rPr>
          <w:rFonts w:hint="eastAsia" w:ascii="仿宋_GB2312" w:eastAsia="仿宋_GB2312"/>
          <w:color w:val="auto"/>
          <w:spacing w:val="0"/>
          <w:sz w:val="32"/>
          <w:szCs w:val="32"/>
          <w:highlight w:val="none"/>
          <w:lang w:val="en-US" w:eastAsia="zh-CN"/>
        </w:rPr>
        <w:t>补发2022年下半年绩效奖和补发2022年1-4月艰边津贴、项目支出增加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3958.60</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3958.60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本年支出3958.60万元，其中：基本支出1938.70万元，占48.97%；项目支出2019.90万元，占51.03%；上缴上级支出0.00万元，占0.00%；经营支出0.00万元，占0.00%；对附属单位补助支出0.00万元，占0.00%。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3958.60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3958.60</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3958.60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3958.60</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增加493.13万元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增长14.23%,</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补发2022年下半年绩效奖和补发2022年1-4月艰边津贴、项目支出增加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4242.81</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3958.60</w:t>
      </w:r>
      <w:r>
        <w:rPr>
          <w:rFonts w:hint="eastAsia" w:ascii="仿宋_GB2312" w:eastAsia="仿宋_GB2312"/>
          <w:color w:val="auto"/>
          <w:spacing w:val="0"/>
          <w:sz w:val="32"/>
          <w:szCs w:val="32"/>
          <w:highlight w:val="none"/>
          <w:lang w:eastAsia="zh-CN"/>
        </w:rPr>
        <w:t>万元，预决算差异率-6.70%，主要原因是：</w:t>
      </w:r>
      <w:r>
        <w:rPr>
          <w:rFonts w:hint="eastAsia" w:ascii="仿宋_GB2312" w:eastAsia="仿宋_GB2312"/>
          <w:color w:val="auto"/>
          <w:spacing w:val="0"/>
          <w:sz w:val="32"/>
          <w:szCs w:val="32"/>
          <w:highlight w:val="none"/>
          <w:lang w:val="en-US" w:eastAsia="zh-CN"/>
        </w:rPr>
        <w:t>年初安排九馆三中心租赁费项目预算2207.38万元，支出决算1976.90万元，减少230.48万元；本年3月调出1人、公益性岗位人员减少13人，人员支出减少</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2023年度一般公共预算财政拨款支出1938.70万元，占本年支出合计的</w:t>
      </w:r>
      <w:r>
        <w:rPr>
          <w:rFonts w:hint="eastAsia" w:ascii="仿宋_GB2312" w:eastAsia="仿宋_GB2312"/>
          <w:color w:val="auto"/>
          <w:spacing w:val="0"/>
          <w:sz w:val="32"/>
          <w:szCs w:val="32"/>
          <w:highlight w:val="none"/>
          <w:lang w:val="zh-CN" w:eastAsia="zh-CN"/>
        </w:rPr>
        <w:t>48.97%</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增加242.99万元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增长14.33%,</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补发2022年下半年绩效奖和补发2022年1-4月艰边津贴、调拨25辆车至车辆服务中心、回购3辆红旗车，车辆经费增加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1992.43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1938.70</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-2.70%</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本年3月调出1人、公益性岗位人员减少13人，人员支出减少</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1,555.24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80.22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0.23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0.01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329.45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16.99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26.86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1.39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5</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26.92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1.39</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eastAsia="仿宋_GB2312" w:cs="Times New Roman"/>
          <w:color w:val="auto"/>
          <w:spacing w:val="0"/>
          <w:kern w:val="2"/>
          <w:sz w:val="32"/>
          <w:szCs w:val="32"/>
          <w:lang w:val="en-US" w:eastAsia="zh-CN" w:bidi="ar-SA"/>
        </w:rPr>
      </w:pPr>
      <w:r>
        <w:rPr>
          <w:rFonts w:hint="eastAsia" w:ascii="仿宋_GB2312" w:eastAsia="仿宋_GB2312" w:cs="Times New Roman"/>
          <w:color w:val="auto"/>
          <w:spacing w:val="0"/>
          <w:kern w:val="2"/>
          <w:sz w:val="32"/>
          <w:szCs w:val="32"/>
          <w:lang w:val="en-US" w:eastAsia="zh-CN" w:bidi="ar-SA"/>
        </w:rPr>
        <w:t>1.一般公共服务支出（类）政府办公厅（室）及相关机构事务（款）事业运行（项）:支出决算数为562.11万元，比上年决算增加269.07万元，增长91.82%，主要原因是：2022年公用经费里的水电费、维修维护费等在其他政府办公厅（室）及相关机构事务支出科目列支，本年在事业运行科目列支。</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eastAsia="仿宋_GB2312" w:cs="Times New Roman"/>
          <w:color w:val="auto"/>
          <w:spacing w:val="0"/>
          <w:kern w:val="2"/>
          <w:sz w:val="32"/>
          <w:szCs w:val="32"/>
          <w:lang w:val="en-US" w:eastAsia="zh-CN" w:bidi="ar-SA"/>
        </w:rPr>
      </w:pPr>
      <w:r>
        <w:rPr>
          <w:rFonts w:hint="eastAsia" w:ascii="仿宋_GB2312" w:eastAsia="仿宋_GB2312" w:cs="Times New Roman"/>
          <w:color w:val="auto"/>
          <w:spacing w:val="0"/>
          <w:kern w:val="2"/>
          <w:sz w:val="32"/>
          <w:szCs w:val="32"/>
          <w:lang w:val="en-US" w:eastAsia="zh-CN" w:bidi="ar-SA"/>
        </w:rPr>
        <w:t>2.一般公共服务支出（类）政府办公厅（室）及相关机构事务（款）其他政府办公厅（室）及相关机构事务支出（项）:支出决算数为993.12万元，比上年决算增加173.58万元，增长21.18%，主要原因是：2023年下半年我局车辆服务中心增加一般公务用车25辆、回购3辆红旗车，车辆运行维护费增加；2023年增加库尔勒市端午、春节慰问一线企业职工经费</w:t>
      </w:r>
      <w:r>
        <w:rPr>
          <w:rFonts w:hint="eastAsia" w:ascii="仿宋_GB2312" w:eastAsia="仿宋_GB2312" w:cs="Times New Roman"/>
          <w:color w:val="auto"/>
          <w:spacing w:val="0"/>
          <w:kern w:val="2"/>
          <w:sz w:val="32"/>
          <w:szCs w:val="32"/>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eastAsia="仿宋_GB2312" w:cs="Times New Roman"/>
          <w:color w:val="auto"/>
          <w:spacing w:val="0"/>
          <w:kern w:val="2"/>
          <w:sz w:val="32"/>
          <w:szCs w:val="32"/>
          <w:lang w:val="zh-CN" w:eastAsia="zh-CN" w:bidi="ar-SA"/>
        </w:rPr>
      </w:pPr>
      <w:r>
        <w:rPr>
          <w:rFonts w:hint="eastAsia" w:ascii="仿宋_GB2312" w:eastAsia="仿宋_GB2312" w:cs="Times New Roman"/>
          <w:color w:val="auto"/>
          <w:spacing w:val="0"/>
          <w:kern w:val="2"/>
          <w:sz w:val="32"/>
          <w:szCs w:val="32"/>
          <w:lang w:val="en-US" w:eastAsia="zh-CN" w:bidi="ar-SA"/>
        </w:rPr>
        <w:t>3.教育支出（类）进修及培训（款）培训支出（项）:支出决算数为0.23万元，比上年决算增加0.23万元，增长100%，主要原因是：2022年无培训费支出，2023年支出1人培训费0.23万元</w:t>
      </w:r>
      <w:r>
        <w:rPr>
          <w:rFonts w:hint="eastAsia" w:ascii="仿宋_GB2312" w:eastAsia="仿宋_GB2312" w:cs="Times New Roman"/>
          <w:color w:val="auto"/>
          <w:spacing w:val="0"/>
          <w:kern w:val="2"/>
          <w:sz w:val="32"/>
          <w:szCs w:val="32"/>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eastAsia="仿宋_GB2312" w:cs="Times New Roman"/>
          <w:color w:val="auto"/>
          <w:spacing w:val="0"/>
          <w:kern w:val="2"/>
          <w:sz w:val="32"/>
          <w:szCs w:val="32"/>
          <w:lang w:val="zh-CN" w:eastAsia="zh-CN" w:bidi="ar-SA"/>
        </w:rPr>
      </w:pPr>
      <w:r>
        <w:rPr>
          <w:rFonts w:hint="eastAsia" w:ascii="仿宋_GB2312" w:eastAsia="仿宋_GB2312" w:cs="Times New Roman"/>
          <w:color w:val="auto"/>
          <w:spacing w:val="0"/>
          <w:kern w:val="2"/>
          <w:sz w:val="32"/>
          <w:szCs w:val="32"/>
          <w:lang w:val="en-US" w:eastAsia="zh-CN" w:bidi="ar-SA"/>
        </w:rPr>
        <w:t>4.一般公共服务支出（类）组织事务（款）其他组织事务支出（项）:支出决算数为0.00万元，比上年决算减少0.30万元，下降100%，主要原因是：本年未支付“访惠聚”第一书记经费，无此款项支出</w:t>
      </w:r>
      <w:r>
        <w:rPr>
          <w:rFonts w:hint="eastAsia" w:ascii="仿宋_GB2312" w:eastAsia="仿宋_GB2312" w:cs="Times New Roman"/>
          <w:color w:val="auto"/>
          <w:spacing w:val="0"/>
          <w:kern w:val="2"/>
          <w:sz w:val="32"/>
          <w:szCs w:val="32"/>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eastAsia="仿宋_GB2312" w:cs="Times New Roman"/>
          <w:color w:val="auto"/>
          <w:spacing w:val="0"/>
          <w:kern w:val="2"/>
          <w:sz w:val="32"/>
          <w:szCs w:val="32"/>
          <w:lang w:val="zh-CN" w:eastAsia="zh-CN" w:bidi="ar-SA"/>
        </w:rPr>
      </w:pPr>
      <w:r>
        <w:rPr>
          <w:rFonts w:hint="eastAsia" w:ascii="仿宋_GB2312" w:eastAsia="仿宋_GB2312" w:cs="Times New Roman"/>
          <w:color w:val="auto"/>
          <w:spacing w:val="0"/>
          <w:kern w:val="2"/>
          <w:sz w:val="32"/>
          <w:szCs w:val="32"/>
          <w:lang w:val="en-US" w:eastAsia="zh-CN" w:bidi="ar-SA"/>
        </w:rPr>
        <w:t>5.社会保障和就业支出（类）行政事业单位养老支出（款）事业单位离退休（项）:支出决算数为9.55万元，比上年决算增加2.67万元，增长38.81%，主要原因是：</w:t>
      </w:r>
      <w:r>
        <w:rPr>
          <w:rFonts w:hint="default" w:ascii="仿宋_GB2312" w:eastAsia="仿宋_GB2312" w:cs="Times New Roman"/>
          <w:color w:val="auto"/>
          <w:spacing w:val="0"/>
          <w:kern w:val="2"/>
          <w:sz w:val="32"/>
          <w:szCs w:val="32"/>
          <w:lang w:val="en-US" w:eastAsia="zh-CN" w:bidi="ar-SA"/>
        </w:rPr>
        <w:t>202</w:t>
      </w:r>
      <w:r>
        <w:rPr>
          <w:rFonts w:hint="eastAsia" w:ascii="仿宋_GB2312" w:eastAsia="仿宋_GB2312" w:cs="Times New Roman"/>
          <w:color w:val="auto"/>
          <w:spacing w:val="0"/>
          <w:kern w:val="2"/>
          <w:sz w:val="32"/>
          <w:szCs w:val="32"/>
          <w:lang w:val="en-US" w:eastAsia="zh-CN" w:bidi="ar-SA"/>
        </w:rPr>
        <w:t>3</w:t>
      </w:r>
      <w:r>
        <w:rPr>
          <w:rFonts w:hint="default" w:ascii="仿宋_GB2312" w:eastAsia="仿宋_GB2312" w:cs="Times New Roman"/>
          <w:color w:val="auto"/>
          <w:spacing w:val="0"/>
          <w:kern w:val="2"/>
          <w:sz w:val="32"/>
          <w:szCs w:val="32"/>
          <w:lang w:val="en-US" w:eastAsia="zh-CN" w:bidi="ar-SA"/>
        </w:rPr>
        <w:t>年工资调</w:t>
      </w:r>
      <w:r>
        <w:rPr>
          <w:rFonts w:hint="eastAsia" w:ascii="仿宋_GB2312" w:eastAsia="仿宋_GB2312" w:cs="Times New Roman"/>
          <w:color w:val="auto"/>
          <w:spacing w:val="0"/>
          <w:kern w:val="2"/>
          <w:sz w:val="32"/>
          <w:szCs w:val="32"/>
          <w:lang w:val="en-US" w:eastAsia="zh-CN" w:bidi="ar-SA"/>
        </w:rPr>
        <w:t>增，此项支出增加</w:t>
      </w:r>
      <w:r>
        <w:rPr>
          <w:rFonts w:hint="eastAsia" w:ascii="仿宋_GB2312" w:eastAsia="仿宋_GB2312" w:cs="Times New Roman"/>
          <w:color w:val="auto"/>
          <w:spacing w:val="0"/>
          <w:kern w:val="2"/>
          <w:sz w:val="32"/>
          <w:szCs w:val="32"/>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eastAsia="仿宋_GB2312" w:cs="Times New Roman"/>
          <w:color w:val="auto"/>
          <w:spacing w:val="0"/>
          <w:kern w:val="2"/>
          <w:sz w:val="32"/>
          <w:szCs w:val="32"/>
          <w:lang w:val="zh-CN" w:eastAsia="zh-CN" w:bidi="ar-SA"/>
        </w:rPr>
      </w:pPr>
      <w:r>
        <w:rPr>
          <w:rFonts w:hint="eastAsia" w:ascii="仿宋_GB2312" w:eastAsia="仿宋_GB2312" w:cs="Times New Roman"/>
          <w:color w:val="auto"/>
          <w:spacing w:val="0"/>
          <w:kern w:val="2"/>
          <w:sz w:val="32"/>
          <w:szCs w:val="32"/>
          <w:lang w:val="en-US" w:eastAsia="zh-CN" w:bidi="ar-SA"/>
        </w:rPr>
        <w:t>6.社会保障和就业支出（类）行政事业单位养老支出（款）机关事业单位基本养老保险缴费支出（项）:支出决算数为33.40万元，比上年决算增加2.37万元，增长7.63%，主要原因是：</w:t>
      </w:r>
      <w:r>
        <w:rPr>
          <w:rFonts w:hint="default" w:ascii="仿宋_GB2312" w:eastAsia="仿宋_GB2312" w:cs="Times New Roman"/>
          <w:color w:val="auto"/>
          <w:spacing w:val="0"/>
          <w:kern w:val="2"/>
          <w:sz w:val="32"/>
          <w:szCs w:val="32"/>
          <w:lang w:val="en-US" w:eastAsia="zh-CN" w:bidi="ar-SA"/>
        </w:rPr>
        <w:t>202</w:t>
      </w:r>
      <w:r>
        <w:rPr>
          <w:rFonts w:hint="eastAsia" w:ascii="仿宋_GB2312" w:eastAsia="仿宋_GB2312" w:cs="Times New Roman"/>
          <w:color w:val="auto"/>
          <w:spacing w:val="0"/>
          <w:kern w:val="2"/>
          <w:sz w:val="32"/>
          <w:szCs w:val="32"/>
          <w:lang w:val="en-US" w:eastAsia="zh-CN" w:bidi="ar-SA"/>
        </w:rPr>
        <w:t>3</w:t>
      </w:r>
      <w:r>
        <w:rPr>
          <w:rFonts w:hint="default" w:ascii="仿宋_GB2312" w:eastAsia="仿宋_GB2312" w:cs="Times New Roman"/>
          <w:color w:val="auto"/>
          <w:spacing w:val="0"/>
          <w:kern w:val="2"/>
          <w:sz w:val="32"/>
          <w:szCs w:val="32"/>
          <w:lang w:val="en-US" w:eastAsia="zh-CN" w:bidi="ar-SA"/>
        </w:rPr>
        <w:t>年工资调</w:t>
      </w:r>
      <w:r>
        <w:rPr>
          <w:rFonts w:hint="eastAsia" w:ascii="仿宋_GB2312" w:eastAsia="仿宋_GB2312" w:cs="Times New Roman"/>
          <w:color w:val="auto"/>
          <w:spacing w:val="0"/>
          <w:kern w:val="2"/>
          <w:sz w:val="32"/>
          <w:szCs w:val="32"/>
          <w:lang w:val="en-US" w:eastAsia="zh-CN" w:bidi="ar-SA"/>
        </w:rPr>
        <w:t>增，此项支出增加</w:t>
      </w:r>
      <w:r>
        <w:rPr>
          <w:rFonts w:hint="eastAsia" w:ascii="仿宋_GB2312" w:eastAsia="仿宋_GB2312" w:cs="Times New Roman"/>
          <w:color w:val="auto"/>
          <w:spacing w:val="0"/>
          <w:kern w:val="2"/>
          <w:sz w:val="32"/>
          <w:szCs w:val="32"/>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eastAsia="仿宋_GB2312" w:cs="Times New Roman"/>
          <w:color w:val="auto"/>
          <w:spacing w:val="0"/>
          <w:kern w:val="2"/>
          <w:sz w:val="32"/>
          <w:szCs w:val="32"/>
          <w:lang w:val="zh-CN" w:eastAsia="zh-CN" w:bidi="ar-SA"/>
        </w:rPr>
      </w:pPr>
      <w:r>
        <w:rPr>
          <w:rFonts w:hint="eastAsia" w:ascii="仿宋_GB2312" w:eastAsia="仿宋_GB2312" w:cs="Times New Roman"/>
          <w:color w:val="auto"/>
          <w:spacing w:val="0"/>
          <w:kern w:val="2"/>
          <w:sz w:val="32"/>
          <w:szCs w:val="32"/>
          <w:lang w:val="en-US" w:eastAsia="zh-CN" w:bidi="ar-SA"/>
        </w:rPr>
        <w:t>7.社会保障和就业支出（类）就业补助（款）公益性岗位补贴（项）:支出决算数为286.50万元，比上年决算减少214.47万元，下降42.81%，主要原因是：本年公益性岗位人员减少13人，此款项支出减少</w:t>
      </w:r>
      <w:r>
        <w:rPr>
          <w:rFonts w:hint="eastAsia" w:ascii="仿宋_GB2312" w:eastAsia="仿宋_GB2312" w:cs="Times New Roman"/>
          <w:color w:val="auto"/>
          <w:spacing w:val="0"/>
          <w:kern w:val="2"/>
          <w:sz w:val="32"/>
          <w:szCs w:val="32"/>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eastAsia="仿宋_GB2312" w:cs="Times New Roman"/>
          <w:color w:val="auto"/>
          <w:spacing w:val="0"/>
          <w:kern w:val="2"/>
          <w:sz w:val="32"/>
          <w:szCs w:val="32"/>
          <w:lang w:val="zh-CN" w:eastAsia="zh-CN" w:bidi="ar-SA"/>
        </w:rPr>
      </w:pPr>
      <w:r>
        <w:rPr>
          <w:rFonts w:hint="eastAsia" w:ascii="仿宋_GB2312" w:eastAsia="仿宋_GB2312" w:cs="Times New Roman"/>
          <w:color w:val="auto"/>
          <w:spacing w:val="0"/>
          <w:kern w:val="2"/>
          <w:sz w:val="32"/>
          <w:szCs w:val="32"/>
          <w:lang w:val="en-US" w:eastAsia="zh-CN" w:bidi="ar-SA"/>
        </w:rPr>
        <w:t>8.卫生健康支出（类）行政事业单位医疗（款）事业单位医疗（项）:支出决算数为26.86万元，比上年决算增加6.20万元，增长30.01%，主要原因是：</w:t>
      </w:r>
      <w:r>
        <w:rPr>
          <w:rFonts w:hint="default" w:ascii="仿宋_GB2312" w:eastAsia="仿宋_GB2312" w:cs="Times New Roman"/>
          <w:color w:val="auto"/>
          <w:spacing w:val="0"/>
          <w:kern w:val="2"/>
          <w:sz w:val="32"/>
          <w:szCs w:val="32"/>
          <w:lang w:val="en-US" w:eastAsia="zh-CN" w:bidi="ar-SA"/>
        </w:rPr>
        <w:t>202</w:t>
      </w:r>
      <w:r>
        <w:rPr>
          <w:rFonts w:hint="eastAsia" w:ascii="仿宋_GB2312" w:eastAsia="仿宋_GB2312" w:cs="Times New Roman"/>
          <w:color w:val="auto"/>
          <w:spacing w:val="0"/>
          <w:kern w:val="2"/>
          <w:sz w:val="32"/>
          <w:szCs w:val="32"/>
          <w:lang w:val="en-US" w:eastAsia="zh-CN" w:bidi="ar-SA"/>
        </w:rPr>
        <w:t>3</w:t>
      </w:r>
      <w:r>
        <w:rPr>
          <w:rFonts w:hint="default" w:ascii="仿宋_GB2312" w:eastAsia="仿宋_GB2312" w:cs="Times New Roman"/>
          <w:color w:val="auto"/>
          <w:spacing w:val="0"/>
          <w:kern w:val="2"/>
          <w:sz w:val="32"/>
          <w:szCs w:val="32"/>
          <w:lang w:val="en-US" w:eastAsia="zh-CN" w:bidi="ar-SA"/>
        </w:rPr>
        <w:t>年工资调</w:t>
      </w:r>
      <w:r>
        <w:rPr>
          <w:rFonts w:hint="eastAsia" w:ascii="仿宋_GB2312" w:eastAsia="仿宋_GB2312" w:cs="Times New Roman"/>
          <w:color w:val="auto"/>
          <w:spacing w:val="0"/>
          <w:kern w:val="2"/>
          <w:sz w:val="32"/>
          <w:szCs w:val="32"/>
          <w:lang w:val="en-US" w:eastAsia="zh-CN" w:bidi="ar-SA"/>
        </w:rPr>
        <w:t>增，此项支出增加</w:t>
      </w:r>
      <w:r>
        <w:rPr>
          <w:rFonts w:hint="eastAsia" w:ascii="仿宋_GB2312" w:eastAsia="仿宋_GB2312" w:cs="Times New Roman"/>
          <w:color w:val="auto"/>
          <w:spacing w:val="0"/>
          <w:kern w:val="2"/>
          <w:sz w:val="32"/>
          <w:szCs w:val="32"/>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eastAsia="仿宋_GB2312" w:cs="Times New Roman"/>
          <w:color w:val="auto"/>
          <w:spacing w:val="0"/>
          <w:kern w:val="2"/>
          <w:sz w:val="32"/>
          <w:szCs w:val="32"/>
          <w:lang w:val="zh-CN" w:eastAsia="zh-CN" w:bidi="ar-SA"/>
        </w:rPr>
      </w:pPr>
      <w:r>
        <w:rPr>
          <w:rFonts w:hint="eastAsia" w:ascii="仿宋_GB2312" w:eastAsia="仿宋_GB2312" w:cs="Times New Roman"/>
          <w:color w:val="auto"/>
          <w:spacing w:val="0"/>
          <w:kern w:val="2"/>
          <w:sz w:val="32"/>
          <w:szCs w:val="32"/>
          <w:lang w:val="en-US" w:eastAsia="zh-CN" w:bidi="ar-SA"/>
        </w:rPr>
        <w:t>9.住房保障支出（类）住房改革支出（款）住房公积金（项）:支出决算数为26.92万元，比上年决算增加3.64万元，增长15.64%，主要原因是：</w:t>
      </w:r>
      <w:r>
        <w:rPr>
          <w:rFonts w:hint="default" w:ascii="仿宋_GB2312" w:eastAsia="仿宋_GB2312" w:cs="Times New Roman"/>
          <w:color w:val="auto"/>
          <w:spacing w:val="0"/>
          <w:kern w:val="2"/>
          <w:sz w:val="32"/>
          <w:szCs w:val="32"/>
          <w:lang w:val="en-US" w:eastAsia="zh-CN" w:bidi="ar-SA"/>
        </w:rPr>
        <w:t>202</w:t>
      </w:r>
      <w:r>
        <w:rPr>
          <w:rFonts w:hint="eastAsia" w:ascii="仿宋_GB2312" w:eastAsia="仿宋_GB2312" w:cs="Times New Roman"/>
          <w:color w:val="auto"/>
          <w:spacing w:val="0"/>
          <w:kern w:val="2"/>
          <w:sz w:val="32"/>
          <w:szCs w:val="32"/>
          <w:lang w:val="en-US" w:eastAsia="zh-CN" w:bidi="ar-SA"/>
        </w:rPr>
        <w:t>3</w:t>
      </w:r>
      <w:r>
        <w:rPr>
          <w:rFonts w:hint="default" w:ascii="仿宋_GB2312" w:eastAsia="仿宋_GB2312" w:cs="Times New Roman"/>
          <w:color w:val="auto"/>
          <w:spacing w:val="0"/>
          <w:kern w:val="2"/>
          <w:sz w:val="32"/>
          <w:szCs w:val="32"/>
          <w:lang w:val="en-US" w:eastAsia="zh-CN" w:bidi="ar-SA"/>
        </w:rPr>
        <w:t>年工资调</w:t>
      </w:r>
      <w:r>
        <w:rPr>
          <w:rFonts w:hint="eastAsia" w:ascii="仿宋_GB2312" w:eastAsia="仿宋_GB2312" w:cs="Times New Roman"/>
          <w:color w:val="auto"/>
          <w:spacing w:val="0"/>
          <w:kern w:val="2"/>
          <w:sz w:val="32"/>
          <w:szCs w:val="32"/>
          <w:lang w:val="en-US" w:eastAsia="zh-CN" w:bidi="ar-SA"/>
        </w:rPr>
        <w:t xml:space="preserve">增，此项支出增加。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1938.70</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1487.06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基本工资、津贴补贴、奖金、绩效工资、机关事业单位基本养老保险缴费、职工基本医疗保险缴费、其他社会保障缴费、住房公积金、其他工资福利支出、退休费、生活补助、其他对个人和家庭的补助。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451.64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办公费、水费、电费、邮电费、差旅费、维修（护）费、培训费、工会经费、公务用车运行维护费、其他商品和服务支出、办公设备购置、专用设备购置、公务用车购置。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“三公”经费支出187.93万元，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增加74.78万元，</w:t>
      </w:r>
      <w:r>
        <w:rPr>
          <w:rFonts w:hint="eastAsia" w:ascii="仿宋_GB2312" w:eastAsia="仿宋_GB2312"/>
          <w:color w:val="auto"/>
          <w:spacing w:val="0"/>
          <w:sz w:val="32"/>
          <w:szCs w:val="32"/>
          <w:highlight w:val="none"/>
          <w:lang w:val="en-US" w:eastAsia="zh-CN"/>
        </w:rPr>
        <w:t>增长66.09%,</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2023年6月相关部门批复同意调拨25辆车到机关事务管理局车辆服务中心、</w:t>
      </w:r>
      <w:r>
        <w:rPr>
          <w:rFonts w:hint="eastAsia" w:ascii="仿宋_GB2312" w:eastAsia="仿宋_GB2312"/>
          <w:color w:val="auto"/>
          <w:spacing w:val="0"/>
          <w:sz w:val="32"/>
          <w:szCs w:val="32"/>
          <w:highlight w:val="none"/>
          <w:lang w:val="en-US" w:eastAsia="zh-CN"/>
        </w:rPr>
        <w:t>回购3辆红旗车，</w:t>
      </w:r>
      <w:r>
        <w:rPr>
          <w:rFonts w:hint="eastAsia" w:ascii="仿宋_GB2312" w:eastAsia="仿宋_GB2312"/>
          <w:color w:val="auto"/>
          <w:sz w:val="32"/>
          <w:szCs w:val="32"/>
          <w:highlight w:val="none"/>
          <w:lang w:val="en-US" w:eastAsia="zh-CN"/>
        </w:rPr>
        <w:t>因此增加了车辆运行经费支出</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Times New Roman" w:hAnsi="Times New Roman" w:eastAsia="方正仿宋_GBK" w:cs="Times New Roman"/>
          <w:color w:val="auto"/>
          <w:sz w:val="31"/>
          <w:szCs w:val="31"/>
          <w:lang w:val="en-US" w:eastAsia="zh-CN"/>
        </w:rPr>
        <w:t>我单位无</w:t>
      </w:r>
      <w:r>
        <w:rPr>
          <w:rFonts w:hint="default" w:ascii="Times New Roman" w:hAnsi="Times New Roman" w:eastAsia="方正仿宋_GBK" w:cs="Times New Roman"/>
          <w:color w:val="auto"/>
          <w:sz w:val="31"/>
          <w:szCs w:val="31"/>
        </w:rPr>
        <w:t>因公出国（境）</w:t>
      </w:r>
      <w:r>
        <w:rPr>
          <w:rFonts w:hint="eastAsia" w:ascii="Times New Roman" w:hAnsi="Times New Roman" w:eastAsia="方正仿宋_GBK" w:cs="Times New Roman"/>
          <w:color w:val="auto"/>
          <w:sz w:val="31"/>
          <w:szCs w:val="31"/>
          <w:lang w:val="en-US" w:eastAsia="zh-CN"/>
        </w:rPr>
        <w:t>费</w:t>
      </w:r>
      <w:r>
        <w:rPr>
          <w:rFonts w:hint="eastAsia" w:ascii="仿宋_GB2312" w:eastAsia="仿宋_GB2312"/>
          <w:color w:val="auto"/>
          <w:sz w:val="32"/>
          <w:szCs w:val="32"/>
          <w:highlight w:val="none"/>
          <w:lang w:val="zh-CN" w:eastAsia="zh-CN"/>
        </w:rPr>
        <w:t>；公务用车购置及运行维护费支出187.93万元，占100.00%，比上年增加74.78万元，</w:t>
      </w:r>
      <w:r>
        <w:rPr>
          <w:rFonts w:hint="eastAsia" w:ascii="仿宋_GB2312" w:eastAsia="仿宋_GB2312"/>
          <w:color w:val="auto"/>
          <w:spacing w:val="0"/>
          <w:sz w:val="32"/>
          <w:szCs w:val="32"/>
          <w:highlight w:val="none"/>
          <w:lang w:val="en-US" w:eastAsia="zh-CN"/>
        </w:rPr>
        <w:t>增长66.09%,</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2023年6月相关部门批复同意调拨25辆车到机关事务管理局车辆服务中心、</w:t>
      </w:r>
      <w:r>
        <w:rPr>
          <w:rFonts w:hint="eastAsia" w:ascii="仿宋_GB2312" w:eastAsia="仿宋_GB2312"/>
          <w:color w:val="auto"/>
          <w:spacing w:val="0"/>
          <w:sz w:val="32"/>
          <w:szCs w:val="32"/>
          <w:highlight w:val="none"/>
          <w:lang w:val="en-US" w:eastAsia="zh-CN"/>
        </w:rPr>
        <w:t>回购3辆红旗车</w:t>
      </w:r>
      <w:r>
        <w:rPr>
          <w:rFonts w:hint="eastAsia" w:ascii="仿宋_GB2312" w:eastAsia="仿宋_GB2312"/>
          <w:color w:val="auto"/>
          <w:sz w:val="32"/>
          <w:szCs w:val="32"/>
          <w:highlight w:val="none"/>
          <w:lang w:val="en-US" w:eastAsia="zh-CN"/>
        </w:rPr>
        <w:t>，因此增加了车辆运行经费支出</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Times New Roman" w:hAnsi="Times New Roman" w:eastAsia="方正仿宋_GBK" w:cs="Times New Roman"/>
          <w:color w:val="auto"/>
          <w:sz w:val="31"/>
          <w:szCs w:val="31"/>
          <w:lang w:val="en-US" w:eastAsia="zh-CN"/>
        </w:rPr>
        <w:t>我单位无公务接待费支出</w:t>
      </w:r>
      <w:r>
        <w:rPr>
          <w:rFonts w:hint="default" w:ascii="Times New Roman" w:hAnsi="Times New Roman" w:eastAsia="方正仿宋_GBK" w:cs="Times New Roman"/>
          <w:color w:val="auto"/>
          <w:sz w:val="31"/>
          <w:szCs w:val="31"/>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Times New Roman" w:hAnsi="Times New Roman" w:eastAsia="方正仿宋_GBK" w:cs="Times New Roman"/>
          <w:color w:val="auto"/>
          <w:sz w:val="31"/>
          <w:szCs w:val="31"/>
          <w:lang w:val="en-US" w:eastAsia="zh-CN"/>
        </w:rPr>
        <w:t>我单位无</w:t>
      </w:r>
      <w:r>
        <w:rPr>
          <w:rFonts w:hint="default" w:ascii="Times New Roman" w:hAnsi="Times New Roman" w:eastAsia="方正仿宋_GBK" w:cs="Times New Roman"/>
          <w:color w:val="auto"/>
          <w:sz w:val="31"/>
          <w:szCs w:val="31"/>
        </w:rPr>
        <w:t>因公出国（境）费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公务用车购置及运行维护费187.93万元，其中：公务用车购置费43.38万元，公务用车运行维护费144.55万元。公务用车运行维护费开支内容包括</w:t>
      </w:r>
      <w:r>
        <w:rPr>
          <w:rFonts w:hint="default" w:ascii="Times New Roman" w:hAnsi="Times New Roman" w:eastAsia="方正仿宋_GBK" w:cs="Times New Roman"/>
          <w:color w:val="auto"/>
          <w:kern w:val="0"/>
          <w:sz w:val="31"/>
          <w:szCs w:val="31"/>
          <w:lang w:eastAsia="zh-CN"/>
        </w:rPr>
        <w:t>车辆保险、维修维护、油料款、</w:t>
      </w:r>
      <w:r>
        <w:rPr>
          <w:rFonts w:hint="eastAsia" w:ascii="Times New Roman" w:hAnsi="Times New Roman" w:eastAsia="方正仿宋_GBK" w:cs="Times New Roman"/>
          <w:color w:val="auto"/>
          <w:kern w:val="0"/>
          <w:sz w:val="31"/>
          <w:szCs w:val="31"/>
          <w:lang w:val="en-US" w:eastAsia="zh-CN"/>
        </w:rPr>
        <w:t>过路费</w:t>
      </w:r>
      <w:r>
        <w:rPr>
          <w:rFonts w:hint="eastAsia" w:ascii="仿宋_GB2312" w:eastAsia="仿宋_GB2312"/>
          <w:color w:val="auto"/>
          <w:sz w:val="32"/>
          <w:szCs w:val="32"/>
          <w:highlight w:val="none"/>
          <w:lang w:val="zh-CN" w:eastAsia="zh-CN"/>
        </w:rPr>
        <w:t>。公务用车购置数3辆，公务用车保有量83辆。国有资产占用情况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13辆，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四大办车辆编制在原单位，车辆在市机关事务管理局统一管理</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Times New Roman" w:hAnsi="Times New Roman" w:eastAsia="方正仿宋_GBK" w:cs="Times New Roman"/>
          <w:color w:val="auto"/>
          <w:sz w:val="31"/>
          <w:szCs w:val="31"/>
          <w:lang w:val="en-US" w:eastAsia="zh-CN"/>
        </w:rPr>
        <w:t>我单位无公务接待费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预算数187.93万元，决算数187.93万元，预决算差异率0.00%，主要原因是：</w:t>
      </w:r>
      <w:r>
        <w:rPr>
          <w:rFonts w:hint="eastAsia" w:ascii="Times New Roman" w:hAnsi="Times New Roman" w:eastAsia="方正仿宋_GBK" w:cs="Times New Roman"/>
          <w:color w:val="auto"/>
          <w:sz w:val="31"/>
          <w:szCs w:val="31"/>
          <w:lang w:val="en-US" w:eastAsia="zh-CN"/>
        </w:rPr>
        <w:t>严格执行三公经费预算，严禁超预算支出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Times New Roman" w:hAnsi="Times New Roman" w:eastAsia="方正仿宋_GBK" w:cs="Times New Roman"/>
          <w:color w:val="auto"/>
          <w:sz w:val="31"/>
          <w:szCs w:val="31"/>
          <w:lang w:val="en-US" w:eastAsia="zh-CN"/>
        </w:rPr>
        <w:t>我单位无</w:t>
      </w:r>
      <w:r>
        <w:rPr>
          <w:rFonts w:hint="default" w:ascii="Times New Roman" w:hAnsi="Times New Roman" w:eastAsia="方正仿宋_GBK" w:cs="Times New Roman"/>
          <w:color w:val="auto"/>
          <w:sz w:val="31"/>
          <w:szCs w:val="31"/>
        </w:rPr>
        <w:t>因公出国（境）</w:t>
      </w:r>
      <w:r>
        <w:rPr>
          <w:rFonts w:hint="eastAsia" w:ascii="Times New Roman" w:hAnsi="Times New Roman" w:eastAsia="方正仿宋_GBK" w:cs="Times New Roman"/>
          <w:color w:val="auto"/>
          <w:sz w:val="31"/>
          <w:szCs w:val="31"/>
          <w:lang w:val="en-US" w:eastAsia="zh-CN"/>
        </w:rPr>
        <w:t>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预算数43.38万元，决算数43.38万元，预决算差异率0.00%，主要原因是：</w:t>
      </w:r>
      <w:r>
        <w:rPr>
          <w:rFonts w:hint="eastAsia" w:ascii="仿宋_GB2312" w:eastAsia="仿宋_GB2312"/>
          <w:color w:val="auto"/>
          <w:sz w:val="32"/>
          <w:szCs w:val="32"/>
          <w:highlight w:val="none"/>
          <w:lang w:val="en-US" w:eastAsia="zh-CN"/>
        </w:rPr>
        <w:t>2023年购置3辆红旗车，购置费用43.38万元，</w:t>
      </w:r>
      <w:r>
        <w:rPr>
          <w:rFonts w:hint="eastAsia" w:ascii="Times New Roman" w:hAnsi="Times New Roman" w:eastAsia="方正仿宋_GBK" w:cs="Times New Roman"/>
          <w:color w:val="auto"/>
          <w:sz w:val="31"/>
          <w:szCs w:val="31"/>
          <w:lang w:val="en-US" w:eastAsia="zh-CN"/>
        </w:rPr>
        <w:t>严禁超预算支出</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预算数144.55万元，决算数144.55万元，预决算差异率0.00%，主要原因是：</w:t>
      </w:r>
      <w:r>
        <w:rPr>
          <w:rFonts w:hint="eastAsia" w:ascii="Times New Roman" w:hAnsi="Times New Roman" w:eastAsia="方正仿宋_GBK" w:cs="Times New Roman"/>
          <w:color w:val="auto"/>
          <w:sz w:val="31"/>
          <w:szCs w:val="31"/>
          <w:lang w:val="en-US" w:eastAsia="zh-CN"/>
        </w:rPr>
        <w:t>严格执行公务用车运行年初预算，严禁超预算支出</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Times New Roman" w:hAnsi="Times New Roman" w:eastAsia="方正仿宋_GBK" w:cs="Times New Roman"/>
          <w:color w:val="auto"/>
          <w:sz w:val="31"/>
          <w:szCs w:val="31"/>
          <w:lang w:val="en-US" w:eastAsia="zh-CN"/>
        </w:rPr>
        <w:t>我单位无公务接待费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2023年度政府性基金预算</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收入</w:t>
      </w:r>
      <w:r>
        <w:rPr>
          <w:rFonts w:hint="eastAsia" w:ascii="仿宋_GB2312" w:eastAsia="仿宋_GB2312"/>
          <w:color w:val="auto"/>
          <w:sz w:val="32"/>
          <w:szCs w:val="32"/>
          <w:highlight w:val="none"/>
          <w:lang w:val="en-US" w:eastAsia="zh-CN"/>
        </w:rPr>
        <w:t>总计1976.90</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其中：年初结转和结余0.00</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本年收入1976.90</w:t>
      </w:r>
      <w:r>
        <w:rPr>
          <w:rFonts w:hint="eastAsia" w:ascii="仿宋_GB2312" w:eastAsia="仿宋_GB2312"/>
          <w:color w:val="auto"/>
          <w:sz w:val="32"/>
          <w:szCs w:val="32"/>
          <w:highlight w:val="none"/>
          <w:lang w:val="zh-CN" w:eastAsia="zh-CN"/>
        </w:rPr>
        <w:t>万元。政府性基金预算财政拨款支出</w:t>
      </w:r>
      <w:r>
        <w:rPr>
          <w:rFonts w:hint="eastAsia" w:ascii="仿宋_GB2312" w:eastAsia="仿宋_GB2312"/>
          <w:color w:val="auto"/>
          <w:sz w:val="32"/>
          <w:szCs w:val="32"/>
          <w:highlight w:val="none"/>
          <w:lang w:val="en-US" w:eastAsia="zh-CN"/>
        </w:rPr>
        <w:t>总计1976.90</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其中：年末结转和结余0.00</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本年支出1976.90</w:t>
      </w:r>
      <w:r>
        <w:rPr>
          <w:rFonts w:hint="eastAsia" w:ascii="仿宋_GB2312" w:eastAsia="仿宋_GB2312"/>
          <w:color w:val="auto"/>
          <w:sz w:val="32"/>
          <w:szCs w:val="32"/>
          <w:highlight w:val="none"/>
          <w:lang w:val="zh-CN" w:eastAsia="zh-CN"/>
        </w:rPr>
        <w:t>万元。</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政府性基金预算财政拨款</w:t>
      </w:r>
      <w:r>
        <w:rPr>
          <w:rFonts w:hint="eastAsia" w:ascii="仿宋_GB2312" w:eastAsia="仿宋_GB2312"/>
          <w:color w:val="auto"/>
          <w:sz w:val="32"/>
          <w:szCs w:val="32"/>
          <w:highlight w:val="none"/>
          <w:lang w:val="en-US" w:eastAsia="zh-CN"/>
        </w:rPr>
        <w:t>收入支出</w:t>
      </w:r>
      <w:r>
        <w:rPr>
          <w:rFonts w:hint="eastAsia" w:ascii="仿宋_GB2312" w:eastAsia="仿宋_GB2312"/>
          <w:color w:val="auto"/>
          <w:sz w:val="32"/>
          <w:szCs w:val="32"/>
          <w:highlight w:val="none"/>
          <w:lang w:val="zh-CN" w:eastAsia="zh-CN"/>
        </w:rPr>
        <w:t>与上年相比，增加252.14万元</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增长14.62%</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主要原因是：九馆三中心</w:t>
      </w:r>
      <w:r>
        <w:rPr>
          <w:rFonts w:hint="eastAsia" w:ascii="仿宋_GB2312" w:eastAsia="仿宋_GB2312"/>
          <w:color w:val="auto"/>
          <w:sz w:val="32"/>
          <w:szCs w:val="32"/>
          <w:highlight w:val="none"/>
          <w:lang w:val="en-US" w:eastAsia="zh-CN"/>
        </w:rPr>
        <w:t>产权单位是库尔勒国泰资产投资管理有限公司，我单位每年需缴纳租赁费2207.38万元（包含物业服务费、场馆租赁费），物业服务费由该公司先行支付后再与我单位进行结算，本年该公司支付的物业服务费将上年增加252.14万元</w:t>
      </w:r>
      <w:r>
        <w:rPr>
          <w:rFonts w:hint="eastAsia" w:ascii="仿宋_GB2312" w:eastAsia="仿宋_GB2312"/>
          <w:color w:val="auto"/>
          <w:sz w:val="32"/>
          <w:szCs w:val="32"/>
          <w:highlight w:val="none"/>
          <w:lang w:val="zh-CN" w:eastAsia="zh-CN"/>
        </w:rPr>
        <w:t>。与年初预算相比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年初预算数</w:t>
      </w:r>
      <w:r>
        <w:rPr>
          <w:rFonts w:hint="eastAsia" w:ascii="仿宋_GB2312" w:eastAsia="仿宋_GB2312"/>
          <w:color w:val="auto"/>
          <w:sz w:val="32"/>
          <w:szCs w:val="32"/>
          <w:highlight w:val="none"/>
          <w:lang w:val="en-US" w:eastAsia="zh-CN"/>
        </w:rPr>
        <w:t>2207.38</w:t>
      </w:r>
      <w:r>
        <w:rPr>
          <w:rFonts w:hint="eastAsia" w:ascii="仿宋_GB2312" w:eastAsia="仿宋_GB2312"/>
          <w:color w:val="auto"/>
          <w:sz w:val="32"/>
          <w:szCs w:val="32"/>
          <w:highlight w:val="none"/>
          <w:lang w:val="zh-CN" w:eastAsia="zh-CN"/>
        </w:rPr>
        <w:t>万元，决算数</w:t>
      </w:r>
      <w:r>
        <w:rPr>
          <w:rFonts w:hint="eastAsia" w:ascii="仿宋_GB2312" w:eastAsia="仿宋_GB2312"/>
          <w:color w:val="auto"/>
          <w:sz w:val="32"/>
          <w:szCs w:val="32"/>
          <w:highlight w:val="none"/>
          <w:lang w:val="en-US" w:eastAsia="zh-CN"/>
        </w:rPr>
        <w:t>1976.90</w:t>
      </w:r>
      <w:r>
        <w:rPr>
          <w:rFonts w:hint="eastAsia" w:ascii="仿宋_GB2312" w:eastAsia="仿宋_GB2312"/>
          <w:color w:val="auto"/>
          <w:sz w:val="32"/>
          <w:szCs w:val="32"/>
          <w:highlight w:val="none"/>
          <w:lang w:val="zh-CN" w:eastAsia="zh-CN"/>
        </w:rPr>
        <w:t>万元，预决算差异率-10.44%，主要原因是：九馆三中心</w:t>
      </w:r>
      <w:r>
        <w:rPr>
          <w:rFonts w:hint="eastAsia" w:ascii="仿宋_GB2312" w:eastAsia="仿宋_GB2312"/>
          <w:color w:val="auto"/>
          <w:sz w:val="32"/>
          <w:szCs w:val="32"/>
          <w:highlight w:val="none"/>
          <w:lang w:val="en-US" w:eastAsia="zh-CN"/>
        </w:rPr>
        <w:t>产权单位是库尔勒国泰资产投资管理有限公司，我单位每年需缴纳租赁费2207.38万元（包含物业服务费、场馆租赁费），部分物业服务费该公司先行支付后未与我单位进行结算，因此决算支出较预算数减少</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政府性基金预算财政拨款支出1,976.90万元。</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1.城乡社区支出（类）国有土地使用权出让收入安排的支出（款）其他国有土地使用权出让收入安排的支出（项）:支出决算数为1976.90</w:t>
      </w:r>
      <w:r>
        <w:rPr>
          <w:rFonts w:hint="eastAsia" w:ascii="仿宋_GB2312" w:eastAsia="仿宋_GB2312"/>
          <w:color w:val="auto"/>
          <w:sz w:val="32"/>
          <w:szCs w:val="32"/>
          <w:highlight w:val="none"/>
          <w:lang w:val="en-US" w:eastAsia="zh-CN"/>
        </w:rPr>
        <w:t>万元</w:t>
      </w:r>
      <w:r>
        <w:rPr>
          <w:rFonts w:hint="eastAsia" w:ascii="仿宋_GB2312" w:eastAsia="仿宋_GB2312"/>
          <w:color w:val="auto"/>
          <w:sz w:val="32"/>
          <w:szCs w:val="32"/>
          <w:highlight w:val="none"/>
          <w:lang w:val="zh-CN" w:eastAsia="zh-CN"/>
        </w:rPr>
        <w:t>，比上年决算</w:t>
      </w:r>
      <w:r>
        <w:rPr>
          <w:rFonts w:hint="eastAsia" w:ascii="仿宋_GB2312" w:eastAsia="仿宋_GB2312"/>
          <w:color w:val="auto"/>
          <w:sz w:val="32"/>
          <w:szCs w:val="32"/>
          <w:highlight w:val="none"/>
          <w:lang w:val="en-US" w:eastAsia="zh-CN"/>
        </w:rPr>
        <w:t>增加</w:t>
      </w:r>
      <w:r>
        <w:rPr>
          <w:rFonts w:hint="eastAsia" w:ascii="仿宋_GB2312" w:eastAsia="仿宋_GB2312"/>
          <w:color w:val="auto"/>
          <w:sz w:val="32"/>
          <w:szCs w:val="32"/>
          <w:highlight w:val="none"/>
          <w:lang w:val="zh-CN" w:eastAsia="zh-CN"/>
        </w:rPr>
        <w:t>252.14</w:t>
      </w:r>
      <w:r>
        <w:rPr>
          <w:rFonts w:hint="eastAsia" w:ascii="仿宋_GB2312" w:eastAsia="仿宋_GB2312"/>
          <w:color w:val="auto"/>
          <w:sz w:val="32"/>
          <w:szCs w:val="32"/>
          <w:highlight w:val="none"/>
          <w:lang w:val="en-US" w:eastAsia="zh-CN"/>
        </w:rPr>
        <w:t>万元</w:t>
      </w:r>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增长</w:t>
      </w:r>
      <w:r>
        <w:rPr>
          <w:rFonts w:hint="eastAsia" w:ascii="仿宋_GB2312" w:eastAsia="仿宋_GB2312"/>
          <w:color w:val="auto"/>
          <w:sz w:val="32"/>
          <w:szCs w:val="32"/>
          <w:highlight w:val="none"/>
          <w:lang w:val="zh-CN" w:eastAsia="zh-CN"/>
        </w:rPr>
        <w:t>14.62%，主要原因是：九馆三中心</w:t>
      </w:r>
      <w:r>
        <w:rPr>
          <w:rFonts w:hint="eastAsia" w:ascii="仿宋_GB2312" w:eastAsia="仿宋_GB2312"/>
          <w:color w:val="auto"/>
          <w:sz w:val="32"/>
          <w:szCs w:val="32"/>
          <w:highlight w:val="none"/>
          <w:lang w:val="en-US" w:eastAsia="zh-CN"/>
        </w:rPr>
        <w:t>产权单位是库尔勒国泰资产投资管理有限公司，我单位</w:t>
      </w:r>
      <w:bookmarkStart w:id="48" w:name="_GoBack"/>
      <w:bookmarkEnd w:id="48"/>
      <w:r>
        <w:rPr>
          <w:rFonts w:hint="eastAsia" w:ascii="仿宋_GB2312" w:eastAsia="仿宋_GB2312"/>
          <w:color w:val="auto"/>
          <w:sz w:val="32"/>
          <w:szCs w:val="32"/>
          <w:highlight w:val="none"/>
          <w:lang w:val="en-US" w:eastAsia="zh-CN"/>
        </w:rPr>
        <w:t>每年需缴纳租赁费2207.38万元（包含物业服务费、场馆租赁费），物业服务费该公司先行支付后再与我单位进行结算，本年该公司支付的物业服务费将上年增加252.14万元</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2023年度国有资本经营预算</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收入</w:t>
      </w:r>
      <w:r>
        <w:rPr>
          <w:rFonts w:hint="eastAsia" w:ascii="仿宋_GB2312" w:eastAsia="仿宋_GB2312"/>
          <w:color w:val="auto"/>
          <w:sz w:val="32"/>
          <w:szCs w:val="32"/>
          <w:highlight w:val="none"/>
          <w:lang w:val="en-US" w:eastAsia="zh-CN"/>
        </w:rPr>
        <w:t>总计43.00</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其中：年初结转和结余</w:t>
      </w:r>
      <w:r>
        <w:rPr>
          <w:rFonts w:hint="eastAsia" w:ascii="仿宋_GB2312" w:eastAsia="仿宋_GB2312"/>
          <w:color w:val="auto"/>
          <w:sz w:val="32"/>
          <w:szCs w:val="32"/>
          <w:highlight w:val="none"/>
          <w:lang w:val="zh-CN" w:eastAsia="zh-CN"/>
        </w:rPr>
        <w:t>0.00万元，</w:t>
      </w:r>
      <w:r>
        <w:rPr>
          <w:rFonts w:hint="eastAsia" w:ascii="仿宋_GB2312" w:eastAsia="仿宋_GB2312"/>
          <w:color w:val="auto"/>
          <w:sz w:val="32"/>
          <w:szCs w:val="32"/>
          <w:highlight w:val="none"/>
          <w:lang w:val="en-US" w:eastAsia="zh-CN"/>
        </w:rPr>
        <w:t>本年收入</w:t>
      </w:r>
      <w:r>
        <w:rPr>
          <w:rFonts w:hint="eastAsia" w:ascii="仿宋_GB2312" w:eastAsia="仿宋_GB2312"/>
          <w:color w:val="auto"/>
          <w:sz w:val="32"/>
          <w:szCs w:val="32"/>
          <w:highlight w:val="none"/>
          <w:lang w:val="zh-CN" w:eastAsia="zh-CN"/>
        </w:rPr>
        <w:t>43.00万元。国有资本经营预算财政拨款支出</w:t>
      </w:r>
      <w:r>
        <w:rPr>
          <w:rFonts w:hint="eastAsia" w:ascii="仿宋_GB2312" w:eastAsia="仿宋_GB2312"/>
          <w:color w:val="auto"/>
          <w:sz w:val="32"/>
          <w:szCs w:val="32"/>
          <w:highlight w:val="none"/>
          <w:lang w:val="en-US" w:eastAsia="zh-CN"/>
        </w:rPr>
        <w:t>总计43.00</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其中：年末结转和结余</w:t>
      </w:r>
      <w:r>
        <w:rPr>
          <w:rFonts w:hint="eastAsia" w:ascii="仿宋_GB2312" w:eastAsia="仿宋_GB2312"/>
          <w:color w:val="auto"/>
          <w:sz w:val="32"/>
          <w:szCs w:val="32"/>
          <w:highlight w:val="none"/>
          <w:lang w:val="zh-CN" w:eastAsia="zh-CN"/>
        </w:rPr>
        <w:t>0.00万元，</w:t>
      </w:r>
      <w:r>
        <w:rPr>
          <w:rFonts w:hint="eastAsia" w:ascii="仿宋_GB2312" w:eastAsia="仿宋_GB2312"/>
          <w:color w:val="auto"/>
          <w:sz w:val="32"/>
          <w:szCs w:val="32"/>
          <w:highlight w:val="none"/>
          <w:lang w:val="en-US" w:eastAsia="zh-CN"/>
        </w:rPr>
        <w:t>本年支出</w:t>
      </w:r>
      <w:r>
        <w:rPr>
          <w:rFonts w:hint="eastAsia" w:ascii="仿宋_GB2312" w:eastAsia="仿宋_GB2312"/>
          <w:color w:val="auto"/>
          <w:sz w:val="32"/>
          <w:szCs w:val="32"/>
          <w:highlight w:val="none"/>
          <w:lang w:val="zh-CN" w:eastAsia="zh-CN"/>
        </w:rPr>
        <w:t>43.00万元。</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国有资本经营预算财政拨款</w:t>
      </w:r>
      <w:r>
        <w:rPr>
          <w:rFonts w:hint="eastAsia" w:ascii="仿宋_GB2312" w:eastAsia="仿宋_GB2312"/>
          <w:color w:val="auto"/>
          <w:sz w:val="32"/>
          <w:szCs w:val="32"/>
          <w:highlight w:val="none"/>
          <w:lang w:val="en-US" w:eastAsia="zh-CN"/>
        </w:rPr>
        <w:t>收入支出</w:t>
      </w:r>
      <w:r>
        <w:rPr>
          <w:rFonts w:hint="eastAsia" w:ascii="仿宋_GB2312" w:eastAsia="仿宋_GB2312"/>
          <w:color w:val="auto"/>
          <w:sz w:val="32"/>
          <w:szCs w:val="32"/>
          <w:highlight w:val="none"/>
          <w:lang w:val="zh-CN" w:eastAsia="zh-CN"/>
        </w:rPr>
        <w:t>与上年相比，减少2.00万元</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下降4.44%</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本年原宾馆人员工资2.00万元调整支出功能科目，将2.00万元从国有资本经营预算财政拨款收入调整至一般公共预算收入</w:t>
      </w:r>
      <w:r>
        <w:rPr>
          <w:rFonts w:hint="eastAsia" w:ascii="仿宋_GB2312" w:eastAsia="仿宋_GB2312"/>
          <w:color w:val="auto"/>
          <w:sz w:val="32"/>
          <w:szCs w:val="32"/>
          <w:highlight w:val="none"/>
          <w:lang w:val="zh-CN" w:eastAsia="zh-CN"/>
        </w:rPr>
        <w:t>。与年初预算相比，年初预算数</w:t>
      </w:r>
      <w:r>
        <w:rPr>
          <w:rFonts w:hint="eastAsia" w:ascii="仿宋_GB2312" w:eastAsia="仿宋_GB2312"/>
          <w:color w:val="auto"/>
          <w:sz w:val="32"/>
          <w:szCs w:val="32"/>
          <w:highlight w:val="none"/>
          <w:lang w:val="en-US" w:eastAsia="zh-CN"/>
        </w:rPr>
        <w:t>43.00</w:t>
      </w:r>
      <w:r>
        <w:rPr>
          <w:rFonts w:hint="eastAsia" w:ascii="仿宋_GB2312" w:eastAsia="仿宋_GB2312"/>
          <w:color w:val="auto"/>
          <w:sz w:val="32"/>
          <w:szCs w:val="32"/>
          <w:highlight w:val="none"/>
          <w:lang w:val="zh-CN" w:eastAsia="zh-CN"/>
        </w:rPr>
        <w:t>万元，决算数</w:t>
      </w:r>
      <w:r>
        <w:rPr>
          <w:rFonts w:hint="eastAsia" w:ascii="仿宋_GB2312" w:eastAsia="仿宋_GB2312"/>
          <w:color w:val="auto"/>
          <w:sz w:val="32"/>
          <w:szCs w:val="32"/>
          <w:highlight w:val="none"/>
          <w:lang w:val="en-US" w:eastAsia="zh-CN"/>
        </w:rPr>
        <w:t>43.00</w:t>
      </w:r>
      <w:r>
        <w:rPr>
          <w:rFonts w:hint="eastAsia" w:ascii="仿宋_GB2312" w:eastAsia="仿宋_GB2312"/>
          <w:color w:val="auto"/>
          <w:sz w:val="32"/>
          <w:szCs w:val="32"/>
          <w:highlight w:val="none"/>
          <w:lang w:val="zh-CN" w:eastAsia="zh-CN"/>
        </w:rPr>
        <w:t>万元，预决算差异率0.00%，主要原因是：</w:t>
      </w:r>
      <w:r>
        <w:rPr>
          <w:rFonts w:hint="eastAsia" w:ascii="仿宋_GB2312" w:eastAsia="仿宋_GB2312"/>
          <w:color w:val="auto"/>
          <w:sz w:val="32"/>
          <w:szCs w:val="32"/>
          <w:highlight w:val="none"/>
          <w:lang w:val="en-US" w:eastAsia="zh-CN"/>
        </w:rPr>
        <w:t>严格执行年初预算，43.00万元</w:t>
      </w:r>
      <w:r>
        <w:rPr>
          <w:rFonts w:hint="eastAsia" w:ascii="仿宋_GB2312" w:eastAsia="仿宋_GB2312"/>
          <w:color w:val="auto"/>
          <w:sz w:val="32"/>
          <w:szCs w:val="32"/>
          <w:highlight w:val="none"/>
          <w:lang w:val="zh-CN" w:eastAsia="zh-CN"/>
        </w:rPr>
        <w:t>全部用于发放原宾馆人员工资，</w:t>
      </w:r>
      <w:r>
        <w:rPr>
          <w:rFonts w:hint="eastAsia" w:ascii="仿宋_GB2312" w:eastAsia="仿宋_GB2312"/>
          <w:color w:val="auto"/>
          <w:sz w:val="32"/>
          <w:szCs w:val="32"/>
          <w:highlight w:val="none"/>
          <w:lang w:val="en-US" w:eastAsia="zh-CN"/>
        </w:rPr>
        <w:t>严禁超预算支出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国有资本经营预算财政拨款支出</w:t>
      </w:r>
      <w:r>
        <w:rPr>
          <w:rFonts w:hint="eastAsia" w:ascii="仿宋_GB2312" w:eastAsia="仿宋_GB2312"/>
          <w:color w:val="auto"/>
          <w:sz w:val="32"/>
          <w:szCs w:val="32"/>
          <w:highlight w:val="none"/>
          <w:lang w:val="en-US" w:eastAsia="zh-CN"/>
        </w:rPr>
        <w:t>43.00</w:t>
      </w:r>
      <w:r>
        <w:rPr>
          <w:rFonts w:hint="eastAsia" w:ascii="仿宋_GB2312" w:eastAsia="仿宋_GB2312"/>
          <w:color w:val="auto"/>
          <w:sz w:val="32"/>
          <w:szCs w:val="32"/>
          <w:highlight w:val="none"/>
          <w:lang w:val="zh-CN" w:eastAsia="zh-CN"/>
        </w:rPr>
        <w:t>万元。</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1.国有资本经营预算支出（类）国有企业政策性补贴（款）国有企业政策性补贴（项）:支出决算数为43.00</w:t>
      </w:r>
      <w:r>
        <w:rPr>
          <w:rFonts w:hint="eastAsia" w:ascii="仿宋_GB2312" w:hAnsi="仿宋_GB2312" w:eastAsia="仿宋_GB2312" w:cs="仿宋_GB2312"/>
          <w:color w:val="auto"/>
          <w:kern w:val="0"/>
          <w:sz w:val="32"/>
          <w:szCs w:val="32"/>
          <w:highlight w:val="none"/>
          <w:lang w:val="en-US" w:eastAsia="zh-CN"/>
        </w:rPr>
        <w:t>万元</w:t>
      </w:r>
      <w:r>
        <w:rPr>
          <w:rFonts w:hint="eastAsia" w:ascii="仿宋_GB2312" w:hAnsi="仿宋_GB2312" w:eastAsia="仿宋_GB2312" w:cs="仿宋_GB2312"/>
          <w:color w:val="auto"/>
          <w:kern w:val="0"/>
          <w:sz w:val="32"/>
          <w:szCs w:val="32"/>
          <w:highlight w:val="none"/>
        </w:rPr>
        <w:t>，比上年决算</w:t>
      </w:r>
      <w:r>
        <w:rPr>
          <w:rFonts w:hint="eastAsia" w:eastAsia="仿宋_GB2312" w:cs="Times New Roman"/>
          <w:color w:val="auto"/>
          <w:kern w:val="2"/>
          <w:sz w:val="30"/>
          <w:szCs w:val="30"/>
          <w:highlight w:val="none"/>
          <w:lang w:val="en-US" w:eastAsia="zh-CN" w:bidi="ar-SA"/>
        </w:rPr>
        <w:t>减少</w:t>
      </w:r>
      <w:r>
        <w:rPr>
          <w:rFonts w:hint="eastAsia" w:ascii="仿宋_GB2312" w:hAnsi="仿宋_GB2312" w:eastAsia="仿宋_GB2312" w:cs="仿宋_GB2312"/>
          <w:color w:val="auto"/>
          <w:kern w:val="0"/>
          <w:sz w:val="32"/>
          <w:szCs w:val="32"/>
          <w:highlight w:val="none"/>
        </w:rPr>
        <w:t>2.00</w:t>
      </w:r>
      <w:r>
        <w:rPr>
          <w:rFonts w:hint="eastAsia" w:ascii="仿宋_GB2312" w:hAnsi="仿宋_GB2312" w:eastAsia="仿宋_GB2312" w:cs="仿宋_GB2312"/>
          <w:color w:val="auto"/>
          <w:kern w:val="0"/>
          <w:sz w:val="32"/>
          <w:szCs w:val="32"/>
          <w:highlight w:val="none"/>
          <w:lang w:val="en-US" w:eastAsia="zh-CN"/>
        </w:rPr>
        <w:t>万元</w:t>
      </w:r>
      <w:r>
        <w:rPr>
          <w:rFonts w:hint="eastAsia" w:ascii="仿宋_GB2312" w:hAnsi="仿宋_GB2312" w:eastAsia="仿宋_GB2312" w:cs="仿宋_GB2312"/>
          <w:color w:val="auto"/>
          <w:kern w:val="0"/>
          <w:sz w:val="32"/>
          <w:szCs w:val="32"/>
          <w:highlight w:val="none"/>
        </w:rPr>
        <w:t>，</w:t>
      </w:r>
      <w:r>
        <w:rPr>
          <w:rFonts w:hint="eastAsia" w:eastAsia="仿宋_GB2312" w:cs="Times New Roman"/>
          <w:color w:val="auto"/>
          <w:kern w:val="2"/>
          <w:sz w:val="30"/>
          <w:szCs w:val="30"/>
          <w:highlight w:val="none"/>
          <w:lang w:val="en-US" w:eastAsia="zh-CN" w:bidi="ar-SA"/>
        </w:rPr>
        <w:t>下降</w:t>
      </w:r>
      <w:r>
        <w:rPr>
          <w:rFonts w:hint="eastAsia" w:ascii="仿宋_GB2312" w:hAnsi="仿宋_GB2312" w:eastAsia="仿宋_GB2312" w:cs="仿宋_GB2312"/>
          <w:color w:val="auto"/>
          <w:kern w:val="0"/>
          <w:sz w:val="32"/>
          <w:szCs w:val="32"/>
          <w:highlight w:val="none"/>
        </w:rPr>
        <w:t>4.44%，主要原因是：</w:t>
      </w:r>
      <w:r>
        <w:rPr>
          <w:rFonts w:hint="eastAsia" w:ascii="仿宋_GB2312" w:hAnsi="仿宋_GB2312" w:eastAsia="仿宋_GB2312" w:cs="仿宋_GB2312"/>
          <w:color w:val="auto"/>
          <w:kern w:val="0"/>
          <w:sz w:val="32"/>
          <w:szCs w:val="32"/>
          <w:highlight w:val="none"/>
          <w:lang w:val="en-US" w:eastAsia="zh-CN"/>
        </w:rPr>
        <w:t>本年</w:t>
      </w:r>
      <w:r>
        <w:rPr>
          <w:rFonts w:hint="eastAsia" w:ascii="仿宋_GB2312" w:eastAsia="仿宋_GB2312"/>
          <w:color w:val="auto"/>
          <w:sz w:val="32"/>
          <w:szCs w:val="32"/>
          <w:highlight w:val="none"/>
          <w:lang w:val="en-US" w:eastAsia="zh-CN"/>
        </w:rPr>
        <w:t>原宾馆人员工资2.00万元调整支出功能科目，</w:t>
      </w:r>
      <w:r>
        <w:rPr>
          <w:rFonts w:hint="eastAsia" w:ascii="仿宋_GB2312" w:eastAsia="仿宋_GB2312"/>
          <w:color w:val="auto"/>
          <w:sz w:val="32"/>
          <w:szCs w:val="32"/>
          <w:highlight w:val="none"/>
          <w:lang w:val="zh-CN" w:eastAsia="zh-CN"/>
        </w:rPr>
        <w:t>将</w:t>
      </w:r>
      <w:r>
        <w:rPr>
          <w:rFonts w:hint="eastAsia" w:ascii="仿宋_GB2312" w:eastAsia="仿宋_GB2312"/>
          <w:color w:val="auto"/>
          <w:sz w:val="32"/>
          <w:szCs w:val="32"/>
          <w:highlight w:val="none"/>
          <w:lang w:val="en-US" w:eastAsia="zh-CN"/>
        </w:rPr>
        <w:t>2.00万元从国有资本经营预算财政拨款收入调整至一般公共预算收入。</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bookmarkStart w:id="24" w:name="_Toc227"/>
      <w:bookmarkStart w:id="25" w:name="_Toc26704"/>
      <w:r>
        <w:rPr>
          <w:rFonts w:hint="eastAsia" w:ascii="仿宋_GB2312" w:hAnsi="仿宋_GB2312" w:eastAsia="仿宋_GB2312" w:cs="仿宋_GB2312"/>
          <w:color w:val="auto"/>
          <w:kern w:val="0"/>
          <w:sz w:val="32"/>
          <w:szCs w:val="32"/>
          <w:highlight w:val="none"/>
          <w:lang w:val="zh-CN" w:eastAsia="zh-CN"/>
        </w:rPr>
        <w:t>2023年度</w:t>
      </w:r>
      <w:r>
        <w:rPr>
          <w:rFonts w:hint="eastAsia" w:ascii="仿宋_GB2312" w:hAnsi="仿宋_GB2312" w:eastAsia="仿宋_GB2312" w:cs="仿宋_GB2312"/>
          <w:color w:val="auto"/>
          <w:kern w:val="0"/>
          <w:sz w:val="32"/>
          <w:szCs w:val="32"/>
          <w:highlight w:val="none"/>
          <w:lang w:val="en-US" w:eastAsia="zh-CN"/>
        </w:rPr>
        <w:t>新疆库尔勒市机关事务管理局（事业单位）公用经费支出451.64万元，</w:t>
      </w:r>
      <w:r>
        <w:rPr>
          <w:rFonts w:hint="eastAsia" w:ascii="仿宋_GB2312" w:hAnsi="仿宋_GB2312" w:eastAsia="仿宋_GB2312" w:cs="仿宋_GB2312"/>
          <w:color w:val="auto"/>
          <w:kern w:val="0"/>
          <w:sz w:val="32"/>
          <w:szCs w:val="32"/>
          <w:highlight w:val="none"/>
          <w:lang w:val="zh-CN" w:eastAsia="zh-CN"/>
        </w:rPr>
        <w:t>比上年减少550.50万元，下降54.93%，主要原因是：</w:t>
      </w:r>
      <w:r>
        <w:rPr>
          <w:rFonts w:hint="eastAsia" w:ascii="仿宋_GB2312" w:hAnsi="仿宋_GB2312" w:eastAsia="仿宋_GB2312" w:cs="仿宋_GB2312"/>
          <w:color w:val="auto"/>
          <w:kern w:val="0"/>
          <w:sz w:val="32"/>
          <w:szCs w:val="32"/>
          <w:highlight w:val="none"/>
          <w:lang w:val="en-US" w:eastAsia="zh-CN"/>
        </w:rPr>
        <w:t>2022年劳务费支出650万元，2023年无劳务费支出，因此公用经费较上年支出减少</w:t>
      </w:r>
      <w:r>
        <w:rPr>
          <w:rFonts w:hint="default" w:ascii="仿宋_GB2312" w:hAnsi="仿宋_GB2312" w:eastAsia="仿宋_GB2312" w:cs="仿宋_GB2312"/>
          <w:color w:val="auto"/>
          <w:kern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zh-CN" w:eastAsia="zh-CN"/>
        </w:rPr>
      </w:pPr>
      <w:r>
        <w:rPr>
          <w:rFonts w:hint="eastAsia" w:ascii="仿宋_GB2312" w:hAnsi="仿宋_GB2312" w:eastAsia="仿宋_GB2312" w:cs="仿宋_GB2312"/>
          <w:color w:val="auto"/>
          <w:kern w:val="0"/>
          <w:sz w:val="32"/>
          <w:szCs w:val="32"/>
          <w:highlight w:val="none"/>
          <w:lang w:val="zh-CN" w:eastAsia="zh-CN"/>
        </w:rPr>
        <w:t>2023年度政府采购支出总额122.51万元，其中：政府采购货物支出55.09万元、政府采购工程支出1.39万元、政府采购服务支出66.02万元。</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zh-CN" w:eastAsia="zh-CN"/>
        </w:rPr>
        <w:t>授予中小企业合同金额78.86万元，占政府采购支出总额的64.37</w:t>
      </w:r>
      <w:r>
        <w:rPr>
          <w:rFonts w:hint="default" w:ascii="仿宋_GB2312" w:hAnsi="仿宋_GB2312" w:eastAsia="仿宋_GB2312" w:cs="仿宋_GB2312"/>
          <w:color w:val="auto"/>
          <w:kern w:val="0"/>
          <w:sz w:val="32"/>
          <w:szCs w:val="32"/>
          <w:highlight w:val="none"/>
          <w:lang w:val="zh-CN" w:eastAsia="zh-CN"/>
        </w:rPr>
        <w:t>%</w:t>
      </w:r>
      <w:r>
        <w:rPr>
          <w:rFonts w:hint="eastAsia" w:ascii="仿宋_GB2312" w:hAnsi="仿宋_GB2312" w:eastAsia="仿宋_GB2312" w:cs="仿宋_GB2312"/>
          <w:color w:val="auto"/>
          <w:kern w:val="0"/>
          <w:sz w:val="32"/>
          <w:szCs w:val="32"/>
          <w:highlight w:val="none"/>
          <w:lang w:val="zh-CN" w:eastAsia="zh-CN"/>
        </w:rPr>
        <w:t>，其中：授予小微企业合同金额64.48万元，占政府采购支出总额的52.64</w:t>
      </w:r>
      <w:r>
        <w:rPr>
          <w:rFonts w:hint="default" w:ascii="仿宋_GB2312" w:hAnsi="仿宋_GB2312" w:eastAsia="仿宋_GB2312" w:cs="仿宋_GB2312"/>
          <w:color w:val="auto"/>
          <w:kern w:val="0"/>
          <w:sz w:val="32"/>
          <w:szCs w:val="32"/>
          <w:highlight w:val="none"/>
          <w:lang w:val="zh-CN" w:eastAsia="zh-CN"/>
        </w:rPr>
        <w:t>%</w:t>
      </w:r>
      <w:r>
        <w:rPr>
          <w:rFonts w:hint="eastAsia" w:ascii="仿宋_GB2312" w:hAnsi="仿宋_GB2312" w:eastAsia="仿宋_GB2312" w:cs="仿宋_GB2312"/>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仿宋_GB2312" w:hAnsi="仿宋_GB2312" w:eastAsia="仿宋_GB2312" w:cs="仿宋_GB2312"/>
          <w:color w:val="auto"/>
          <w:kern w:val="0"/>
          <w:sz w:val="32"/>
          <w:szCs w:val="32"/>
          <w:highlight w:val="none"/>
          <w:lang w:val="en-US" w:eastAsia="zh-CN"/>
        </w:rPr>
        <w:t>截至2023</w:t>
      </w:r>
      <w:r>
        <w:rPr>
          <w:rFonts w:hint="eastAsia" w:ascii="仿宋_GB2312" w:hAnsi="仿宋_GB2312" w:eastAsia="仿宋_GB2312" w:cs="仿宋_GB2312"/>
          <w:color w:val="auto"/>
          <w:kern w:val="0"/>
          <w:sz w:val="32"/>
          <w:szCs w:val="32"/>
          <w:highlight w:val="none"/>
          <w:lang w:val="zh-CN" w:eastAsia="zh-CN"/>
        </w:rPr>
        <w:t>年</w:t>
      </w:r>
      <w:r>
        <w:rPr>
          <w:rFonts w:hint="eastAsia" w:ascii="仿宋_GB2312" w:hAnsi="仿宋_GB2312" w:eastAsia="仿宋_GB2312" w:cs="仿宋_GB2312"/>
          <w:color w:val="auto"/>
          <w:kern w:val="0"/>
          <w:sz w:val="32"/>
          <w:szCs w:val="32"/>
          <w:highlight w:val="none"/>
          <w:lang w:val="en-US" w:eastAsia="zh-CN"/>
        </w:rPr>
        <w:t>12月31日</w:t>
      </w:r>
      <w:r>
        <w:rPr>
          <w:rFonts w:hint="eastAsia" w:ascii="仿宋_GB2312" w:hAnsi="仿宋_GB2312" w:eastAsia="仿宋_GB2312" w:cs="仿宋_GB2312"/>
          <w:color w:val="auto"/>
          <w:kern w:val="0"/>
          <w:sz w:val="32"/>
          <w:szCs w:val="32"/>
          <w:highlight w:val="none"/>
          <w:lang w:val="zh-CN" w:eastAsia="zh-CN"/>
        </w:rPr>
        <w:t>，</w:t>
      </w:r>
      <w:r>
        <w:rPr>
          <w:rFonts w:hint="eastAsia" w:ascii="仿宋_GB2312" w:hAnsi="仿宋_GB2312" w:eastAsia="仿宋_GB2312" w:cs="仿宋_GB2312"/>
          <w:color w:val="auto"/>
          <w:kern w:val="0"/>
          <w:sz w:val="32"/>
          <w:szCs w:val="32"/>
          <w:highlight w:val="none"/>
          <w:lang w:val="en-US" w:eastAsia="zh-CN"/>
        </w:rPr>
        <w:t>固定资产原值</w:t>
      </w:r>
      <w:r>
        <w:rPr>
          <w:rFonts w:hint="eastAsia" w:ascii="仿宋_GB2312" w:hAnsi="仿宋_GB2312" w:eastAsia="仿宋_GB2312" w:cs="仿宋_GB2312"/>
          <w:color w:val="auto"/>
          <w:kern w:val="0"/>
          <w:sz w:val="32"/>
          <w:szCs w:val="32"/>
          <w:highlight w:val="none"/>
          <w:lang w:val="zh-CN" w:eastAsia="zh-CN"/>
        </w:rPr>
        <w:t>5138.12</w:t>
      </w:r>
      <w:r>
        <w:rPr>
          <w:rFonts w:hint="eastAsia" w:ascii="仿宋_GB2312" w:hAnsi="仿宋_GB2312" w:eastAsia="仿宋_GB2312" w:cs="仿宋_GB2312"/>
          <w:color w:val="auto"/>
          <w:kern w:val="0"/>
          <w:sz w:val="32"/>
          <w:szCs w:val="32"/>
          <w:highlight w:val="none"/>
          <w:lang w:val="en-US" w:eastAsia="zh-CN"/>
        </w:rPr>
        <w:t>万元，房</w:t>
      </w:r>
      <w:r>
        <w:rPr>
          <w:rFonts w:hint="eastAsia" w:ascii="仿宋_GB2312" w:hAnsi="仿宋_GB2312" w:eastAsia="仿宋_GB2312" w:cs="仿宋_GB2312"/>
          <w:color w:val="auto"/>
          <w:kern w:val="0"/>
          <w:sz w:val="32"/>
          <w:szCs w:val="32"/>
          <w:highlight w:val="none"/>
          <w:lang w:val="zh-CN" w:eastAsia="zh-CN"/>
        </w:rPr>
        <w:t>屋21502.06平方米，价值2594.22万元。车辆13辆，价值565.33万元，其中：副部（省）级及以上领导用车0辆、主要</w:t>
      </w:r>
      <w:r>
        <w:rPr>
          <w:rFonts w:hint="eastAsia" w:ascii="仿宋_GB2312" w:hAnsi="仿宋_GB2312" w:eastAsia="仿宋_GB2312" w:cs="仿宋_GB2312"/>
          <w:color w:val="auto"/>
          <w:kern w:val="0"/>
          <w:sz w:val="32"/>
          <w:szCs w:val="32"/>
          <w:highlight w:val="none"/>
          <w:lang w:val="en-US" w:eastAsia="zh-CN"/>
        </w:rPr>
        <w:t>负责人</w:t>
      </w:r>
      <w:r>
        <w:rPr>
          <w:rFonts w:hint="eastAsia" w:ascii="仿宋_GB2312" w:hAnsi="仿宋_GB2312" w:eastAsia="仿宋_GB2312" w:cs="仿宋_GB2312"/>
          <w:color w:val="auto"/>
          <w:kern w:val="0"/>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kern w:val="0"/>
          <w:sz w:val="32"/>
          <w:szCs w:val="32"/>
          <w:highlight w:val="none"/>
          <w:lang w:val="en-US" w:eastAsia="zh-CN"/>
        </w:rPr>
        <w:t>服务</w:t>
      </w:r>
      <w:r>
        <w:rPr>
          <w:rFonts w:hint="eastAsia" w:ascii="仿宋_GB2312" w:hAnsi="仿宋_GB2312" w:eastAsia="仿宋_GB2312" w:cs="仿宋_GB2312"/>
          <w:color w:val="auto"/>
          <w:kern w:val="0"/>
          <w:sz w:val="32"/>
          <w:szCs w:val="32"/>
          <w:highlight w:val="none"/>
          <w:lang w:val="zh-CN" w:eastAsia="zh-CN"/>
        </w:rPr>
        <w:t>用车0辆、其他用车13辆，其他用车主要是：</w:t>
      </w:r>
      <w:r>
        <w:rPr>
          <w:rFonts w:hint="default" w:ascii="仿宋_GB2312" w:hAnsi="仿宋_GB2312" w:eastAsia="仿宋_GB2312" w:cs="仿宋_GB2312"/>
          <w:color w:val="auto"/>
          <w:kern w:val="0"/>
          <w:sz w:val="32"/>
          <w:szCs w:val="32"/>
          <w:highlight w:val="none"/>
          <w:lang w:val="zh-CN" w:eastAsia="zh-CN"/>
        </w:rPr>
        <w:t>四套班子及市属相关单位外出调研、考察用车</w:t>
      </w:r>
      <w:r>
        <w:rPr>
          <w:rFonts w:hint="eastAsia" w:ascii="仿宋_GB2312" w:hAnsi="仿宋_GB2312" w:eastAsia="仿宋_GB2312" w:cs="仿宋_GB2312"/>
          <w:color w:val="auto"/>
          <w:kern w:val="0"/>
          <w:sz w:val="32"/>
          <w:szCs w:val="32"/>
          <w:highlight w:val="none"/>
          <w:lang w:val="zh-CN" w:eastAsia="zh-CN"/>
        </w:rPr>
        <w:t>；单价100万元（含）以上设备（不含车辆）0</w:t>
      </w:r>
      <w:r>
        <w:rPr>
          <w:rFonts w:hint="eastAsia" w:ascii="仿宋_GB2312" w:hAnsi="仿宋_GB2312" w:eastAsia="仿宋_GB2312" w:cs="仿宋_GB2312"/>
          <w:color w:val="auto"/>
          <w:kern w:val="0"/>
          <w:sz w:val="32"/>
          <w:szCs w:val="32"/>
          <w:highlight w:val="none"/>
          <w:lang w:val="en-US" w:eastAsia="zh-CN"/>
        </w:rPr>
        <w:t>台</w:t>
      </w:r>
      <w:r>
        <w:rPr>
          <w:rFonts w:hint="eastAsia" w:ascii="仿宋_GB2312" w:hAnsi="仿宋_GB2312" w:eastAsia="仿宋_GB2312" w:cs="仿宋_GB2312"/>
          <w:color w:val="auto"/>
          <w:kern w:val="0"/>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预算总额3958.60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实际执行总额3958.60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全年预算数2250.38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全年执行数2019.90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hint="default" w:ascii="Times New Roman" w:hAnsi="Times New Roman" w:eastAsia="方正仿宋_GBK" w:cs="Times New Roman"/>
          <w:color w:val="auto"/>
          <w:sz w:val="32"/>
          <w:szCs w:val="32"/>
          <w:shd w:val="clear" w:color="auto" w:fill="auto"/>
        </w:rPr>
        <w:t>一</w:t>
      </w:r>
      <w:r>
        <w:rPr>
          <w:rFonts w:hint="default" w:ascii="Times New Roman" w:hAnsi="Times New Roman" w:eastAsia="方正仿宋_GBK" w:cs="Times New Roman"/>
          <w:color w:val="000000"/>
          <w:sz w:val="32"/>
          <w:szCs w:val="32"/>
        </w:rPr>
        <w:t>是通过严格的财务审批制度，结合我单位内控制度，更合理的使用项目资金；二是</w:t>
      </w:r>
      <w:r>
        <w:rPr>
          <w:rFonts w:hint="default" w:ascii="Times New Roman" w:hAnsi="Times New Roman" w:eastAsia="方正仿宋_GBK" w:cs="Times New Roman"/>
          <w:color w:val="000000"/>
          <w:sz w:val="32"/>
          <w:szCs w:val="32"/>
          <w:lang w:eastAsia="zh-CN"/>
        </w:rPr>
        <w:t>能及时发现资金使用偏差存在的问题</w:t>
      </w:r>
      <w:r>
        <w:rPr>
          <w:rFonts w:hint="default" w:ascii="Times New Roman" w:hAnsi="Times New Roman" w:eastAsia="方正仿宋_GBK" w:cs="Times New Roman"/>
          <w:sz w:val="32"/>
          <w:szCs w:val="32"/>
        </w:rPr>
        <w:t>。发现的问题及原因：</w:t>
      </w:r>
      <w:r>
        <w:rPr>
          <w:rFonts w:hint="default" w:ascii="Times New Roman" w:hAnsi="Times New Roman" w:eastAsia="方正仿宋_GBK" w:cs="Times New Roman"/>
          <w:color w:val="000000"/>
          <w:sz w:val="32"/>
          <w:szCs w:val="32"/>
        </w:rPr>
        <w:t>一是我单位项目预算绩效管理工作不够细致具体；二是</w:t>
      </w:r>
      <w:r>
        <w:rPr>
          <w:rFonts w:hint="default" w:ascii="Times New Roman" w:hAnsi="Times New Roman" w:eastAsia="方正仿宋_GBK" w:cs="Times New Roman"/>
          <w:color w:val="000000"/>
          <w:sz w:val="32"/>
          <w:szCs w:val="32"/>
          <w:lang w:eastAsia="zh-CN"/>
        </w:rPr>
        <w:t>在执行过程中存在偏差</w:t>
      </w:r>
      <w:r>
        <w:rPr>
          <w:rFonts w:hint="default" w:ascii="Times New Roman" w:hAnsi="Times New Roman" w:eastAsia="方正仿宋_GBK" w:cs="Times New Roman"/>
          <w:sz w:val="32"/>
          <w:szCs w:val="32"/>
        </w:rPr>
        <w:t>。下一步改进措施：</w:t>
      </w:r>
      <w:r>
        <w:rPr>
          <w:rFonts w:hint="default" w:ascii="Times New Roman" w:hAnsi="Times New Roman" w:eastAsia="方正仿宋_GBK" w:cs="Times New Roman"/>
          <w:color w:val="000000"/>
          <w:sz w:val="32"/>
          <w:szCs w:val="32"/>
        </w:rPr>
        <w:t>一是进一步完善我单位项目预算绩效管理工作；二是强化绩效目标执行工作</w:t>
      </w:r>
      <w:r>
        <w:rPr>
          <w:rFonts w:hint="default" w:ascii="Times New Roman" w:hAnsi="Times New Roman" w:eastAsia="方正仿宋_GBK" w:cs="Times New Roman"/>
          <w:sz w:val="32"/>
          <w:szCs w:val="32"/>
        </w:rPr>
        <w:t>。</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r>
        <w:drawing>
          <wp:inline distT="0" distB="0" distL="114300" distR="114300">
            <wp:extent cx="5273040" cy="7914640"/>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5"/>
                    <a:stretch>
                      <a:fillRect/>
                    </a:stretch>
                  </pic:blipFill>
                  <pic:spPr>
                    <a:xfrm>
                      <a:off x="0" y="0"/>
                      <a:ext cx="5273040" cy="791464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rPr>
      </w:pP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rPr>
      </w:pPr>
      <w:r>
        <w:drawing>
          <wp:inline distT="0" distB="0" distL="114300" distR="114300">
            <wp:extent cx="5262245" cy="7962265"/>
            <wp:effectExtent l="0" t="0" r="10795"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6"/>
                    <a:stretch>
                      <a:fillRect/>
                    </a:stretch>
                  </pic:blipFill>
                  <pic:spPr>
                    <a:xfrm>
                      <a:off x="0" y="0"/>
                      <a:ext cx="5262245" cy="796226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r>
        <w:drawing>
          <wp:inline distT="0" distB="0" distL="114300" distR="114300">
            <wp:extent cx="5268595" cy="7230745"/>
            <wp:effectExtent l="0" t="0" r="4445" b="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pic:cNvPicPr>
                  </pic:nvPicPr>
                  <pic:blipFill>
                    <a:blip r:embed="rId7"/>
                    <a:stretch>
                      <a:fillRect/>
                    </a:stretch>
                  </pic:blipFill>
                  <pic:spPr>
                    <a:xfrm>
                      <a:off x="0" y="0"/>
                      <a:ext cx="5268595" cy="723074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r>
        <w:drawing>
          <wp:inline distT="0" distB="0" distL="114300" distR="114300">
            <wp:extent cx="5263515" cy="7799705"/>
            <wp:effectExtent l="0" t="0" r="9525" b="0"/>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pic:cNvPicPr>
                      <a:picLocks noChangeAspect="1"/>
                    </pic:cNvPicPr>
                  </pic:nvPicPr>
                  <pic:blipFill>
                    <a:blip r:embed="rId8"/>
                    <a:stretch>
                      <a:fillRect/>
                    </a:stretch>
                  </pic:blipFill>
                  <pic:spPr>
                    <a:xfrm>
                      <a:off x="0" y="0"/>
                      <a:ext cx="5263515" cy="779970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r>
        <w:drawing>
          <wp:inline distT="0" distB="0" distL="114300" distR="114300">
            <wp:extent cx="5273675" cy="8118475"/>
            <wp:effectExtent l="0" t="0" r="14605" b="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9"/>
                    <a:stretch>
                      <a:fillRect/>
                    </a:stretch>
                  </pic:blipFill>
                  <pic:spPr>
                    <a:xfrm>
                      <a:off x="0" y="0"/>
                      <a:ext cx="5273675" cy="811847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r>
        <w:drawing>
          <wp:inline distT="0" distB="0" distL="114300" distR="114300">
            <wp:extent cx="5270500" cy="7189470"/>
            <wp:effectExtent l="0" t="0" r="6350" b="1143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0"/>
                    <a:stretch>
                      <a:fillRect/>
                    </a:stretch>
                  </pic:blipFill>
                  <pic:spPr>
                    <a:xfrm>
                      <a:off x="0" y="0"/>
                      <a:ext cx="5270500" cy="718947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r>
        <w:drawing>
          <wp:inline distT="0" distB="0" distL="114300" distR="114300">
            <wp:extent cx="5262880" cy="3230245"/>
            <wp:effectExtent l="0" t="0" r="10160" b="0"/>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pic:cNvPicPr>
                      <a:picLocks noChangeAspect="1"/>
                    </pic:cNvPicPr>
                  </pic:nvPicPr>
                  <pic:blipFill>
                    <a:blip r:embed="rId11"/>
                    <a:stretch>
                      <a:fillRect/>
                    </a:stretch>
                  </pic:blipFill>
                  <pic:spPr>
                    <a:xfrm>
                      <a:off x="0" y="0"/>
                      <a:ext cx="5262880" cy="323024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r>
        <w:drawing>
          <wp:inline distT="0" distB="0" distL="114300" distR="114300">
            <wp:extent cx="5265420" cy="3064510"/>
            <wp:effectExtent l="0" t="0" r="7620" b="0"/>
            <wp:docPr id="1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
                    <pic:cNvPicPr>
                      <a:picLocks noChangeAspect="1"/>
                    </pic:cNvPicPr>
                  </pic:nvPicPr>
                  <pic:blipFill>
                    <a:blip r:embed="rId12"/>
                    <a:stretch>
                      <a:fillRect/>
                    </a:stretch>
                  </pic:blipFill>
                  <pic:spPr>
                    <a:xfrm>
                      <a:off x="0" y="0"/>
                      <a:ext cx="5265420" cy="306451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1"/>
        <w:rPr>
          <w:rFonts w:hint="eastAsia"/>
          <w:lang w:eastAsia="zh-CN"/>
        </w:rPr>
      </w:pPr>
      <w:r>
        <w:drawing>
          <wp:inline distT="0" distB="0" distL="114300" distR="114300">
            <wp:extent cx="5267960" cy="3405505"/>
            <wp:effectExtent l="0" t="0" r="5080" b="0"/>
            <wp:docPr id="1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0"/>
                    <pic:cNvPicPr>
                      <a:picLocks noChangeAspect="1"/>
                    </pic:cNvPicPr>
                  </pic:nvPicPr>
                  <pic:blipFill>
                    <a:blip r:embed="rId13"/>
                    <a:stretch>
                      <a:fillRect/>
                    </a:stretch>
                  </pic:blipFill>
                  <pic:spPr>
                    <a:xfrm>
                      <a:off x="0" y="0"/>
                      <a:ext cx="5267960" cy="3405505"/>
                    </a:xfrm>
                    <a:prstGeom prst="rect">
                      <a:avLst/>
                    </a:prstGeom>
                    <a:noFill/>
                    <a:ln>
                      <a:noFill/>
                    </a:ln>
                  </pic:spPr>
                </pic:pic>
              </a:graphicData>
            </a:graphic>
          </wp:inline>
        </w:drawing>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3F4146"/>
    <w:rsid w:val="00B70D59"/>
    <w:rsid w:val="00F52A8D"/>
    <w:rsid w:val="016267B5"/>
    <w:rsid w:val="019404F8"/>
    <w:rsid w:val="019A29FC"/>
    <w:rsid w:val="0212628A"/>
    <w:rsid w:val="02BD3108"/>
    <w:rsid w:val="02F73D26"/>
    <w:rsid w:val="033A74BA"/>
    <w:rsid w:val="034D4FEF"/>
    <w:rsid w:val="035D1785"/>
    <w:rsid w:val="039F47CE"/>
    <w:rsid w:val="03E05CE8"/>
    <w:rsid w:val="03EE3526"/>
    <w:rsid w:val="03F973EE"/>
    <w:rsid w:val="043E5B56"/>
    <w:rsid w:val="044D1D79"/>
    <w:rsid w:val="04C04386"/>
    <w:rsid w:val="04D96608"/>
    <w:rsid w:val="04E23D33"/>
    <w:rsid w:val="04FA68C4"/>
    <w:rsid w:val="053F5AE6"/>
    <w:rsid w:val="057C0B0F"/>
    <w:rsid w:val="05BA6693"/>
    <w:rsid w:val="05E36EA3"/>
    <w:rsid w:val="05EF4B48"/>
    <w:rsid w:val="05F76ECA"/>
    <w:rsid w:val="064532AA"/>
    <w:rsid w:val="06792773"/>
    <w:rsid w:val="0692185A"/>
    <w:rsid w:val="07093795"/>
    <w:rsid w:val="071F11B0"/>
    <w:rsid w:val="074C063C"/>
    <w:rsid w:val="07727689"/>
    <w:rsid w:val="07804730"/>
    <w:rsid w:val="079052BE"/>
    <w:rsid w:val="08145C21"/>
    <w:rsid w:val="08163D8A"/>
    <w:rsid w:val="08422688"/>
    <w:rsid w:val="085854ED"/>
    <w:rsid w:val="0879188F"/>
    <w:rsid w:val="08A0354D"/>
    <w:rsid w:val="08CD4C49"/>
    <w:rsid w:val="09114954"/>
    <w:rsid w:val="095A5B83"/>
    <w:rsid w:val="096466E3"/>
    <w:rsid w:val="0968304D"/>
    <w:rsid w:val="09AF3D17"/>
    <w:rsid w:val="09B57395"/>
    <w:rsid w:val="0A437070"/>
    <w:rsid w:val="0A7809B7"/>
    <w:rsid w:val="0A7B4867"/>
    <w:rsid w:val="0A840954"/>
    <w:rsid w:val="0A9928ED"/>
    <w:rsid w:val="0B61769D"/>
    <w:rsid w:val="0B79414C"/>
    <w:rsid w:val="0B8C3ECC"/>
    <w:rsid w:val="0B9C639D"/>
    <w:rsid w:val="0BB052B2"/>
    <w:rsid w:val="0BD33FFC"/>
    <w:rsid w:val="0BE97AC1"/>
    <w:rsid w:val="0C1C4780"/>
    <w:rsid w:val="0C3613A3"/>
    <w:rsid w:val="0C5E519C"/>
    <w:rsid w:val="0C7227A7"/>
    <w:rsid w:val="0CA52EE8"/>
    <w:rsid w:val="0CBD6988"/>
    <w:rsid w:val="0CD208AC"/>
    <w:rsid w:val="0D4903E8"/>
    <w:rsid w:val="0D7A4A46"/>
    <w:rsid w:val="0E555EB8"/>
    <w:rsid w:val="0E640559"/>
    <w:rsid w:val="0EB86291"/>
    <w:rsid w:val="0F1113DA"/>
    <w:rsid w:val="0F78534A"/>
    <w:rsid w:val="0F89358A"/>
    <w:rsid w:val="0F8C6D51"/>
    <w:rsid w:val="0FBC2716"/>
    <w:rsid w:val="105B0B5E"/>
    <w:rsid w:val="1114014F"/>
    <w:rsid w:val="112E58D0"/>
    <w:rsid w:val="11731CAC"/>
    <w:rsid w:val="119500A0"/>
    <w:rsid w:val="11C0733B"/>
    <w:rsid w:val="11D50D17"/>
    <w:rsid w:val="120E0809"/>
    <w:rsid w:val="127F665A"/>
    <w:rsid w:val="12F7068C"/>
    <w:rsid w:val="1320195F"/>
    <w:rsid w:val="13B73B8F"/>
    <w:rsid w:val="140451C5"/>
    <w:rsid w:val="14207DC0"/>
    <w:rsid w:val="1454596B"/>
    <w:rsid w:val="14B932DA"/>
    <w:rsid w:val="150A66AF"/>
    <w:rsid w:val="154C1139"/>
    <w:rsid w:val="158C5B77"/>
    <w:rsid w:val="160D1149"/>
    <w:rsid w:val="163563C0"/>
    <w:rsid w:val="164315EF"/>
    <w:rsid w:val="16557DFE"/>
    <w:rsid w:val="167268FB"/>
    <w:rsid w:val="16770D0A"/>
    <w:rsid w:val="16A21B9F"/>
    <w:rsid w:val="16D50C50"/>
    <w:rsid w:val="16E120E1"/>
    <w:rsid w:val="17385A05"/>
    <w:rsid w:val="173B3901"/>
    <w:rsid w:val="17595BBA"/>
    <w:rsid w:val="176747F9"/>
    <w:rsid w:val="178F30FB"/>
    <w:rsid w:val="17954A6E"/>
    <w:rsid w:val="180059E9"/>
    <w:rsid w:val="184510FD"/>
    <w:rsid w:val="190648B0"/>
    <w:rsid w:val="19071D6C"/>
    <w:rsid w:val="19D26CD4"/>
    <w:rsid w:val="19E60D19"/>
    <w:rsid w:val="1A3E3450"/>
    <w:rsid w:val="1AAB208F"/>
    <w:rsid w:val="1AD807E5"/>
    <w:rsid w:val="1B39345B"/>
    <w:rsid w:val="1BB12ACB"/>
    <w:rsid w:val="1BFB2A1F"/>
    <w:rsid w:val="1C015D4A"/>
    <w:rsid w:val="1C290ED5"/>
    <w:rsid w:val="1C317E4F"/>
    <w:rsid w:val="1C472464"/>
    <w:rsid w:val="1D22799A"/>
    <w:rsid w:val="1D3B7C71"/>
    <w:rsid w:val="1D5C1A72"/>
    <w:rsid w:val="1D931BE4"/>
    <w:rsid w:val="1DAF458D"/>
    <w:rsid w:val="1DD24246"/>
    <w:rsid w:val="1E086ACE"/>
    <w:rsid w:val="1E62130A"/>
    <w:rsid w:val="1E97358B"/>
    <w:rsid w:val="1EAA4A5F"/>
    <w:rsid w:val="1EE869A7"/>
    <w:rsid w:val="1F1458ED"/>
    <w:rsid w:val="1F2A52BE"/>
    <w:rsid w:val="1F305154"/>
    <w:rsid w:val="1F9026CE"/>
    <w:rsid w:val="1FA15E62"/>
    <w:rsid w:val="1FED69B6"/>
    <w:rsid w:val="2064678E"/>
    <w:rsid w:val="20DC1AB9"/>
    <w:rsid w:val="20DD6197"/>
    <w:rsid w:val="212631E0"/>
    <w:rsid w:val="21A53757"/>
    <w:rsid w:val="221236C6"/>
    <w:rsid w:val="22D7662C"/>
    <w:rsid w:val="23326B7F"/>
    <w:rsid w:val="2380045B"/>
    <w:rsid w:val="23BC04D2"/>
    <w:rsid w:val="23EF1892"/>
    <w:rsid w:val="243D7F48"/>
    <w:rsid w:val="2483647E"/>
    <w:rsid w:val="24A32D55"/>
    <w:rsid w:val="25230519"/>
    <w:rsid w:val="25292727"/>
    <w:rsid w:val="252E5CA9"/>
    <w:rsid w:val="256857C7"/>
    <w:rsid w:val="256F7692"/>
    <w:rsid w:val="25BA2154"/>
    <w:rsid w:val="25C8773F"/>
    <w:rsid w:val="2630156C"/>
    <w:rsid w:val="264A7253"/>
    <w:rsid w:val="26F0170C"/>
    <w:rsid w:val="27201D62"/>
    <w:rsid w:val="27286E73"/>
    <w:rsid w:val="275D6281"/>
    <w:rsid w:val="27CF2642"/>
    <w:rsid w:val="27E777F5"/>
    <w:rsid w:val="27EA1D4C"/>
    <w:rsid w:val="27EA2E41"/>
    <w:rsid w:val="282459E2"/>
    <w:rsid w:val="283A7FE5"/>
    <w:rsid w:val="28532DFF"/>
    <w:rsid w:val="285F51FF"/>
    <w:rsid w:val="28D14ADD"/>
    <w:rsid w:val="28DF2665"/>
    <w:rsid w:val="29072599"/>
    <w:rsid w:val="291029F3"/>
    <w:rsid w:val="29CB58F0"/>
    <w:rsid w:val="2A053397"/>
    <w:rsid w:val="2A145E96"/>
    <w:rsid w:val="2A2131BB"/>
    <w:rsid w:val="2AF5378F"/>
    <w:rsid w:val="2BB02263"/>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6A5893"/>
    <w:rsid w:val="329F6389"/>
    <w:rsid w:val="3389023A"/>
    <w:rsid w:val="33CB74FA"/>
    <w:rsid w:val="343642F2"/>
    <w:rsid w:val="34395F57"/>
    <w:rsid w:val="343F3010"/>
    <w:rsid w:val="345D0A00"/>
    <w:rsid w:val="34713BFD"/>
    <w:rsid w:val="349C6317"/>
    <w:rsid w:val="34C13589"/>
    <w:rsid w:val="353369E3"/>
    <w:rsid w:val="356867C7"/>
    <w:rsid w:val="35E00D72"/>
    <w:rsid w:val="36632AD7"/>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C002D0"/>
    <w:rsid w:val="3CF37F8C"/>
    <w:rsid w:val="3D137554"/>
    <w:rsid w:val="3D5275AC"/>
    <w:rsid w:val="3DA23109"/>
    <w:rsid w:val="3DBE6B5E"/>
    <w:rsid w:val="3DCC2473"/>
    <w:rsid w:val="3DEB0883"/>
    <w:rsid w:val="3E2527BF"/>
    <w:rsid w:val="3E674DC1"/>
    <w:rsid w:val="3E731662"/>
    <w:rsid w:val="3E8168DD"/>
    <w:rsid w:val="3EA7725F"/>
    <w:rsid w:val="3EB03713"/>
    <w:rsid w:val="3EBF1A11"/>
    <w:rsid w:val="3EC52607"/>
    <w:rsid w:val="3EEC6CEF"/>
    <w:rsid w:val="3F183429"/>
    <w:rsid w:val="3F463082"/>
    <w:rsid w:val="3FB77A1D"/>
    <w:rsid w:val="3FDC3674"/>
    <w:rsid w:val="3FED7F8A"/>
    <w:rsid w:val="40081144"/>
    <w:rsid w:val="40094AEF"/>
    <w:rsid w:val="405470BD"/>
    <w:rsid w:val="40794A29"/>
    <w:rsid w:val="40834692"/>
    <w:rsid w:val="408D5E95"/>
    <w:rsid w:val="408E7595"/>
    <w:rsid w:val="40B6249D"/>
    <w:rsid w:val="41152115"/>
    <w:rsid w:val="41431AD5"/>
    <w:rsid w:val="414B3C0F"/>
    <w:rsid w:val="417C1CE7"/>
    <w:rsid w:val="41900018"/>
    <w:rsid w:val="41944406"/>
    <w:rsid w:val="41B626B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794446"/>
    <w:rsid w:val="468041AA"/>
    <w:rsid w:val="468123C6"/>
    <w:rsid w:val="46901EEE"/>
    <w:rsid w:val="469C74D2"/>
    <w:rsid w:val="47445515"/>
    <w:rsid w:val="474B4782"/>
    <w:rsid w:val="47C747C4"/>
    <w:rsid w:val="47D90D14"/>
    <w:rsid w:val="48387FB0"/>
    <w:rsid w:val="483A6114"/>
    <w:rsid w:val="48776E9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6A4D0F"/>
    <w:rsid w:val="4CEE3180"/>
    <w:rsid w:val="4D0F4AF6"/>
    <w:rsid w:val="4D785A45"/>
    <w:rsid w:val="4D812F25"/>
    <w:rsid w:val="4DF94F37"/>
    <w:rsid w:val="4E0A1DD5"/>
    <w:rsid w:val="4E3160E5"/>
    <w:rsid w:val="4E4D37AF"/>
    <w:rsid w:val="4E5D7951"/>
    <w:rsid w:val="4E8C6496"/>
    <w:rsid w:val="4EF366CE"/>
    <w:rsid w:val="4EFD18DE"/>
    <w:rsid w:val="4F144236"/>
    <w:rsid w:val="4F192CDF"/>
    <w:rsid w:val="4F663C87"/>
    <w:rsid w:val="4F7E29A8"/>
    <w:rsid w:val="4F9E1FFC"/>
    <w:rsid w:val="502B0ED7"/>
    <w:rsid w:val="50447CC2"/>
    <w:rsid w:val="50874A7C"/>
    <w:rsid w:val="50895EE7"/>
    <w:rsid w:val="50921B9D"/>
    <w:rsid w:val="50D16158"/>
    <w:rsid w:val="50DB5F45"/>
    <w:rsid w:val="51025EB1"/>
    <w:rsid w:val="51141503"/>
    <w:rsid w:val="518D0ED5"/>
    <w:rsid w:val="525C687F"/>
    <w:rsid w:val="52F647F7"/>
    <w:rsid w:val="52F92565"/>
    <w:rsid w:val="536776AE"/>
    <w:rsid w:val="53D03877"/>
    <w:rsid w:val="542F73CA"/>
    <w:rsid w:val="5430786D"/>
    <w:rsid w:val="545A1D2A"/>
    <w:rsid w:val="54C811C0"/>
    <w:rsid w:val="556A442D"/>
    <w:rsid w:val="55AF4675"/>
    <w:rsid w:val="55DA564E"/>
    <w:rsid w:val="5604127D"/>
    <w:rsid w:val="56166703"/>
    <w:rsid w:val="563B5691"/>
    <w:rsid w:val="56510474"/>
    <w:rsid w:val="56573DDE"/>
    <w:rsid w:val="56861525"/>
    <w:rsid w:val="56A93273"/>
    <w:rsid w:val="56BD550C"/>
    <w:rsid w:val="56D32151"/>
    <w:rsid w:val="56E07045"/>
    <w:rsid w:val="56FF28AF"/>
    <w:rsid w:val="57540E7D"/>
    <w:rsid w:val="577B4878"/>
    <w:rsid w:val="57926973"/>
    <w:rsid w:val="57C05F95"/>
    <w:rsid w:val="57C9234F"/>
    <w:rsid w:val="58175352"/>
    <w:rsid w:val="581F2200"/>
    <w:rsid w:val="583059FA"/>
    <w:rsid w:val="584A0929"/>
    <w:rsid w:val="58631C30"/>
    <w:rsid w:val="58CD2491"/>
    <w:rsid w:val="591B41B2"/>
    <w:rsid w:val="59254A26"/>
    <w:rsid w:val="59326325"/>
    <w:rsid w:val="595C505B"/>
    <w:rsid w:val="595E55C3"/>
    <w:rsid w:val="596E7E20"/>
    <w:rsid w:val="59A7627F"/>
    <w:rsid w:val="59D847C5"/>
    <w:rsid w:val="5A60780B"/>
    <w:rsid w:val="5AAF7DD1"/>
    <w:rsid w:val="5AB34579"/>
    <w:rsid w:val="5AFC6609"/>
    <w:rsid w:val="5B113480"/>
    <w:rsid w:val="5BD456CE"/>
    <w:rsid w:val="5C0D1F49"/>
    <w:rsid w:val="5C453ABF"/>
    <w:rsid w:val="5CBB0CE2"/>
    <w:rsid w:val="5CC17177"/>
    <w:rsid w:val="5CF306BC"/>
    <w:rsid w:val="5D3F3D64"/>
    <w:rsid w:val="5D833043"/>
    <w:rsid w:val="5D853846"/>
    <w:rsid w:val="5DCE53FF"/>
    <w:rsid w:val="5DD92690"/>
    <w:rsid w:val="5DDB1CFD"/>
    <w:rsid w:val="5E0A69B8"/>
    <w:rsid w:val="5E7E6D93"/>
    <w:rsid w:val="5ED040AE"/>
    <w:rsid w:val="5ED44800"/>
    <w:rsid w:val="5F350BDE"/>
    <w:rsid w:val="5F61632C"/>
    <w:rsid w:val="5FA17648"/>
    <w:rsid w:val="5FE705CB"/>
    <w:rsid w:val="603D5080"/>
    <w:rsid w:val="604E32FB"/>
    <w:rsid w:val="60D0261B"/>
    <w:rsid w:val="618E3791"/>
    <w:rsid w:val="61947DCA"/>
    <w:rsid w:val="61A46A97"/>
    <w:rsid w:val="61B005D3"/>
    <w:rsid w:val="61D1382F"/>
    <w:rsid w:val="61F114A2"/>
    <w:rsid w:val="62387646"/>
    <w:rsid w:val="62512BB4"/>
    <w:rsid w:val="625D7D1A"/>
    <w:rsid w:val="62DD7D21"/>
    <w:rsid w:val="62F71DD1"/>
    <w:rsid w:val="635A7C64"/>
    <w:rsid w:val="637D586B"/>
    <w:rsid w:val="638107BA"/>
    <w:rsid w:val="63A5560B"/>
    <w:rsid w:val="63E9091F"/>
    <w:rsid w:val="64322AF9"/>
    <w:rsid w:val="648526B2"/>
    <w:rsid w:val="64D6010D"/>
    <w:rsid w:val="64D82665"/>
    <w:rsid w:val="64E47C96"/>
    <w:rsid w:val="651E5741"/>
    <w:rsid w:val="658A4877"/>
    <w:rsid w:val="65A00902"/>
    <w:rsid w:val="65AC6EDD"/>
    <w:rsid w:val="65C76779"/>
    <w:rsid w:val="65D97752"/>
    <w:rsid w:val="66085536"/>
    <w:rsid w:val="66105BF7"/>
    <w:rsid w:val="66150023"/>
    <w:rsid w:val="6628010D"/>
    <w:rsid w:val="66647AE3"/>
    <w:rsid w:val="666B4819"/>
    <w:rsid w:val="669B4528"/>
    <w:rsid w:val="66A22013"/>
    <w:rsid w:val="66CC12D7"/>
    <w:rsid w:val="67134CEF"/>
    <w:rsid w:val="671F1ABD"/>
    <w:rsid w:val="67414E68"/>
    <w:rsid w:val="67521A59"/>
    <w:rsid w:val="67C304AB"/>
    <w:rsid w:val="683F0658"/>
    <w:rsid w:val="689C6793"/>
    <w:rsid w:val="68DB0208"/>
    <w:rsid w:val="68FB170C"/>
    <w:rsid w:val="691B3D98"/>
    <w:rsid w:val="693748F0"/>
    <w:rsid w:val="69846A0E"/>
    <w:rsid w:val="69AA1366"/>
    <w:rsid w:val="69AD798C"/>
    <w:rsid w:val="69D005C0"/>
    <w:rsid w:val="69D80B96"/>
    <w:rsid w:val="6A04589D"/>
    <w:rsid w:val="6A0F24FF"/>
    <w:rsid w:val="6B68175F"/>
    <w:rsid w:val="6BFD799F"/>
    <w:rsid w:val="6C4A2E5A"/>
    <w:rsid w:val="6C8138D0"/>
    <w:rsid w:val="6CD46205"/>
    <w:rsid w:val="6CDF4D3F"/>
    <w:rsid w:val="6CEF0725"/>
    <w:rsid w:val="6D4B2604"/>
    <w:rsid w:val="6D8030E4"/>
    <w:rsid w:val="6D862DFB"/>
    <w:rsid w:val="6E0E35C4"/>
    <w:rsid w:val="6E0F7A08"/>
    <w:rsid w:val="6E3947F5"/>
    <w:rsid w:val="6E9C74ED"/>
    <w:rsid w:val="6ECC2CA6"/>
    <w:rsid w:val="6EF72976"/>
    <w:rsid w:val="6F795A80"/>
    <w:rsid w:val="6F7C1D2E"/>
    <w:rsid w:val="6F8E0407"/>
    <w:rsid w:val="6FDD069F"/>
    <w:rsid w:val="702B4D16"/>
    <w:rsid w:val="709160B2"/>
    <w:rsid w:val="70AA6621"/>
    <w:rsid w:val="70AC3CDA"/>
    <w:rsid w:val="71033F27"/>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4FD2AFA"/>
    <w:rsid w:val="751D7C0A"/>
    <w:rsid w:val="75722D56"/>
    <w:rsid w:val="759741EE"/>
    <w:rsid w:val="75DB5477"/>
    <w:rsid w:val="75FC6AC3"/>
    <w:rsid w:val="7616619B"/>
    <w:rsid w:val="76660D7C"/>
    <w:rsid w:val="766C5968"/>
    <w:rsid w:val="769D45ED"/>
    <w:rsid w:val="76BE0C8F"/>
    <w:rsid w:val="76CD53B2"/>
    <w:rsid w:val="76F2722C"/>
    <w:rsid w:val="770719AC"/>
    <w:rsid w:val="776526CC"/>
    <w:rsid w:val="776D049E"/>
    <w:rsid w:val="77A262E1"/>
    <w:rsid w:val="77B13C33"/>
    <w:rsid w:val="77ED6F44"/>
    <w:rsid w:val="77F45548"/>
    <w:rsid w:val="784E7CA6"/>
    <w:rsid w:val="78574801"/>
    <w:rsid w:val="7873527F"/>
    <w:rsid w:val="78AC34B7"/>
    <w:rsid w:val="78DD5C4D"/>
    <w:rsid w:val="790A6425"/>
    <w:rsid w:val="790E2D96"/>
    <w:rsid w:val="791B54B2"/>
    <w:rsid w:val="794E7FF4"/>
    <w:rsid w:val="795A0A34"/>
    <w:rsid w:val="797339C3"/>
    <w:rsid w:val="79D57D57"/>
    <w:rsid w:val="79F00650"/>
    <w:rsid w:val="7A6242BF"/>
    <w:rsid w:val="7A794513"/>
    <w:rsid w:val="7AE952D2"/>
    <w:rsid w:val="7B4D7FA4"/>
    <w:rsid w:val="7C7248A0"/>
    <w:rsid w:val="7C976D69"/>
    <w:rsid w:val="7CD752DA"/>
    <w:rsid w:val="7CDE40AB"/>
    <w:rsid w:val="7CF057E2"/>
    <w:rsid w:val="7D1548B5"/>
    <w:rsid w:val="7DAA7BA5"/>
    <w:rsid w:val="7DD64133"/>
    <w:rsid w:val="7DF84014"/>
    <w:rsid w:val="7E207949"/>
    <w:rsid w:val="7E5C0A47"/>
    <w:rsid w:val="7E670C75"/>
    <w:rsid w:val="7E774243"/>
    <w:rsid w:val="7E841E66"/>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emf"/><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emf"/><Relationship Id="rId12" Type="http://schemas.openxmlformats.org/officeDocument/2006/relationships/image" Target="media/image8.emf"/><Relationship Id="rId11" Type="http://schemas.openxmlformats.org/officeDocument/2006/relationships/image" Target="media/image7.emf"/><Relationship Id="rId10" Type="http://schemas.openxmlformats.org/officeDocument/2006/relationships/image" Target="media/image6.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6480</Words>
  <Characters>20825</Characters>
  <Lines>0</Lines>
  <Paragraphs>0</Paragraphs>
  <TotalTime>10</TotalTime>
  <ScaleCrop>false</ScaleCrop>
  <LinksUpToDate>false</LinksUpToDate>
  <CharactersWithSpaces>20937</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2024-10-29T05:13:01Z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D624B15633CD43C8BF9435464A96BF70</vt:lpwstr>
  </property>
</Properties>
</file>