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482" w:firstLineChars="100"/>
        <w:jc w:val="both"/>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lang w:eastAsia="zh-CN"/>
        </w:rPr>
        <w:t>机关事务管理局</w:t>
      </w:r>
      <w:r>
        <w:rPr>
          <w:rFonts w:hint="eastAsia" w:ascii="黑体" w:hAnsi="黑体" w:eastAsia="黑体" w:cs="黑体"/>
          <w:b/>
          <w:color w:val="auto"/>
          <w:kern w:val="0"/>
          <w:sz w:val="48"/>
          <w:szCs w:val="48"/>
          <w:highlight w:val="none"/>
        </w:rPr>
        <w:t>整体支出</w:t>
      </w:r>
    </w:p>
    <w:p>
      <w:pPr>
        <w:pageBreakBefore w:val="0"/>
        <w:kinsoku/>
        <w:wordWrap/>
        <w:overflowPunct/>
        <w:topLinePunct w:val="0"/>
        <w:autoSpaceDE/>
        <w:autoSpaceDN/>
        <w:bidi w:val="0"/>
        <w:adjustRightInd/>
        <w:spacing w:line="540" w:lineRule="exact"/>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绩效自评报告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w:t>
      </w:r>
      <w:r>
        <w:rPr>
          <w:rFonts w:hint="eastAsia" w:ascii="仿宋" w:hAnsi="仿宋" w:eastAsia="仿宋" w:cs="仿宋"/>
          <w:color w:val="auto"/>
          <w:kern w:val="0"/>
          <w:sz w:val="36"/>
          <w:szCs w:val="36"/>
          <w:highlight w:val="none"/>
          <w:lang w:eastAsia="zh-CN"/>
        </w:rPr>
        <w:t>库尔勒市机关事务管理局</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rPr>
      </w:pPr>
      <w:r>
        <w:rPr>
          <w:rStyle w:val="9"/>
          <w:rFonts w:hint="eastAsia" w:ascii="黑体" w:hAnsi="黑体" w:eastAsia="黑体" w:cs="黑体"/>
          <w:b w:val="0"/>
          <w:bCs/>
          <w:color w:val="auto"/>
          <w:spacing w:val="-4"/>
          <w:sz w:val="32"/>
          <w:szCs w:val="32"/>
          <w:highlight w:val="none"/>
          <w:lang w:val="en-US" w:eastAsia="zh-CN"/>
        </w:rPr>
        <w:t>(一)</w:t>
      </w:r>
      <w:r>
        <w:rPr>
          <w:rStyle w:val="9"/>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pStyle w:val="12"/>
        <w:spacing w:line="560" w:lineRule="exact"/>
        <w:ind w:firstLine="56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(一)根据国家有关方针政策，负责拟定并组织实施机关事务管理工作的有关规章制度和具体措施，推动机关事务管理工作高质量发展，逐步建立和推进市直机关事务管理工作集中化、专业化、社会化的服务体系。</w:t>
      </w:r>
    </w:p>
    <w:p>
      <w:pPr>
        <w:pStyle w:val="12"/>
        <w:spacing w:line="560" w:lineRule="exact"/>
        <w:ind w:firstLine="56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(二)负责库尔勒市本级党政机关办公用房、配建公益房、门面房的权属登记、清理、使用、调配、管理工作。</w:t>
      </w:r>
    </w:p>
    <w:p>
      <w:pPr>
        <w:pStyle w:val="12"/>
        <w:spacing w:line="560" w:lineRule="exact"/>
        <w:ind w:firstLine="56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(三)负责库尔勒市本级机关事务的管理、保障、服务工作;负责市党政机关大楼和“九馆三中心”公共设备的维修维护和公共区域的治安保卫、保洁服务、会务服务等后勤服务保障和管理工作。</w:t>
      </w:r>
    </w:p>
    <w:p>
      <w:pPr>
        <w:pStyle w:val="12"/>
        <w:spacing w:line="560" w:lineRule="exact"/>
        <w:ind w:firstLine="56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(四)负</w:t>
      </w:r>
      <w:r>
        <w:rPr>
          <w:rFonts w:hint="eastAsia" w:ascii="仿宋" w:hAnsi="仿宋" w:eastAsia="仿宋"/>
          <w:color w:val="auto"/>
          <w:sz w:val="32"/>
          <w:szCs w:val="32"/>
          <w:highlight w:val="none"/>
          <w:lang w:val="en-US" w:eastAsia="zh-CN"/>
        </w:rPr>
        <w:t>责</w:t>
      </w:r>
      <w:bookmarkStart w:id="0" w:name="_GoBack"/>
      <w:bookmarkEnd w:id="0"/>
      <w:r>
        <w:rPr>
          <w:rFonts w:hint="eastAsia" w:ascii="仿宋" w:hAnsi="仿宋" w:eastAsia="仿宋"/>
          <w:color w:val="auto"/>
          <w:sz w:val="32"/>
          <w:szCs w:val="32"/>
          <w:highlight w:val="none"/>
        </w:rPr>
        <w:t>库尔勒市本级党政机关公务用车的清理、登记、调配、管理工作;负责重大会议、重大活动及市委、人大、政府、政协的车辆服务保障和管理。</w:t>
      </w:r>
    </w:p>
    <w:p>
      <w:pPr>
        <w:pStyle w:val="12"/>
        <w:spacing w:line="560" w:lineRule="exact"/>
        <w:ind w:firstLine="56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(五)负责库尔勒市本级党政机关公产、公务用车的资产处置工作。</w:t>
      </w:r>
    </w:p>
    <w:p>
      <w:pPr>
        <w:pStyle w:val="12"/>
        <w:spacing w:line="560" w:lineRule="exact"/>
        <w:ind w:firstLine="56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六)负责库尔勒市本级党政机关公共机构节能减排工作。负责党政机关公共机构节约能源资源宣传、监督和管理工作，会同相关单位制定库尔勒市公共机构节能规划、规章制度并组织实施，开展全市公共机构能耗统计、评价和考核工作。</w:t>
      </w:r>
    </w:p>
    <w:p>
      <w:pPr>
        <w:pStyle w:val="12"/>
        <w:spacing w:line="560" w:lineRule="exact"/>
        <w:ind w:firstLine="56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(七)负责管理本局所属事业单位，督导检查其所承担的具体业务工作。</w:t>
      </w:r>
    </w:p>
    <w:p>
      <w:pPr>
        <w:pStyle w:val="12"/>
        <w:spacing w:line="560" w:lineRule="exact"/>
        <w:ind w:firstLine="56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(八)负责本局及所属事业单位的党群思想政治工作，承担党的建设、党风廉政建设和反腐败、保密、精神文明、“访惠聚”、平安建设、民族团结、安全生产、扶贫等工作。</w:t>
      </w:r>
    </w:p>
    <w:p>
      <w:pPr>
        <w:pStyle w:val="12"/>
        <w:spacing w:line="560" w:lineRule="exact"/>
        <w:ind w:firstLine="560"/>
        <w:rPr>
          <w:rFonts w:hint="eastAsia" w:ascii="仿宋" w:hAnsi="仿宋" w:eastAsia="仿宋" w:cs="仿宋"/>
          <w:b w:val="0"/>
          <w:bCs/>
          <w:color w:val="auto"/>
          <w:sz w:val="32"/>
          <w:szCs w:val="32"/>
          <w:highlight w:val="none"/>
          <w:lang w:val="en-US" w:eastAsia="zh-CN"/>
        </w:rPr>
      </w:pPr>
      <w:r>
        <w:rPr>
          <w:rFonts w:hint="eastAsia" w:ascii="仿宋" w:hAnsi="仿宋" w:eastAsia="仿宋"/>
          <w:color w:val="auto"/>
          <w:sz w:val="32"/>
          <w:szCs w:val="32"/>
          <w:highlight w:val="none"/>
        </w:rPr>
        <w:t>(九)完成市委、市人民政府交办的其他任务。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6"/>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库尔勒市机关事务管理局编制数21人，实有人数37人，其中：在职21人；退休16人；离休0人。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pStyle w:val="6"/>
        <w:shd w:val="clear" w:color="auto" w:fill="FFFFFF"/>
        <w:spacing w:before="0" w:beforeAutospacing="0" w:after="0" w:afterAutospacing="0" w:line="560" w:lineRule="exact"/>
        <w:ind w:firstLine="640" w:firstLineChars="200"/>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rPr>
        <w:t>一、强化政治担当，在推进全面从严治党上走深做实</w:t>
      </w:r>
    </w:p>
    <w:p>
      <w:pPr>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b w:val="0"/>
          <w:bCs w:val="0"/>
          <w:color w:val="auto"/>
          <w:sz w:val="32"/>
          <w:szCs w:val="32"/>
          <w:highlight w:val="none"/>
        </w:rPr>
        <w:t>（一）强化理论武装，发挥政治“引领力”。</w:t>
      </w:r>
      <w:r>
        <w:rPr>
          <w:rFonts w:hint="eastAsia" w:ascii="仿宋" w:hAnsi="仿宋" w:eastAsia="仿宋" w:cs="仿宋"/>
          <w:b w:val="0"/>
          <w:bCs w:val="0"/>
          <w:color w:val="auto"/>
          <w:kern w:val="0"/>
          <w:sz w:val="32"/>
          <w:szCs w:val="32"/>
          <w:highlight w:val="none"/>
        </w:rPr>
        <w:t>一是落实“第一议题”和“首学”制度。二是坚持晨学半小时和个人自学相结合，促进理论学习的扎实深入。</w:t>
      </w:r>
      <w:r>
        <w:rPr>
          <w:rFonts w:hint="eastAsia" w:ascii="仿宋" w:hAnsi="仿宋" w:eastAsia="仿宋" w:cs="仿宋"/>
          <w:b w:val="0"/>
          <w:bCs w:val="0"/>
          <w:color w:val="auto"/>
          <w:sz w:val="32"/>
          <w:szCs w:val="32"/>
          <w:highlight w:val="none"/>
        </w:rPr>
        <w:t>三是学习</w:t>
      </w:r>
      <w:r>
        <w:rPr>
          <w:rFonts w:hint="eastAsia" w:ascii="仿宋" w:hAnsi="仿宋" w:eastAsia="仿宋" w:cs="仿宋"/>
          <w:color w:val="auto"/>
          <w:sz w:val="32"/>
          <w:szCs w:val="32"/>
          <w:highlight w:val="none"/>
        </w:rPr>
        <w:t>《党内政治生活的若干准则》等</w:t>
      </w:r>
      <w:r>
        <w:rPr>
          <w:rFonts w:hint="eastAsia" w:ascii="仿宋" w:hAnsi="仿宋" w:eastAsia="仿宋" w:cs="仿宋"/>
          <w:color w:val="auto"/>
          <w:sz w:val="32"/>
          <w:szCs w:val="32"/>
          <w:highlight w:val="none"/>
          <w:lang w:eastAsia="zh-CN"/>
        </w:rPr>
        <w:t>内容</w:t>
      </w:r>
      <w:r>
        <w:rPr>
          <w:rFonts w:hint="eastAsia" w:ascii="仿宋" w:hAnsi="仿宋" w:eastAsia="仿宋" w:cs="仿宋"/>
          <w:color w:val="auto"/>
          <w:sz w:val="32"/>
          <w:szCs w:val="32"/>
          <w:highlight w:val="none"/>
        </w:rPr>
        <w:t>，严格遵守中央八项规定及其实施细则，</w:t>
      </w:r>
      <w:r>
        <w:rPr>
          <w:rFonts w:hint="eastAsia" w:ascii="仿宋" w:hAnsi="仿宋" w:eastAsia="仿宋" w:cs="仿宋"/>
          <w:color w:val="auto"/>
          <w:sz w:val="32"/>
          <w:szCs w:val="32"/>
          <w:highlight w:val="none"/>
          <w:lang w:eastAsia="zh-CN"/>
        </w:rPr>
        <w:t>不断</w:t>
      </w:r>
      <w:r>
        <w:rPr>
          <w:rFonts w:hint="eastAsia" w:ascii="仿宋" w:hAnsi="仿宋" w:eastAsia="仿宋" w:cs="仿宋"/>
          <w:color w:val="auto"/>
          <w:sz w:val="32"/>
          <w:szCs w:val="32"/>
          <w:highlight w:val="none"/>
        </w:rPr>
        <w:t>改进工作作风。</w:t>
      </w:r>
    </w:p>
    <w:p>
      <w:pPr>
        <w:spacing w:line="560" w:lineRule="exact"/>
        <w:ind w:firstLine="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（二）健全支部建设，提升党员“向心力”。</w:t>
      </w:r>
      <w:r>
        <w:rPr>
          <w:rFonts w:hint="eastAsia" w:ascii="仿宋" w:hAnsi="仿宋" w:eastAsia="仿宋" w:cs="仿宋"/>
          <w:color w:val="auto"/>
          <w:kern w:val="0"/>
          <w:sz w:val="32"/>
          <w:szCs w:val="32"/>
          <w:highlight w:val="none"/>
        </w:rPr>
        <w:t>严格落实“三会一课”制度，按照《中国共产党支部工作条例（试行）》要求，按月、季度召开支委会、党员大会，认真填写</w:t>
      </w:r>
      <w:r>
        <w:rPr>
          <w:rFonts w:hint="eastAsia" w:ascii="仿宋" w:hAnsi="仿宋" w:eastAsia="仿宋" w:cs="仿宋"/>
          <w:bCs/>
          <w:color w:val="auto"/>
          <w:sz w:val="32"/>
          <w:szCs w:val="32"/>
          <w:highlight w:val="none"/>
        </w:rPr>
        <w:t>《党支部工作手册》《库尔勒市党员（远程）教育工作手册》等</w:t>
      </w:r>
      <w:r>
        <w:rPr>
          <w:rFonts w:hint="eastAsia" w:ascii="仿宋" w:hAnsi="仿宋" w:eastAsia="仿宋" w:cs="仿宋"/>
          <w:color w:val="auto"/>
          <w:kern w:val="0"/>
          <w:sz w:val="32"/>
          <w:szCs w:val="32"/>
          <w:highlight w:val="none"/>
        </w:rPr>
        <w:t>。</w:t>
      </w:r>
      <w:r>
        <w:rPr>
          <w:rFonts w:hint="eastAsia" w:ascii="仿宋" w:hAnsi="仿宋" w:eastAsia="仿宋" w:cs="仿宋"/>
          <w:color w:val="auto"/>
          <w:sz w:val="32"/>
          <w:szCs w:val="32"/>
          <w:highlight w:val="none"/>
        </w:rPr>
        <w:t>加强离退休党员的服务管理，制定了在职党员与退休党员一对一或多对一的联系帮带机制，常态化落实联系帮带工作，走访慰问3名困难党员，为13名退休党员“送学上门”。</w:t>
      </w:r>
    </w:p>
    <w:p>
      <w:pPr>
        <w:autoSpaceDE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（三）创建模范机关</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增强组织“保障力”。创建“五个好”党支部和“四个合格”党员队伍、实施“四个走在前列”示范引领活动，引导党员干部转作风提能力，开展了“双报到”“三学三亮三比”行动、“学习身边榜样”和“党建淬火砺精兵”等活动。</w:t>
      </w:r>
    </w:p>
    <w:p>
      <w:pPr>
        <w:pStyle w:val="6"/>
        <w:shd w:val="clear" w:color="auto" w:fill="FFFFFF"/>
        <w:spacing w:before="0" w:beforeAutospacing="0" w:after="0" w:afterAutospacing="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二、聚焦主业主责，在机关事务管理上提质增效</w:t>
      </w:r>
    </w:p>
    <w:p>
      <w:pPr>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（一）公务用车管理有序。按照政府采购“一张网”要求，积极协调新能源汽车租赁服务企业入驻政府采购云平台，通过政府网采购择优选择新能源汽车租赁企业，解决公务车辆保障不足问题。</w:t>
      </w:r>
      <w:r>
        <w:rPr>
          <w:rFonts w:hint="eastAsia" w:ascii="仿宋" w:hAnsi="仿宋" w:eastAsia="仿宋" w:cs="仿宋"/>
          <w:color w:val="auto"/>
          <w:sz w:val="32"/>
          <w:szCs w:val="32"/>
          <w:highlight w:val="none"/>
          <w:shd w:val="clear" w:color="auto" w:fill="FFFFFF"/>
        </w:rPr>
        <w:t>以稳妥的措施开展新能源汽车的更新配备工作。</w:t>
      </w:r>
      <w:r>
        <w:rPr>
          <w:rFonts w:hint="eastAsia" w:ascii="仿宋" w:hAnsi="仿宋" w:eastAsia="仿宋" w:cs="仿宋"/>
          <w:color w:val="auto"/>
          <w:sz w:val="32"/>
          <w:szCs w:val="32"/>
          <w:highlight w:val="none"/>
        </w:rPr>
        <w:t>根据《新疆维吾尔自治区党政机关公务用车管理办法》《新疆维吾尔自治区党政机关公务用车管理信息系统使用管理暂行办法》等规定，按照“应装尽装”原则，加快安装进度，提高工作效率</w:t>
      </w:r>
      <w:r>
        <w:rPr>
          <w:rFonts w:hint="eastAsia" w:ascii="仿宋" w:hAnsi="仿宋" w:eastAsia="仿宋" w:cs="仿宋"/>
          <w:color w:val="auto"/>
          <w:sz w:val="32"/>
          <w:szCs w:val="32"/>
          <w:highlight w:val="none"/>
          <w:lang w:eastAsia="zh-CN"/>
        </w:rPr>
        <w:t>。</w:t>
      </w:r>
    </w:p>
    <w:p>
      <w:pPr>
        <w:autoSpaceDE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办公用房管理科学。一是整合办公用房资源、盘活存量，依规为退役军人事务局、综合执法局、市场监督管理局团结监督所3个单位调配办公用房。二是党政机关办公用房权属登记工作有序推进。三是按时完成办公用房各项统计上报工作。根据自治区、自治州机关事务管理局相关要求，全面推进机关事务专网安装工作，通过建立协调群、召开协调会等方式，推进我市机关事务专网安装工作，把好公益房配建审核关。</w:t>
      </w:r>
    </w:p>
    <w:p>
      <w:pPr>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（三）节能管理成效显著。圆满完成州机关事务管理局下达的双控目标及能耗强度指标。组织市属35家单位参加由自治区机关事务管理局举办的全区公共机构能源资源消费统计员培训班学习和</w:t>
      </w:r>
      <w:r>
        <w:rPr>
          <w:rFonts w:hint="eastAsia" w:ascii="仿宋" w:hAnsi="仿宋" w:eastAsia="仿宋" w:cs="仿宋"/>
          <w:color w:val="auto"/>
          <w:kern w:val="0"/>
          <w:sz w:val="32"/>
          <w:szCs w:val="32"/>
          <w:highlight w:val="none"/>
        </w:rPr>
        <w:t>2家单位参加国管局联合清华大学举办第十期公共机构节能远程培训班</w:t>
      </w:r>
      <w:r>
        <w:rPr>
          <w:rFonts w:hint="eastAsia" w:ascii="仿宋" w:hAnsi="仿宋" w:eastAsia="仿宋" w:cs="仿宋"/>
          <w:color w:val="auto"/>
          <w:sz w:val="32"/>
          <w:szCs w:val="32"/>
          <w:highlight w:val="none"/>
        </w:rPr>
        <w:t>。</w:t>
      </w:r>
    </w:p>
    <w:p>
      <w:pPr>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（四）资产管理规范。一是完成局固定资产管理，有序摆放库房资产，分类管理，清理盘点库房，统计资产1726件，按类别进行存放， 807件物品实现条码化管理。</w:t>
      </w:r>
      <w:r>
        <w:rPr>
          <w:rFonts w:hint="eastAsia" w:ascii="仿宋" w:hAnsi="仿宋" w:eastAsia="仿宋" w:cs="仿宋"/>
          <w:b w:val="0"/>
          <w:bCs w:val="0"/>
          <w:color w:val="auto"/>
          <w:sz w:val="32"/>
          <w:szCs w:val="32"/>
          <w:highlight w:val="none"/>
        </w:rPr>
        <w:t>二是收集外来物资并调剂使用。</w:t>
      </w:r>
      <w:r>
        <w:rPr>
          <w:rFonts w:hint="eastAsia" w:ascii="仿宋" w:hAnsi="仿宋" w:eastAsia="仿宋" w:cs="仿宋"/>
          <w:color w:val="auto"/>
          <w:sz w:val="32"/>
          <w:szCs w:val="32"/>
          <w:highlight w:val="none"/>
        </w:rPr>
        <w:t>三是理清仓库固定资产台账，办理各科室腾退入库资产105件，出库资产40件，做到了规范梳理、报废、出入库，提高了资产使用率。</w:t>
      </w:r>
    </w:p>
    <w:p>
      <w:pPr>
        <w:pStyle w:val="6"/>
        <w:shd w:val="clear" w:color="auto" w:fill="FFFFFF"/>
        <w:spacing w:before="0" w:beforeAutospacing="0" w:after="0" w:afterAutospacing="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三、弘扬工匠精神，在优化服务保障上精钻细研</w:t>
      </w:r>
    </w:p>
    <w:p>
      <w:pPr>
        <w:widowControl/>
        <w:autoSpaceDE w:val="0"/>
        <w:adjustRightInd w:val="0"/>
        <w:snapToGrid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一是织密公共安全“防护网”。认真执行自治区、州、市维稳安保各项措施，对党政办公大楼进行精细化管理，分别对人员管理、车辆管理、访客管理做出了相应的改进与完善。</w:t>
      </w:r>
    </w:p>
    <w:p>
      <w:pPr>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二是做好会务、保洁服务。全年共承接各类会议776场次，其中党委序列会议场396次，政府部门会议297场次，参会人员33977人。每天按时、按量完成大楼内的卫生区域保洁。</w:t>
      </w:r>
    </w:p>
    <w:p>
      <w:pPr>
        <w:pStyle w:val="6"/>
        <w:shd w:val="clear" w:color="auto" w:fill="FFFFFF"/>
        <w:spacing w:before="0" w:beforeAutospacing="0" w:after="0" w:afterAutospacing="0" w:line="560" w:lineRule="exac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三是维修服务及时周到。用人体感应开关替换老式声光控开关，根据季节的变化合理调节大楼亮化开关时间，根据时令温差的变化，及时调整空调开机的时间和水泵的运转周期，切实减少水电资源损耗。</w:t>
      </w:r>
    </w:p>
    <w:p>
      <w:pPr>
        <w:pStyle w:val="6"/>
        <w:shd w:val="clear" w:color="auto" w:fill="FFFFFF"/>
        <w:spacing w:before="0" w:beforeAutospacing="0" w:after="0" w:afterAutospacing="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四、突出作风建设，在锻造过硬队伍上奋楫笃行</w:t>
      </w:r>
    </w:p>
    <w:p>
      <w:pPr>
        <w:autoSpaceDE w:val="0"/>
        <w:spacing w:line="560" w:lineRule="exact"/>
        <w:ind w:firstLine="640" w:firstLineChars="200"/>
        <w:jc w:val="both"/>
        <w:rPr>
          <w:rFonts w:hint="eastAsia" w:ascii="仿宋" w:hAnsi="仿宋" w:eastAsia="仿宋" w:cs="仿宋"/>
          <w:bCs/>
          <w:color w:val="auto"/>
          <w:sz w:val="32"/>
          <w:szCs w:val="32"/>
          <w:highlight w:val="none"/>
        </w:rPr>
      </w:pPr>
      <w:r>
        <w:rPr>
          <w:rFonts w:hint="eastAsia" w:ascii="仿宋" w:hAnsi="仿宋" w:eastAsia="仿宋" w:cs="仿宋"/>
          <w:color w:val="auto"/>
          <w:sz w:val="32"/>
          <w:szCs w:val="32"/>
          <w:highlight w:val="none"/>
        </w:rPr>
        <w:t>（一）严明党内纪律，筑牢廉政防线。始终把“转作风、树形象、促工作”贯穿工作始终，高度重视，狠抓落实。</w:t>
      </w:r>
    </w:p>
    <w:p>
      <w:pPr>
        <w:pStyle w:val="6"/>
        <w:shd w:val="clear" w:color="auto" w:fill="FFFFFF"/>
        <w:spacing w:before="0" w:beforeAutospacing="0" w:after="0" w:afterAutospacing="0" w:line="560" w:lineRule="exact"/>
        <w:ind w:firstLine="835" w:firstLineChars="261"/>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二</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抓牢“关键少数”，落实“一岗双责”。</w:t>
      </w:r>
    </w:p>
    <w:p>
      <w:pPr>
        <w:pStyle w:val="6"/>
        <w:shd w:val="clear" w:color="auto" w:fill="FFFFFF"/>
        <w:spacing w:before="0" w:beforeAutospacing="0" w:after="0" w:afterAutospacing="0" w:line="560" w:lineRule="exact"/>
        <w:ind w:firstLine="200"/>
        <w:jc w:val="both"/>
        <w:rPr>
          <w:rFonts w:hint="eastAsia" w:ascii="仿宋" w:hAnsi="仿宋" w:eastAsia="仿宋" w:cs="仿宋"/>
          <w:b w:val="0"/>
          <w:bCs/>
          <w:color w:val="auto"/>
          <w:sz w:val="32"/>
          <w:szCs w:val="32"/>
          <w:highlight w:val="none"/>
          <w:lang w:val="en-US" w:eastAsia="zh-CN"/>
        </w:rPr>
      </w:pPr>
      <w:r>
        <w:rPr>
          <w:rFonts w:hint="eastAsia" w:ascii="仿宋" w:hAnsi="仿宋" w:eastAsia="仿宋" w:cs="仿宋"/>
          <w:color w:val="auto"/>
          <w:sz w:val="32"/>
          <w:szCs w:val="32"/>
          <w:highlight w:val="none"/>
        </w:rPr>
        <w:t>　　</w:t>
      </w:r>
      <w:r>
        <w:rPr>
          <w:rFonts w:hint="eastAsia" w:ascii="仿宋" w:hAnsi="仿宋" w:eastAsia="仿宋" w:cs="仿宋"/>
          <w:color w:val="auto"/>
          <w:sz w:val="32"/>
          <w:szCs w:val="32"/>
          <w:highlight w:val="none"/>
          <w:lang w:val="en-US" w:eastAsia="zh-CN"/>
        </w:rPr>
        <w:t>（三）</w:t>
      </w:r>
      <w:r>
        <w:rPr>
          <w:rFonts w:hint="eastAsia" w:ascii="仿宋" w:hAnsi="仿宋" w:eastAsia="仿宋" w:cs="仿宋"/>
          <w:color w:val="auto"/>
          <w:sz w:val="32"/>
          <w:szCs w:val="32"/>
          <w:highlight w:val="none"/>
        </w:rPr>
        <w:t>树立正确导向，锻造过硬干部队伍。</w:t>
      </w:r>
    </w:p>
    <w:p>
      <w:pPr>
        <w:pStyle w:val="3"/>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库尔勒市机关事务管理局2023年通过本部门预算支出，确保了21名在职人员的工资、津贴、补贴、社保、绩效、公积金等以及16名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2023年我部门年初安排预算数为4242.81万元，其中:上级安排0.00万元,本级安排4242.81万元，其他资金0.00万元。</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我部门年初安排预算数4242.81万元，年中调整数-284.21万元，调整后全年预算数3958.60万元，预算调整率6.7%。</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w:t>
      </w:r>
      <w:r>
        <w:rPr>
          <w:rFonts w:hint="eastAsia" w:ascii="仿宋" w:hAnsi="仿宋" w:eastAsia="仿宋" w:cs="仿宋"/>
          <w:b w:val="0"/>
          <w:bCs/>
          <w:color w:val="auto"/>
          <w:sz w:val="32"/>
          <w:szCs w:val="32"/>
          <w:highlight w:val="none"/>
          <w:lang w:val="en-US" w:eastAsia="zh-CN"/>
        </w:rPr>
        <w:t>3958.60</w:t>
      </w:r>
      <w:r>
        <w:rPr>
          <w:rFonts w:hint="eastAsia" w:ascii="仿宋" w:hAnsi="仿宋" w:eastAsia="仿宋" w:cs="仿宋"/>
          <w:color w:val="auto"/>
          <w:kern w:val="2"/>
          <w:sz w:val="32"/>
          <w:szCs w:val="32"/>
          <w:highlight w:val="none"/>
          <w:lang w:val="en-US" w:eastAsia="zh-CN" w:bidi="ar-SA"/>
        </w:rPr>
        <w:t>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auto"/>
          <w:sz w:val="32"/>
          <w:szCs w:val="32"/>
          <w:highlight w:val="none"/>
          <w:lang w:val="en-US" w:eastAsia="zh-CN"/>
        </w:rPr>
        <w:t>1938.70</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基本工资、津贴补贴、奖金、绩效工资、机关事业单位基本养老保险缴费、职工基本医疗保险缴费、其他社会保障缴费、住房公积金、其他工资福利支出、</w:t>
      </w:r>
      <w:r>
        <w:rPr>
          <w:rFonts w:hint="eastAsia" w:ascii="仿宋" w:hAnsi="仿宋" w:eastAsia="仿宋" w:cs="仿宋"/>
          <w:color w:val="auto"/>
          <w:sz w:val="32"/>
          <w:szCs w:val="32"/>
          <w:highlight w:val="none"/>
          <w:lang w:val="en-US" w:eastAsia="zh-CN"/>
        </w:rPr>
        <w:t>办公费、水费、电费、邮电费、差旅费、维修（护）费、培训费、工会费、公车运行维护费、其他商品和服务支出、</w:t>
      </w:r>
      <w:r>
        <w:rPr>
          <w:rFonts w:hint="eastAsia" w:ascii="仿宋" w:hAnsi="仿宋" w:eastAsia="仿宋" w:cs="仿宋"/>
          <w:color w:val="auto"/>
          <w:kern w:val="2"/>
          <w:sz w:val="32"/>
          <w:szCs w:val="32"/>
          <w:highlight w:val="none"/>
          <w:lang w:val="en-US" w:eastAsia="zh-CN" w:bidi="ar-SA"/>
        </w:rPr>
        <w:t>退休费、生活补助、其他对个人补助支出、公务用车购置等。</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auto"/>
          <w:sz w:val="32"/>
          <w:szCs w:val="32"/>
          <w:highlight w:val="none"/>
          <w:lang w:val="en-US" w:eastAsia="zh-CN"/>
        </w:rPr>
        <w:t>2019.90</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b w:val="0"/>
          <w:bCs w:val="0"/>
          <w:color w:val="auto"/>
          <w:kern w:val="2"/>
          <w:sz w:val="32"/>
          <w:szCs w:val="32"/>
          <w:highlight w:val="none"/>
          <w:lang w:val="en-US" w:eastAsia="zh-CN" w:bidi="ar-SA"/>
        </w:rPr>
        <w:t>九馆三中心租赁费项目1976.90万元、原宾馆24人待遇项目43.00万元</w:t>
      </w:r>
      <w:r>
        <w:rPr>
          <w:rFonts w:hint="eastAsia" w:ascii="仿宋" w:hAnsi="仿宋" w:eastAsia="仿宋" w:cs="仿宋"/>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2023年我部门基本支出年初预算安排1011.23万元，全年预算数1938.70万元，全年实际支出数1938.70万元，其中：人员经费1487.06万元，公用经费451.64万元。全年预算执行率100%。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w:t>
      </w:r>
      <w:r>
        <w:rPr>
          <w:rFonts w:hint="eastAsia" w:ascii="仿宋" w:hAnsi="仿宋" w:eastAsia="仿宋" w:cs="仿宋"/>
          <w:color w:val="auto"/>
          <w:sz w:val="32"/>
          <w:szCs w:val="32"/>
          <w:highlight w:val="none"/>
          <w:lang w:val="en-US" w:eastAsia="zh-CN"/>
        </w:rPr>
        <w:t>办公费、水费、电费、邮电费、差旅费、维修（护）费、培训费、工会费、公车运行维护费、其他商品和服务支出、</w:t>
      </w:r>
      <w:r>
        <w:rPr>
          <w:rFonts w:hint="eastAsia" w:ascii="仿宋" w:hAnsi="仿宋" w:eastAsia="仿宋" w:cs="仿宋"/>
          <w:color w:val="auto"/>
          <w:kern w:val="2"/>
          <w:sz w:val="32"/>
          <w:szCs w:val="32"/>
          <w:highlight w:val="none"/>
          <w:lang w:val="en-US" w:eastAsia="zh-CN" w:bidi="ar-SA"/>
        </w:rPr>
        <w:t>公务用车购置等</w:t>
      </w:r>
      <w:r>
        <w:rPr>
          <w:rFonts w:hint="eastAsia" w:ascii="仿宋" w:hAnsi="仿宋" w:eastAsia="仿宋" w:cs="仿宋"/>
          <w:b w:val="0"/>
          <w:bCs/>
          <w:color w:val="auto"/>
          <w:sz w:val="32"/>
          <w:szCs w:val="32"/>
          <w:highlight w:val="none"/>
          <w:lang w:val="en-US" w:eastAsia="zh-CN"/>
        </w:rPr>
        <w:t>。公务用车运行维护费主要用于单位车辆加油、维修及购买车辆保险。</w:t>
      </w:r>
    </w:p>
    <w:p>
      <w:pPr>
        <w:pStyle w:val="3"/>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2023年本单位共安排2个项目，全年预算数为2019.90万元，全年实际支出数2019.90万元，执行率100.00%。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其中:上级安排项目0个0.00万元，本级安排项目2个2019.90万元,其他资金安排项目0个0.00万元。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9"/>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我单位将部门单位整体绩效目标细化分解为具体的绩效指标，一级指标共1条，二级指标共1条，三级指标共3条，其中量化指标条数共3条，所有绩效指标均通过清晰、可衡量的指标值予以体现。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数量指标1：办公大楼电梯维护次数,预期指标值为：≥24次；监控节点完成值：=12次；评价实际完成值：=24次；指标完成率：100.00%；成效分析：</w:t>
      </w:r>
      <w:r>
        <w:rPr>
          <w:rStyle w:val="9"/>
          <w:rFonts w:hint="eastAsia" w:ascii="仿宋" w:hAnsi="仿宋" w:eastAsia="仿宋" w:cs="仿宋"/>
          <w:b w:val="0"/>
          <w:bCs/>
          <w:color w:val="auto"/>
          <w:spacing w:val="-4"/>
          <w:sz w:val="32"/>
          <w:szCs w:val="32"/>
          <w:highlight w:val="none"/>
          <w:lang w:val="en-US" w:eastAsia="zh-CN"/>
        </w:rPr>
        <w:t>通过单位正常运转</w:t>
      </w:r>
      <w:r>
        <w:rPr>
          <w:rStyle w:val="9"/>
          <w:rFonts w:hint="eastAsia" w:ascii="仿宋" w:hAnsi="仿宋" w:eastAsia="仿宋" w:cs="仿宋"/>
          <w:b w:val="0"/>
          <w:color w:val="auto"/>
          <w:spacing w:val="-4"/>
          <w:sz w:val="32"/>
          <w:szCs w:val="32"/>
          <w:highlight w:val="none"/>
          <w:lang w:val="en-US" w:eastAsia="zh-CN"/>
        </w:rPr>
        <w:t>，提高了电梯安全使用率。</w:t>
      </w:r>
    </w:p>
    <w:p>
      <w:pPr>
        <w:pStyle w:val="3"/>
        <w:keepNext/>
        <w:keepLines/>
        <w:pageBreakBefore w:val="0"/>
        <w:widowControl w:val="0"/>
        <w:kinsoku/>
        <w:wordWrap/>
        <w:overflowPunct/>
        <w:topLinePunct w:val="0"/>
        <w:autoSpaceDE/>
        <w:autoSpaceDN/>
        <w:bidi w:val="0"/>
        <w:adjustRightInd/>
        <w:snapToGrid/>
        <w:ind w:firstLine="624" w:firstLineChars="200"/>
        <w:textAlignment w:val="auto"/>
        <w:rPr>
          <w:rFonts w:hint="eastAsia"/>
          <w:color w:val="auto"/>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数量指标2：保障四套班子公务用车数量,预期指标值为：=58辆；监控节点完成值：≥58辆；评价实际完成值：=58辆；指标完成率：100.00%；成效分析：通过单位正常运转，提高了四套班子车辆安全出行率。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数量指标3：公车公房调研次数,预期指标值为：≥2次；监控节点完成值：=1次；评价实际完成值：=2次；指标完成率：100.00%；成效分析：</w:t>
      </w:r>
      <w:r>
        <w:rPr>
          <w:rStyle w:val="9"/>
          <w:rFonts w:hint="eastAsia" w:ascii="仿宋" w:hAnsi="仿宋" w:eastAsia="仿宋" w:cs="仿宋"/>
          <w:b w:val="0"/>
          <w:bCs/>
          <w:color w:val="auto"/>
          <w:spacing w:val="-4"/>
          <w:sz w:val="32"/>
          <w:szCs w:val="32"/>
          <w:highlight w:val="none"/>
          <w:lang w:val="en-US" w:eastAsia="zh-CN"/>
        </w:rPr>
        <w:t>通过开展调研</w:t>
      </w:r>
      <w:r>
        <w:rPr>
          <w:rStyle w:val="9"/>
          <w:rFonts w:hint="eastAsia" w:ascii="仿宋" w:hAnsi="仿宋" w:eastAsia="仿宋" w:cs="仿宋"/>
          <w:b w:val="0"/>
          <w:color w:val="auto"/>
          <w:spacing w:val="-4"/>
          <w:sz w:val="32"/>
          <w:szCs w:val="32"/>
          <w:highlight w:val="none"/>
          <w:lang w:val="en-US" w:eastAsia="zh-CN"/>
        </w:rPr>
        <w:t>，提高了办公用房使用效力和各单位公车运行情况。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（四）指标四：社会效益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（六）指标六：服务对象满意度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ascii="黑体" w:hAnsi="黑体" w:eastAsia="黑体"/>
          <w:b w:val="0"/>
          <w:bCs w:val="0"/>
          <w:color w:val="auto"/>
          <w:spacing w:val="-4"/>
          <w:sz w:val="32"/>
          <w:szCs w:val="32"/>
          <w:highlight w:val="none"/>
        </w:rPr>
      </w:pPr>
      <w:r>
        <w:rPr>
          <w:rStyle w:val="9"/>
          <w:rFonts w:hint="eastAsia" w:ascii="黑体" w:hAnsi="黑体" w:eastAsia="黑体"/>
          <w:b w:val="0"/>
          <w:bCs w:val="0"/>
          <w:color w:val="auto"/>
          <w:spacing w:val="-4"/>
          <w:sz w:val="32"/>
          <w:szCs w:val="32"/>
          <w:highlight w:val="none"/>
          <w:lang w:val="en-US" w:eastAsia="zh-CN"/>
        </w:rPr>
        <w:t>四、</w:t>
      </w:r>
      <w:r>
        <w:rPr>
          <w:rStyle w:val="9"/>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本单位严格按照科学公正、统筹兼顾、激励约束、公开透明的绩效评价原则，对本单位预算执行情况、单位整体支出管理及使用情况、单位整体支出绩效指标完成情况等进行了综合评价。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2023年度部门整体支出绩效自评综合得分100分，评价结果为“优”。</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五、</w:t>
      </w:r>
      <w:r>
        <w:rPr>
          <w:rStyle w:val="9"/>
          <w:rFonts w:hint="eastAsia" w:ascii="黑体" w:hAnsi="黑体" w:eastAsia="黑体" w:cs="黑体"/>
          <w:b w:val="0"/>
          <w:bCs w:val="0"/>
          <w:color w:val="auto"/>
          <w:spacing w:val="-4"/>
          <w:sz w:val="32"/>
          <w:szCs w:val="32"/>
          <w:highlight w:val="none"/>
        </w:rPr>
        <w:t>存在的主要问题</w:t>
      </w:r>
      <w:r>
        <w:rPr>
          <w:rStyle w:val="9"/>
          <w:rFonts w:hint="eastAsia" w:ascii="黑体" w:hAnsi="黑体" w:eastAsia="黑体" w:cs="黑体"/>
          <w:b w:val="0"/>
          <w:bCs w:val="0"/>
          <w:color w:val="auto"/>
          <w:spacing w:val="-4"/>
          <w:sz w:val="32"/>
          <w:szCs w:val="32"/>
          <w:highlight w:val="none"/>
          <w:lang w:eastAsia="zh-CN"/>
        </w:rPr>
        <w:t>及原因分析</w:t>
      </w:r>
    </w:p>
    <w:p>
      <w:pPr>
        <w:keepNext w:val="0"/>
        <w:keepLines w:val="0"/>
        <w:pageBreakBefore w:val="0"/>
        <w:kinsoku/>
        <w:wordWrap/>
        <w:overflowPunct/>
        <w:topLinePunct w:val="0"/>
        <w:autoSpaceDE/>
        <w:autoSpaceDN/>
        <w:bidi w:val="0"/>
        <w:spacing w:line="560" w:lineRule="exact"/>
        <w:ind w:firstLine="624" w:firstLineChars="200"/>
        <w:jc w:val="both"/>
        <w:textAlignment w:val="auto"/>
        <w:rPr>
          <w:rStyle w:val="9"/>
          <w:rFonts w:hint="eastAsia" w:ascii="仿宋" w:hAnsi="仿宋" w:eastAsia="仿宋" w:cs="仿宋"/>
          <w:b w:val="0"/>
          <w:bCs w:val="0"/>
          <w:color w:val="auto"/>
          <w:spacing w:val="-4"/>
          <w:sz w:val="32"/>
          <w:szCs w:val="32"/>
          <w:highlight w:val="none"/>
          <w:lang w:val="en-US" w:eastAsia="zh-CN"/>
        </w:rPr>
      </w:pPr>
      <w:r>
        <w:rPr>
          <w:rStyle w:val="9"/>
          <w:rFonts w:hint="eastAsia" w:ascii="仿宋" w:hAnsi="仿宋" w:eastAsia="仿宋" w:cs="仿宋"/>
          <w:b w:val="0"/>
          <w:bCs w:val="0"/>
          <w:color w:val="auto"/>
          <w:spacing w:val="-4"/>
          <w:sz w:val="32"/>
          <w:szCs w:val="32"/>
          <w:highlight w:val="none"/>
          <w:lang w:val="en-US" w:eastAsia="zh-CN"/>
        </w:rPr>
        <w:t>2023年本单位基本支出绩效目标全部完成，不存在未完成绩效目标情况。但在资金管理等方面仍存在部分问题，具体如下：</w:t>
      </w:r>
    </w:p>
    <w:p>
      <w:pPr>
        <w:keepNext w:val="0"/>
        <w:keepLines w:val="0"/>
        <w:pageBreakBefore w:val="0"/>
        <w:kinsoku/>
        <w:wordWrap/>
        <w:overflowPunct/>
        <w:topLinePunct w:val="0"/>
        <w:autoSpaceDE/>
        <w:autoSpaceDN/>
        <w:bidi w:val="0"/>
        <w:spacing w:line="560" w:lineRule="exact"/>
        <w:ind w:firstLine="624" w:firstLineChars="200"/>
        <w:jc w:val="both"/>
        <w:textAlignment w:val="auto"/>
        <w:rPr>
          <w:rStyle w:val="9"/>
          <w:rFonts w:hint="eastAsia" w:ascii="仿宋" w:hAnsi="仿宋" w:eastAsia="仿宋" w:cs="仿宋"/>
          <w:b w:val="0"/>
          <w:bCs w:val="0"/>
          <w:color w:val="auto"/>
          <w:spacing w:val="-4"/>
          <w:sz w:val="32"/>
          <w:szCs w:val="32"/>
          <w:highlight w:val="none"/>
          <w:lang w:val="en-US" w:eastAsia="zh-CN"/>
        </w:rPr>
      </w:pPr>
      <w:r>
        <w:rPr>
          <w:rStyle w:val="9"/>
          <w:rFonts w:hint="eastAsia" w:ascii="仿宋" w:hAnsi="仿宋" w:eastAsia="仿宋" w:cs="仿宋"/>
          <w:b w:val="0"/>
          <w:bCs w:val="0"/>
          <w:color w:val="auto"/>
          <w:spacing w:val="-4"/>
          <w:sz w:val="32"/>
          <w:szCs w:val="32"/>
          <w:highlight w:val="none"/>
          <w:lang w:val="en-US" w:eastAsia="zh-CN"/>
        </w:rPr>
        <w:t>一是</w:t>
      </w:r>
      <w:r>
        <w:rPr>
          <w:rStyle w:val="9"/>
          <w:rFonts w:hint="eastAsia" w:ascii="仿宋" w:hAnsi="仿宋" w:eastAsia="仿宋" w:cs="仿宋"/>
          <w:b w:val="0"/>
          <w:bCs w:val="0"/>
          <w:color w:val="auto"/>
          <w:spacing w:val="-4"/>
          <w:sz w:val="32"/>
          <w:szCs w:val="32"/>
          <w:highlight w:val="none"/>
        </w:rPr>
        <w:t>对</w:t>
      </w:r>
      <w:r>
        <w:rPr>
          <w:rFonts w:hint="eastAsia" w:ascii="仿宋" w:hAnsi="仿宋" w:eastAsia="仿宋" w:cs="仿宋"/>
          <w:color w:val="auto"/>
          <w:sz w:val="32"/>
          <w:szCs w:val="32"/>
          <w:highlight w:val="none"/>
          <w:lang w:val="en-US" w:eastAsia="zh-CN"/>
        </w:rPr>
        <w:t>预算绩效</w:t>
      </w:r>
      <w:r>
        <w:rPr>
          <w:rStyle w:val="9"/>
          <w:rFonts w:hint="eastAsia" w:ascii="仿宋" w:hAnsi="仿宋" w:eastAsia="仿宋" w:cs="仿宋"/>
          <w:b w:val="0"/>
          <w:bCs w:val="0"/>
          <w:color w:val="auto"/>
          <w:spacing w:val="-4"/>
          <w:sz w:val="32"/>
          <w:szCs w:val="32"/>
          <w:highlight w:val="none"/>
        </w:rPr>
        <w:t>的认识</w:t>
      </w:r>
      <w:r>
        <w:rPr>
          <w:rStyle w:val="9"/>
          <w:rFonts w:hint="eastAsia" w:ascii="仿宋" w:hAnsi="仿宋" w:eastAsia="仿宋" w:cs="仿宋"/>
          <w:b w:val="0"/>
          <w:bCs w:val="0"/>
          <w:color w:val="auto"/>
          <w:spacing w:val="-4"/>
          <w:sz w:val="32"/>
          <w:szCs w:val="32"/>
          <w:highlight w:val="none"/>
          <w:lang w:eastAsia="zh-CN"/>
        </w:rPr>
        <w:t>还</w:t>
      </w:r>
      <w:r>
        <w:rPr>
          <w:rStyle w:val="9"/>
          <w:rFonts w:hint="eastAsia" w:ascii="仿宋" w:hAnsi="仿宋" w:eastAsia="仿宋" w:cs="仿宋"/>
          <w:b w:val="0"/>
          <w:bCs w:val="0"/>
          <w:color w:val="auto"/>
          <w:spacing w:val="-4"/>
          <w:sz w:val="32"/>
          <w:szCs w:val="32"/>
          <w:highlight w:val="none"/>
        </w:rPr>
        <w:t>不够深入，</w:t>
      </w:r>
      <w:r>
        <w:rPr>
          <w:rFonts w:hint="eastAsia" w:ascii="仿宋" w:hAnsi="仿宋" w:eastAsia="仿宋" w:cs="仿宋"/>
          <w:color w:val="auto"/>
          <w:sz w:val="32"/>
          <w:szCs w:val="32"/>
          <w:highlight w:val="none"/>
          <w:lang w:val="en-US" w:eastAsia="zh-CN"/>
        </w:rPr>
        <w:t>相关知识了解还不够、掌握还不够多，</w:t>
      </w:r>
      <w:r>
        <w:rPr>
          <w:rStyle w:val="9"/>
          <w:rFonts w:hint="eastAsia" w:ascii="仿宋" w:hAnsi="仿宋" w:eastAsia="仿宋" w:cs="仿宋"/>
          <w:b w:val="0"/>
          <w:bCs w:val="0"/>
          <w:color w:val="auto"/>
          <w:spacing w:val="-4"/>
          <w:sz w:val="32"/>
          <w:szCs w:val="32"/>
          <w:highlight w:val="none"/>
        </w:rPr>
        <w:t>把绩效管理简单等同于工作目标、工作考核和业务管理</w:t>
      </w:r>
      <w:r>
        <w:rPr>
          <w:rStyle w:val="9"/>
          <w:rFonts w:hint="eastAsia" w:ascii="仿宋" w:hAnsi="仿宋" w:eastAsia="仿宋" w:cs="仿宋"/>
          <w:b w:val="0"/>
          <w:bCs w:val="0"/>
          <w:color w:val="auto"/>
          <w:spacing w:val="-4"/>
          <w:sz w:val="32"/>
          <w:szCs w:val="32"/>
          <w:highlight w:val="none"/>
          <w:lang w:eastAsia="zh-CN"/>
        </w:rPr>
        <w:t>；</w:t>
      </w:r>
      <w:r>
        <w:rPr>
          <w:rStyle w:val="9"/>
          <w:rFonts w:hint="eastAsia" w:ascii="仿宋" w:hAnsi="仿宋" w:eastAsia="仿宋" w:cs="仿宋"/>
          <w:b w:val="0"/>
          <w:bCs w:val="0"/>
          <w:color w:val="auto"/>
          <w:spacing w:val="-4"/>
          <w:sz w:val="32"/>
          <w:szCs w:val="32"/>
          <w:highlight w:val="none"/>
          <w:lang w:val="en-US" w:eastAsia="zh-CN"/>
        </w:rPr>
        <w:t>二是</w:t>
      </w:r>
      <w:r>
        <w:rPr>
          <w:rFonts w:hint="eastAsia" w:ascii="仿宋" w:hAnsi="仿宋" w:eastAsia="仿宋" w:cs="仿宋"/>
          <w:b w:val="0"/>
          <w:bCs w:val="0"/>
          <w:color w:val="auto"/>
          <w:sz w:val="32"/>
          <w:szCs w:val="32"/>
          <w:highlight w:val="none"/>
        </w:rPr>
        <w:t>资</w:t>
      </w:r>
      <w:r>
        <w:rPr>
          <w:rFonts w:hint="eastAsia" w:ascii="仿宋" w:hAnsi="仿宋" w:eastAsia="仿宋" w:cs="仿宋"/>
          <w:color w:val="auto"/>
          <w:sz w:val="32"/>
          <w:szCs w:val="32"/>
          <w:highlight w:val="none"/>
        </w:rPr>
        <w:t>金管理水平有待</w:t>
      </w:r>
      <w:r>
        <w:rPr>
          <w:rFonts w:hint="eastAsia" w:ascii="仿宋" w:hAnsi="仿宋" w:eastAsia="仿宋" w:cs="仿宋"/>
          <w:color w:val="auto"/>
          <w:sz w:val="32"/>
          <w:szCs w:val="32"/>
          <w:highlight w:val="none"/>
          <w:lang w:eastAsia="zh-CN"/>
        </w:rPr>
        <w:t>进一步</w:t>
      </w:r>
      <w:r>
        <w:rPr>
          <w:rFonts w:hint="eastAsia" w:ascii="仿宋" w:hAnsi="仿宋" w:eastAsia="仿宋" w:cs="仿宋"/>
          <w:color w:val="auto"/>
          <w:sz w:val="32"/>
          <w:szCs w:val="32"/>
          <w:highlight w:val="none"/>
        </w:rPr>
        <w:t>提高</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财务审核还需进一步加强</w:t>
      </w:r>
      <w:r>
        <w:rPr>
          <w:rStyle w:val="9"/>
          <w:rFonts w:hint="eastAsia" w:ascii="仿宋" w:hAnsi="仿宋" w:eastAsia="仿宋" w:cs="仿宋"/>
          <w:b w:val="0"/>
          <w:bCs w:val="0"/>
          <w:color w:val="auto"/>
          <w:spacing w:val="-4"/>
          <w:sz w:val="32"/>
          <w:szCs w:val="32"/>
          <w:highlight w:val="none"/>
          <w:lang w:val="en-US" w:eastAsia="zh-CN"/>
        </w:rPr>
        <w:t>。</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六、</w:t>
      </w:r>
      <w:r>
        <w:rPr>
          <w:rStyle w:val="9"/>
          <w:rFonts w:hint="eastAsia" w:ascii="黑体" w:hAnsi="黑体" w:eastAsia="黑体" w:cs="黑体"/>
          <w:b w:val="0"/>
          <w:bCs w:val="0"/>
          <w:color w:val="auto"/>
          <w:spacing w:val="-4"/>
          <w:sz w:val="32"/>
          <w:szCs w:val="32"/>
          <w:highlight w:val="none"/>
        </w:rPr>
        <w:t>改进措施和建议</w:t>
      </w:r>
    </w:p>
    <w:p>
      <w:pPr>
        <w:keepNext w:val="0"/>
        <w:keepLines w:val="0"/>
        <w:pageBreakBefore w:val="0"/>
        <w:kinsoku/>
        <w:wordWrap/>
        <w:overflowPunct/>
        <w:topLinePunct w:val="0"/>
        <w:autoSpaceDE/>
        <w:autoSpaceDN/>
        <w:bidi w:val="0"/>
        <w:spacing w:line="560" w:lineRule="exact"/>
        <w:ind w:firstLine="624" w:firstLineChars="200"/>
        <w:jc w:val="both"/>
        <w:textAlignment w:val="auto"/>
        <w:rPr>
          <w:rStyle w:val="9"/>
          <w:rFonts w:hint="eastAsia" w:ascii="仿宋" w:hAnsi="仿宋" w:eastAsia="仿宋" w:cs="仿宋"/>
          <w:b w:val="0"/>
          <w:bCs w:val="0"/>
          <w:color w:val="auto"/>
          <w:spacing w:val="-4"/>
          <w:sz w:val="32"/>
          <w:szCs w:val="32"/>
          <w:highlight w:val="none"/>
          <w:lang w:val="en-US" w:eastAsia="zh-CN"/>
        </w:rPr>
      </w:pPr>
      <w:r>
        <w:rPr>
          <w:rStyle w:val="9"/>
          <w:rFonts w:hint="eastAsia" w:ascii="仿宋" w:hAnsi="仿宋" w:eastAsia="仿宋" w:cs="仿宋"/>
          <w:b w:val="0"/>
          <w:bCs w:val="0"/>
          <w:color w:val="auto"/>
          <w:spacing w:val="-4"/>
          <w:sz w:val="32"/>
          <w:szCs w:val="32"/>
          <w:highlight w:val="none"/>
          <w:lang w:val="en-US" w:eastAsia="zh-CN"/>
        </w:rPr>
        <w:t>一是</w:t>
      </w:r>
      <w:r>
        <w:rPr>
          <w:rStyle w:val="9"/>
          <w:rFonts w:hint="eastAsia" w:ascii="仿宋" w:hAnsi="仿宋" w:eastAsia="仿宋" w:cs="仿宋"/>
          <w:b w:val="0"/>
          <w:bCs w:val="0"/>
          <w:color w:val="auto"/>
          <w:spacing w:val="-4"/>
          <w:sz w:val="32"/>
          <w:szCs w:val="32"/>
          <w:highlight w:val="none"/>
        </w:rPr>
        <w:t>建立</w:t>
      </w:r>
      <w:r>
        <w:rPr>
          <w:rStyle w:val="9"/>
          <w:rFonts w:hint="eastAsia" w:ascii="仿宋" w:hAnsi="仿宋" w:eastAsia="仿宋" w:cs="仿宋"/>
          <w:b w:val="0"/>
          <w:bCs w:val="0"/>
          <w:color w:val="auto"/>
          <w:spacing w:val="-4"/>
          <w:sz w:val="32"/>
          <w:szCs w:val="32"/>
          <w:highlight w:val="none"/>
          <w:lang w:eastAsia="zh-CN"/>
        </w:rPr>
        <w:t>健全</w:t>
      </w:r>
      <w:r>
        <w:rPr>
          <w:rStyle w:val="9"/>
          <w:rFonts w:hint="eastAsia" w:ascii="仿宋" w:hAnsi="仿宋" w:eastAsia="仿宋" w:cs="仿宋"/>
          <w:b w:val="0"/>
          <w:bCs w:val="0"/>
          <w:color w:val="auto"/>
          <w:spacing w:val="-4"/>
          <w:sz w:val="32"/>
          <w:szCs w:val="32"/>
          <w:highlight w:val="none"/>
        </w:rPr>
        <w:t>的预算绩效管理体制，</w:t>
      </w:r>
      <w:r>
        <w:rPr>
          <w:rStyle w:val="9"/>
          <w:rFonts w:hint="eastAsia" w:ascii="仿宋" w:hAnsi="仿宋" w:eastAsia="仿宋" w:cs="仿宋"/>
          <w:b w:val="0"/>
          <w:bCs w:val="0"/>
          <w:color w:val="auto"/>
          <w:spacing w:val="-4"/>
          <w:sz w:val="32"/>
          <w:szCs w:val="32"/>
          <w:highlight w:val="none"/>
          <w:lang w:eastAsia="zh-CN"/>
        </w:rPr>
        <w:t>加强对预算绩效相关知识的了解和掌握，</w:t>
      </w:r>
      <w:r>
        <w:rPr>
          <w:rStyle w:val="9"/>
          <w:rFonts w:hint="eastAsia" w:ascii="仿宋" w:hAnsi="仿宋" w:eastAsia="仿宋" w:cs="仿宋"/>
          <w:b w:val="0"/>
          <w:bCs w:val="0"/>
          <w:color w:val="auto"/>
          <w:spacing w:val="-4"/>
          <w:sz w:val="32"/>
          <w:szCs w:val="32"/>
          <w:highlight w:val="none"/>
        </w:rPr>
        <w:t>促进绩效管理工作向广度和深度延伸</w:t>
      </w:r>
      <w:r>
        <w:rPr>
          <w:rStyle w:val="9"/>
          <w:rFonts w:hint="eastAsia" w:ascii="仿宋" w:hAnsi="仿宋" w:eastAsia="仿宋" w:cs="仿宋"/>
          <w:b w:val="0"/>
          <w:bCs w:val="0"/>
          <w:color w:val="auto"/>
          <w:spacing w:val="-4"/>
          <w:sz w:val="32"/>
          <w:szCs w:val="32"/>
          <w:highlight w:val="none"/>
          <w:lang w:eastAsia="zh-CN"/>
        </w:rPr>
        <w:t>，切实提高部门预算收支管理水平；</w:t>
      </w:r>
      <w:r>
        <w:rPr>
          <w:rStyle w:val="9"/>
          <w:rFonts w:hint="eastAsia" w:ascii="仿宋" w:hAnsi="仿宋" w:eastAsia="仿宋" w:cs="仿宋"/>
          <w:b w:val="0"/>
          <w:bCs w:val="0"/>
          <w:color w:val="auto"/>
          <w:spacing w:val="-4"/>
          <w:sz w:val="32"/>
          <w:szCs w:val="32"/>
          <w:highlight w:val="none"/>
          <w:lang w:val="en-US" w:eastAsia="zh-CN"/>
        </w:rPr>
        <w:t>二是</w:t>
      </w:r>
      <w:r>
        <w:rPr>
          <w:rFonts w:hint="eastAsia" w:ascii="仿宋" w:hAnsi="仿宋" w:eastAsia="仿宋" w:cs="仿宋"/>
          <w:color w:val="auto"/>
          <w:sz w:val="32"/>
          <w:szCs w:val="32"/>
          <w:highlight w:val="none"/>
        </w:rPr>
        <w:t>加强财务管理，严格财务审核</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在费用报账支付时，按照预算规定费用项目和用途进行资金使用审核、列报支付、财务核算，杜绝超支</w:t>
      </w:r>
      <w:r>
        <w:rPr>
          <w:rFonts w:hint="eastAsia" w:ascii="仿宋" w:hAnsi="仿宋" w:eastAsia="仿宋" w:cs="仿宋"/>
          <w:color w:val="auto"/>
          <w:sz w:val="32"/>
          <w:szCs w:val="32"/>
          <w:highlight w:val="none"/>
          <w:lang w:eastAsia="zh-CN"/>
        </w:rPr>
        <w:t>或无预算支出</w:t>
      </w:r>
      <w:r>
        <w:rPr>
          <w:rFonts w:hint="eastAsia" w:ascii="仿宋" w:hAnsi="仿宋" w:eastAsia="仿宋" w:cs="仿宋"/>
          <w:color w:val="auto"/>
          <w:sz w:val="32"/>
          <w:szCs w:val="32"/>
          <w:highlight w:val="none"/>
        </w:rPr>
        <w:t>现象发生</w:t>
      </w:r>
      <w:r>
        <w:rPr>
          <w:rFonts w:hint="eastAsia" w:ascii="仿宋" w:hAnsi="仿宋" w:eastAsia="仿宋" w:cs="仿宋"/>
          <w:color w:val="auto"/>
          <w:sz w:val="32"/>
          <w:szCs w:val="32"/>
          <w:highlight w:val="none"/>
          <w:lang w:eastAsia="zh-CN"/>
        </w:rPr>
        <w:t>。</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七、</w:t>
      </w:r>
      <w:r>
        <w:rPr>
          <w:rStyle w:val="9"/>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FADF1C1-865B-48FB-8146-B99E80E0368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F5AB429E-D123-4512-B00D-3E041CABA88E}"/>
  </w:font>
  <w:font w:name="仿宋_GB2312">
    <w:panose1 w:val="02010609030101010101"/>
    <w:charset w:val="86"/>
    <w:family w:val="modern"/>
    <w:pitch w:val="default"/>
    <w:sig w:usb0="00000000" w:usb1="00000000" w:usb2="00000000" w:usb3="00000000" w:csb0="00000000" w:csb1="00000000"/>
    <w:embedRegular r:id="rId3" w:fontKey="{F9E68DF1-81AD-4C73-8B7B-B421236F1C95}"/>
  </w:font>
  <w:font w:name="楷体">
    <w:panose1 w:val="02010609060101010101"/>
    <w:charset w:val="86"/>
    <w:family w:val="modern"/>
    <w:pitch w:val="default"/>
    <w:sig w:usb0="800002BF" w:usb1="38CF7CFA" w:usb2="00000016" w:usb3="00000000" w:csb0="00040001" w:csb1="00000000"/>
    <w:embedRegular r:id="rId4" w:fontKey="{E43BF7FD-4BDF-406B-B153-9AA93263003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6D0077"/>
    <w:rsid w:val="022573A2"/>
    <w:rsid w:val="02263327"/>
    <w:rsid w:val="02355837"/>
    <w:rsid w:val="023B0973"/>
    <w:rsid w:val="02610413"/>
    <w:rsid w:val="02F163A2"/>
    <w:rsid w:val="02FE786C"/>
    <w:rsid w:val="03341650"/>
    <w:rsid w:val="036F2FCB"/>
    <w:rsid w:val="03B2599D"/>
    <w:rsid w:val="03E00FEC"/>
    <w:rsid w:val="043C5F8E"/>
    <w:rsid w:val="049941F3"/>
    <w:rsid w:val="04A60F90"/>
    <w:rsid w:val="04D2103C"/>
    <w:rsid w:val="04D550AF"/>
    <w:rsid w:val="04D74983"/>
    <w:rsid w:val="06076279"/>
    <w:rsid w:val="06802E0F"/>
    <w:rsid w:val="068A0781"/>
    <w:rsid w:val="06B83B39"/>
    <w:rsid w:val="06DE29E2"/>
    <w:rsid w:val="071579E5"/>
    <w:rsid w:val="07702E6D"/>
    <w:rsid w:val="07A86AAB"/>
    <w:rsid w:val="07C65825"/>
    <w:rsid w:val="09067414"/>
    <w:rsid w:val="09170A81"/>
    <w:rsid w:val="09E47F4D"/>
    <w:rsid w:val="0A73062A"/>
    <w:rsid w:val="0AC27E84"/>
    <w:rsid w:val="0AFB6CD0"/>
    <w:rsid w:val="0B0F5B25"/>
    <w:rsid w:val="0B6E1A98"/>
    <w:rsid w:val="0BD256C9"/>
    <w:rsid w:val="0D3F0613"/>
    <w:rsid w:val="0D617282"/>
    <w:rsid w:val="0F661726"/>
    <w:rsid w:val="0F772EC6"/>
    <w:rsid w:val="0F877334"/>
    <w:rsid w:val="10182B28"/>
    <w:rsid w:val="105607E1"/>
    <w:rsid w:val="109160DD"/>
    <w:rsid w:val="10947BCD"/>
    <w:rsid w:val="114B3E5E"/>
    <w:rsid w:val="115E3FEE"/>
    <w:rsid w:val="116B384E"/>
    <w:rsid w:val="11DD16C8"/>
    <w:rsid w:val="127A77C1"/>
    <w:rsid w:val="12C75D69"/>
    <w:rsid w:val="130A20A3"/>
    <w:rsid w:val="13352CE1"/>
    <w:rsid w:val="13C4515B"/>
    <w:rsid w:val="13E07D60"/>
    <w:rsid w:val="150177FB"/>
    <w:rsid w:val="15875F52"/>
    <w:rsid w:val="15B73666"/>
    <w:rsid w:val="15C42D02"/>
    <w:rsid w:val="168A2EA6"/>
    <w:rsid w:val="177E1A15"/>
    <w:rsid w:val="17D5194F"/>
    <w:rsid w:val="180A4FDB"/>
    <w:rsid w:val="1840056E"/>
    <w:rsid w:val="192177D8"/>
    <w:rsid w:val="196A001E"/>
    <w:rsid w:val="198331C0"/>
    <w:rsid w:val="19AD1CFF"/>
    <w:rsid w:val="19C92FDD"/>
    <w:rsid w:val="19DB061A"/>
    <w:rsid w:val="19E576EB"/>
    <w:rsid w:val="19FF664E"/>
    <w:rsid w:val="1A091F78"/>
    <w:rsid w:val="1A6D6D72"/>
    <w:rsid w:val="1AE4001A"/>
    <w:rsid w:val="1AEB4D61"/>
    <w:rsid w:val="1C230AC0"/>
    <w:rsid w:val="1C615CEF"/>
    <w:rsid w:val="1CDA72AF"/>
    <w:rsid w:val="1D632B53"/>
    <w:rsid w:val="1D7602A9"/>
    <w:rsid w:val="1DC13FCB"/>
    <w:rsid w:val="1DC83D3D"/>
    <w:rsid w:val="1E613949"/>
    <w:rsid w:val="1EAE0073"/>
    <w:rsid w:val="1F195A2C"/>
    <w:rsid w:val="1FE50993"/>
    <w:rsid w:val="205102FB"/>
    <w:rsid w:val="20762FC4"/>
    <w:rsid w:val="212C60E2"/>
    <w:rsid w:val="21DB6E7F"/>
    <w:rsid w:val="21DE15EF"/>
    <w:rsid w:val="23021A8B"/>
    <w:rsid w:val="2320540D"/>
    <w:rsid w:val="23254B60"/>
    <w:rsid w:val="236E0539"/>
    <w:rsid w:val="23E6478B"/>
    <w:rsid w:val="2422471A"/>
    <w:rsid w:val="24A85EE5"/>
    <w:rsid w:val="24DB72C2"/>
    <w:rsid w:val="2609413A"/>
    <w:rsid w:val="263962DE"/>
    <w:rsid w:val="276460F3"/>
    <w:rsid w:val="27660FAF"/>
    <w:rsid w:val="277166D1"/>
    <w:rsid w:val="277B4318"/>
    <w:rsid w:val="27933D80"/>
    <w:rsid w:val="27B7194D"/>
    <w:rsid w:val="27E37B45"/>
    <w:rsid w:val="280600C8"/>
    <w:rsid w:val="28081174"/>
    <w:rsid w:val="28481571"/>
    <w:rsid w:val="28620159"/>
    <w:rsid w:val="28722F64"/>
    <w:rsid w:val="289B5D70"/>
    <w:rsid w:val="290A1EBC"/>
    <w:rsid w:val="296B40D0"/>
    <w:rsid w:val="29980ADF"/>
    <w:rsid w:val="29B460DC"/>
    <w:rsid w:val="29D532D8"/>
    <w:rsid w:val="29E74DB9"/>
    <w:rsid w:val="29F46C96"/>
    <w:rsid w:val="29FE4278"/>
    <w:rsid w:val="2A0B6FEB"/>
    <w:rsid w:val="2A2A3694"/>
    <w:rsid w:val="2A6B1740"/>
    <w:rsid w:val="2AB71864"/>
    <w:rsid w:val="2AD30362"/>
    <w:rsid w:val="2B0D1570"/>
    <w:rsid w:val="2B161A0E"/>
    <w:rsid w:val="2B1D67DB"/>
    <w:rsid w:val="2B2D4A4E"/>
    <w:rsid w:val="2B9D7A1A"/>
    <w:rsid w:val="2BCA3DF7"/>
    <w:rsid w:val="2BFA5278"/>
    <w:rsid w:val="2C3F44FD"/>
    <w:rsid w:val="2C8903AA"/>
    <w:rsid w:val="2CD01740"/>
    <w:rsid w:val="2CE43832"/>
    <w:rsid w:val="2DAA6B58"/>
    <w:rsid w:val="2DB034FA"/>
    <w:rsid w:val="2E4A4A48"/>
    <w:rsid w:val="2F8715FA"/>
    <w:rsid w:val="2FB43990"/>
    <w:rsid w:val="2FC040E2"/>
    <w:rsid w:val="30143D58"/>
    <w:rsid w:val="30240D0F"/>
    <w:rsid w:val="30253FAE"/>
    <w:rsid w:val="307D1FD3"/>
    <w:rsid w:val="308158E7"/>
    <w:rsid w:val="309817B5"/>
    <w:rsid w:val="30A86679"/>
    <w:rsid w:val="31505F30"/>
    <w:rsid w:val="3177520D"/>
    <w:rsid w:val="31B56A10"/>
    <w:rsid w:val="31C7249B"/>
    <w:rsid w:val="31FB7654"/>
    <w:rsid w:val="32565D7D"/>
    <w:rsid w:val="336E47B8"/>
    <w:rsid w:val="337D2302"/>
    <w:rsid w:val="33935522"/>
    <w:rsid w:val="33DE0EF4"/>
    <w:rsid w:val="33F237E3"/>
    <w:rsid w:val="3416678C"/>
    <w:rsid w:val="34486A39"/>
    <w:rsid w:val="34C13400"/>
    <w:rsid w:val="34F32864"/>
    <w:rsid w:val="35386E11"/>
    <w:rsid w:val="35612ABD"/>
    <w:rsid w:val="37376E8B"/>
    <w:rsid w:val="375B2943"/>
    <w:rsid w:val="38086A4E"/>
    <w:rsid w:val="38C32119"/>
    <w:rsid w:val="38EE054F"/>
    <w:rsid w:val="39440A0C"/>
    <w:rsid w:val="398443D3"/>
    <w:rsid w:val="398C3287"/>
    <w:rsid w:val="39A60AF6"/>
    <w:rsid w:val="39FB5C26"/>
    <w:rsid w:val="3AA12D62"/>
    <w:rsid w:val="3B2319C9"/>
    <w:rsid w:val="3B5D5890"/>
    <w:rsid w:val="3B8926E0"/>
    <w:rsid w:val="3BA6683D"/>
    <w:rsid w:val="3BC431AC"/>
    <w:rsid w:val="3C012639"/>
    <w:rsid w:val="3DA52B6A"/>
    <w:rsid w:val="3E833FCF"/>
    <w:rsid w:val="3EE3321B"/>
    <w:rsid w:val="3EE93EED"/>
    <w:rsid w:val="3F177A97"/>
    <w:rsid w:val="3FF57BF1"/>
    <w:rsid w:val="40166F10"/>
    <w:rsid w:val="41590DEA"/>
    <w:rsid w:val="416C231C"/>
    <w:rsid w:val="41C31810"/>
    <w:rsid w:val="41D659E7"/>
    <w:rsid w:val="428A15BF"/>
    <w:rsid w:val="42BB7663"/>
    <w:rsid w:val="432A3936"/>
    <w:rsid w:val="434765EB"/>
    <w:rsid w:val="43A3164E"/>
    <w:rsid w:val="43C43532"/>
    <w:rsid w:val="43F77637"/>
    <w:rsid w:val="44332E1A"/>
    <w:rsid w:val="44692B43"/>
    <w:rsid w:val="44A77219"/>
    <w:rsid w:val="44B813D4"/>
    <w:rsid w:val="44BF2CE3"/>
    <w:rsid w:val="44BF6C07"/>
    <w:rsid w:val="4506057F"/>
    <w:rsid w:val="4597014F"/>
    <w:rsid w:val="462C7B1B"/>
    <w:rsid w:val="46BF2EEE"/>
    <w:rsid w:val="46C87C37"/>
    <w:rsid w:val="47013FF5"/>
    <w:rsid w:val="47C8310F"/>
    <w:rsid w:val="47EC094C"/>
    <w:rsid w:val="47ED7759"/>
    <w:rsid w:val="484A2C8B"/>
    <w:rsid w:val="48500FEB"/>
    <w:rsid w:val="49284D7B"/>
    <w:rsid w:val="49487285"/>
    <w:rsid w:val="49543DC1"/>
    <w:rsid w:val="4997226C"/>
    <w:rsid w:val="4A0F39E7"/>
    <w:rsid w:val="4AD107DA"/>
    <w:rsid w:val="4B364032"/>
    <w:rsid w:val="4B3B68BB"/>
    <w:rsid w:val="4B443785"/>
    <w:rsid w:val="4B537C75"/>
    <w:rsid w:val="4B680BEC"/>
    <w:rsid w:val="4BE53646"/>
    <w:rsid w:val="4C013661"/>
    <w:rsid w:val="4C2953A1"/>
    <w:rsid w:val="4C431ECB"/>
    <w:rsid w:val="4CC33C9F"/>
    <w:rsid w:val="4CF74FCD"/>
    <w:rsid w:val="4D22162C"/>
    <w:rsid w:val="4E760D0B"/>
    <w:rsid w:val="4E8F65E3"/>
    <w:rsid w:val="4EC30C61"/>
    <w:rsid w:val="4EC80245"/>
    <w:rsid w:val="4ED65AC3"/>
    <w:rsid w:val="4F596A69"/>
    <w:rsid w:val="4FD07084"/>
    <w:rsid w:val="50063DD3"/>
    <w:rsid w:val="504133D8"/>
    <w:rsid w:val="505863A4"/>
    <w:rsid w:val="50591CBD"/>
    <w:rsid w:val="50A240F7"/>
    <w:rsid w:val="51127D73"/>
    <w:rsid w:val="51971C1E"/>
    <w:rsid w:val="51FF2E33"/>
    <w:rsid w:val="525877BC"/>
    <w:rsid w:val="5272504D"/>
    <w:rsid w:val="52CA50F4"/>
    <w:rsid w:val="52E021E3"/>
    <w:rsid w:val="543D24BF"/>
    <w:rsid w:val="548754B8"/>
    <w:rsid w:val="54CA318A"/>
    <w:rsid w:val="55517AB0"/>
    <w:rsid w:val="57192BB8"/>
    <w:rsid w:val="5734671F"/>
    <w:rsid w:val="573C472E"/>
    <w:rsid w:val="57423EBA"/>
    <w:rsid w:val="57813298"/>
    <w:rsid w:val="57AE7CE9"/>
    <w:rsid w:val="57BB500C"/>
    <w:rsid w:val="58753EBA"/>
    <w:rsid w:val="58E426FC"/>
    <w:rsid w:val="58FC3B2E"/>
    <w:rsid w:val="59063548"/>
    <w:rsid w:val="5A3D7F5A"/>
    <w:rsid w:val="5A6776CD"/>
    <w:rsid w:val="5ADD1E8F"/>
    <w:rsid w:val="5AE6303A"/>
    <w:rsid w:val="5B155A7C"/>
    <w:rsid w:val="5B442B97"/>
    <w:rsid w:val="5B745BFD"/>
    <w:rsid w:val="5B977B3E"/>
    <w:rsid w:val="5C5B0B6B"/>
    <w:rsid w:val="5CB643E4"/>
    <w:rsid w:val="5CC95E9F"/>
    <w:rsid w:val="5D015029"/>
    <w:rsid w:val="5D8D11F8"/>
    <w:rsid w:val="5E2D5305"/>
    <w:rsid w:val="5EAE59D6"/>
    <w:rsid w:val="5F1D65AC"/>
    <w:rsid w:val="5F230066"/>
    <w:rsid w:val="5F41229A"/>
    <w:rsid w:val="5F814D8D"/>
    <w:rsid w:val="5FA47678"/>
    <w:rsid w:val="5FE455B0"/>
    <w:rsid w:val="5FE73A24"/>
    <w:rsid w:val="6003225D"/>
    <w:rsid w:val="60504E56"/>
    <w:rsid w:val="60535261"/>
    <w:rsid w:val="627A5057"/>
    <w:rsid w:val="62A033DD"/>
    <w:rsid w:val="62B113CD"/>
    <w:rsid w:val="62D376AD"/>
    <w:rsid w:val="63002758"/>
    <w:rsid w:val="63886101"/>
    <w:rsid w:val="63E072F9"/>
    <w:rsid w:val="63E738F2"/>
    <w:rsid w:val="648B2856"/>
    <w:rsid w:val="64AD2180"/>
    <w:rsid w:val="64F46001"/>
    <w:rsid w:val="658E5B0E"/>
    <w:rsid w:val="65D86017"/>
    <w:rsid w:val="65E6594A"/>
    <w:rsid w:val="660E1EAC"/>
    <w:rsid w:val="661600DA"/>
    <w:rsid w:val="66DF5346"/>
    <w:rsid w:val="66E14AAB"/>
    <w:rsid w:val="6736630B"/>
    <w:rsid w:val="67EE0E11"/>
    <w:rsid w:val="68461658"/>
    <w:rsid w:val="68DF3109"/>
    <w:rsid w:val="693F2885"/>
    <w:rsid w:val="69870AEB"/>
    <w:rsid w:val="699F5DE9"/>
    <w:rsid w:val="6A9776F8"/>
    <w:rsid w:val="6AAF0A00"/>
    <w:rsid w:val="6AEF34F2"/>
    <w:rsid w:val="6B234F4A"/>
    <w:rsid w:val="6BF1511C"/>
    <w:rsid w:val="6C5F0204"/>
    <w:rsid w:val="6C69186D"/>
    <w:rsid w:val="6C7D443F"/>
    <w:rsid w:val="6C8851EE"/>
    <w:rsid w:val="6CCF1622"/>
    <w:rsid w:val="6CE7035E"/>
    <w:rsid w:val="6DB1246A"/>
    <w:rsid w:val="6EAE5472"/>
    <w:rsid w:val="702F5608"/>
    <w:rsid w:val="708F2CC4"/>
    <w:rsid w:val="709444F0"/>
    <w:rsid w:val="71182116"/>
    <w:rsid w:val="71205936"/>
    <w:rsid w:val="71477CCB"/>
    <w:rsid w:val="71596067"/>
    <w:rsid w:val="7178018F"/>
    <w:rsid w:val="71950224"/>
    <w:rsid w:val="71BA40BB"/>
    <w:rsid w:val="71CD052F"/>
    <w:rsid w:val="73337CF4"/>
    <w:rsid w:val="73740A39"/>
    <w:rsid w:val="73D43285"/>
    <w:rsid w:val="742B746E"/>
    <w:rsid w:val="7438342A"/>
    <w:rsid w:val="74736F42"/>
    <w:rsid w:val="74CA7F29"/>
    <w:rsid w:val="752B1D3E"/>
    <w:rsid w:val="75913D16"/>
    <w:rsid w:val="763C0048"/>
    <w:rsid w:val="77135965"/>
    <w:rsid w:val="77262B54"/>
    <w:rsid w:val="772D4414"/>
    <w:rsid w:val="773A5C43"/>
    <w:rsid w:val="775947BB"/>
    <w:rsid w:val="77AD276B"/>
    <w:rsid w:val="77B87094"/>
    <w:rsid w:val="77C96E08"/>
    <w:rsid w:val="78E27C50"/>
    <w:rsid w:val="79500F4C"/>
    <w:rsid w:val="7986195D"/>
    <w:rsid w:val="79E005EE"/>
    <w:rsid w:val="7A044DC4"/>
    <w:rsid w:val="7A865511"/>
    <w:rsid w:val="7AA20E97"/>
    <w:rsid w:val="7AAA4D40"/>
    <w:rsid w:val="7ABC4A73"/>
    <w:rsid w:val="7AC10876"/>
    <w:rsid w:val="7AE077B3"/>
    <w:rsid w:val="7AEF37D7"/>
    <w:rsid w:val="7B2F16E9"/>
    <w:rsid w:val="7B334ED0"/>
    <w:rsid w:val="7C2437D4"/>
    <w:rsid w:val="7C4B6886"/>
    <w:rsid w:val="7C71236F"/>
    <w:rsid w:val="7C793826"/>
    <w:rsid w:val="7C7B25BC"/>
    <w:rsid w:val="7C8D2B6B"/>
    <w:rsid w:val="7CE16A13"/>
    <w:rsid w:val="7D360B0D"/>
    <w:rsid w:val="7D55069E"/>
    <w:rsid w:val="7D670C49"/>
    <w:rsid w:val="7D711B45"/>
    <w:rsid w:val="7E5F5E41"/>
    <w:rsid w:val="7E78432D"/>
    <w:rsid w:val="7E8E02D3"/>
    <w:rsid w:val="7EA902C5"/>
    <w:rsid w:val="7EAA3560"/>
    <w:rsid w:val="7ECF553C"/>
    <w:rsid w:val="7EF10E29"/>
    <w:rsid w:val="7F575C2E"/>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widowControl/>
      <w:spacing w:before="240" w:after="60"/>
      <w:jc w:val="left"/>
      <w:outlineLvl w:val="0"/>
    </w:pPr>
    <w:rPr>
      <w:rFonts w:ascii="Cambria" w:hAnsi="Cambria" w:eastAsia="宋体" w:cs="Times New Roman"/>
      <w:b/>
      <w:bCs/>
      <w:kern w:val="32"/>
      <w:sz w:val="32"/>
      <w:szCs w:val="32"/>
      <w:lang w:val="en-US" w:eastAsia="zh-CN" w:bidi="ar-SA"/>
    </w:rPr>
  </w:style>
  <w:style w:type="paragraph" w:styleId="3">
    <w:name w:val="heading 3"/>
    <w:basedOn w:val="1"/>
    <w:next w:val="1"/>
    <w:qFormat/>
    <w:uiPriority w:val="0"/>
    <w:pPr>
      <w:keepNext/>
      <w:keepLines/>
      <w:spacing w:line="560" w:lineRule="exact"/>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0"/>
    <w:rPr>
      <w:b/>
      <w:bCs/>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paragraph" w:styleId="12">
    <w:name w:val="List Paragraph"/>
    <w:basedOn w:val="1"/>
    <w:unhideWhenUsed/>
    <w:qFormat/>
    <w:uiPriority w:val="99"/>
    <w:pPr>
      <w:ind w:firstLine="420" w:firstLineChars="200"/>
    </w:pPr>
  </w:style>
  <w:style w:type="character" w:customStyle="1" w:styleId="13">
    <w:name w:val="15"/>
    <w:basedOn w:val="8"/>
    <w:qFormat/>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409</Words>
  <Characters>422</Characters>
  <Lines>9</Lines>
  <Paragraphs>2</Paragraphs>
  <TotalTime>13</TotalTime>
  <ScaleCrop>false</ScaleCrop>
  <LinksUpToDate>false</LinksUpToDate>
  <CharactersWithSpaces>444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Administrator</cp:lastModifiedBy>
  <cp:lastPrinted>2024-03-04T11:32:00Z</cp:lastPrinted>
  <dcterms:modified xsi:type="dcterms:W3CDTF">2024-11-29T08:24:21Z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69F0EDC592E74D7E950F0A5AFAEC136D_13</vt:lpwstr>
  </property>
</Properties>
</file>