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482" w:firstLineChars="1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lang w:val="en-US" w:eastAsia="zh-CN"/>
        </w:rPr>
        <w:t>库尔勒市</w:t>
      </w:r>
      <w:r>
        <w:rPr>
          <w:rFonts w:hint="eastAsia" w:ascii="黑体" w:hAnsi="黑体" w:eastAsia="黑体" w:cs="黑体"/>
          <w:b/>
          <w:color w:val="auto"/>
          <w:kern w:val="0"/>
          <w:sz w:val="48"/>
          <w:szCs w:val="48"/>
          <w:highlight w:val="none"/>
          <w:lang w:eastAsia="zh-CN"/>
        </w:rPr>
        <w:t>合作交流中心</w:t>
      </w:r>
      <w:r>
        <w:rPr>
          <w:rFonts w:hint="eastAsia" w:ascii="黑体" w:hAnsi="黑体" w:eastAsia="黑体" w:cs="黑体"/>
          <w:b/>
          <w:color w:val="auto"/>
          <w:kern w:val="0"/>
          <w:sz w:val="48"/>
          <w:szCs w:val="48"/>
          <w:highlight w:val="none"/>
        </w:rPr>
        <w:t>整体支出</w:t>
      </w:r>
    </w:p>
    <w:p>
      <w:pPr>
        <w:pageBreakBefore w:val="0"/>
        <w:kinsoku/>
        <w:wordWrap/>
        <w:overflowPunct/>
        <w:topLinePunct w:val="0"/>
        <w:autoSpaceDE/>
        <w:autoSpaceDN/>
        <w:bidi w:val="0"/>
        <w:adjustRightInd/>
        <w:spacing w:line="540" w:lineRule="exact"/>
        <w:ind w:firstLine="482" w:firstLineChars="1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rPr>
        <w:t>绩效自评报告</w:t>
      </w: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720" w:firstLineChars="200"/>
        <w:jc w:val="center"/>
        <w:textAlignment w:val="auto"/>
        <w:rPr>
          <w:rFonts w:hint="eastAsia" w:ascii="黑体" w:hAnsi="黑体" w:eastAsia="黑体" w:cs="黑体"/>
          <w:color w:val="auto"/>
          <w:kern w:val="0"/>
          <w:sz w:val="36"/>
          <w:szCs w:val="36"/>
          <w:highlight w:val="none"/>
        </w:rPr>
      </w:pPr>
      <w:r>
        <w:rPr>
          <w:rFonts w:hint="eastAsia" w:ascii="黑体" w:hAnsi="黑体" w:eastAsia="黑体" w:cs="黑体"/>
          <w:color w:val="auto"/>
          <w:kern w:val="0"/>
          <w:sz w:val="36"/>
          <w:szCs w:val="36"/>
          <w:highlight w:val="none"/>
        </w:rPr>
        <w:t>（</w:t>
      </w:r>
      <w:r>
        <w:rPr>
          <w:rFonts w:hint="eastAsia" w:ascii="黑体" w:hAnsi="黑体" w:eastAsia="黑体" w:cs="黑体"/>
          <w:color w:val="auto"/>
          <w:kern w:val="0"/>
          <w:sz w:val="36"/>
          <w:szCs w:val="36"/>
          <w:highlight w:val="none"/>
          <w:lang w:val="en-US" w:eastAsia="zh-CN"/>
        </w:rPr>
        <w:t>2023</w:t>
      </w:r>
      <w:r>
        <w:rPr>
          <w:rFonts w:hint="eastAsia" w:ascii="黑体" w:hAnsi="黑体" w:eastAsia="黑体" w:cs="黑体"/>
          <w:color w:val="auto"/>
          <w:kern w:val="0"/>
          <w:sz w:val="36"/>
          <w:szCs w:val="36"/>
          <w:highlight w:val="none"/>
        </w:rPr>
        <w:t>年度）</w:t>
      </w: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 xml:space="preserve">  </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lang w:val="en-US" w:eastAsia="zh-CN"/>
        </w:rPr>
      </w:pPr>
      <w:r>
        <w:rPr>
          <w:rFonts w:hint="eastAsia" w:ascii="仿宋" w:hAnsi="仿宋" w:eastAsia="仿宋" w:cs="仿宋"/>
          <w:color w:val="auto"/>
          <w:kern w:val="0"/>
          <w:sz w:val="36"/>
          <w:szCs w:val="36"/>
          <w:highlight w:val="none"/>
        </w:rPr>
        <w:t>部门单位名称（公章）：</w:t>
      </w:r>
      <w:r>
        <w:rPr>
          <w:rFonts w:hint="eastAsia" w:ascii="仿宋" w:hAnsi="仿宋" w:eastAsia="仿宋" w:cs="仿宋"/>
          <w:color w:val="auto"/>
          <w:kern w:val="0"/>
          <w:sz w:val="36"/>
          <w:szCs w:val="36"/>
          <w:highlight w:val="none"/>
          <w:lang w:eastAsia="zh-CN"/>
        </w:rPr>
        <w:t>库尔勒市合作交流中心</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填报时间：</w:t>
      </w:r>
      <w:r>
        <w:rPr>
          <w:rFonts w:hint="eastAsia" w:ascii="仿宋" w:hAnsi="仿宋" w:eastAsia="仿宋" w:cs="仿宋"/>
          <w:color w:val="auto"/>
          <w:kern w:val="0"/>
          <w:sz w:val="36"/>
          <w:szCs w:val="36"/>
          <w:highlight w:val="none"/>
          <w:lang w:val="en-US" w:eastAsia="zh-CN"/>
        </w:rPr>
        <w:t>2024</w:t>
      </w:r>
      <w:r>
        <w:rPr>
          <w:rFonts w:hint="eastAsia" w:ascii="仿宋" w:hAnsi="仿宋" w:eastAsia="仿宋" w:cs="仿宋"/>
          <w:color w:val="auto"/>
          <w:kern w:val="0"/>
          <w:sz w:val="36"/>
          <w:szCs w:val="36"/>
          <w:highlight w:val="none"/>
        </w:rPr>
        <w:t>年</w:t>
      </w:r>
      <w:r>
        <w:rPr>
          <w:rFonts w:hint="eastAsia" w:ascii="仿宋" w:hAnsi="仿宋" w:eastAsia="仿宋" w:cs="仿宋"/>
          <w:color w:val="auto"/>
          <w:kern w:val="0"/>
          <w:sz w:val="36"/>
          <w:szCs w:val="36"/>
          <w:highlight w:val="none"/>
          <w:lang w:val="en-US" w:eastAsia="zh-CN"/>
        </w:rPr>
        <w:t>4</w:t>
      </w:r>
      <w:r>
        <w:rPr>
          <w:rFonts w:hint="eastAsia" w:ascii="仿宋" w:hAnsi="仿宋" w:eastAsia="仿宋" w:cs="仿宋"/>
          <w:color w:val="auto"/>
          <w:kern w:val="0"/>
          <w:sz w:val="36"/>
          <w:szCs w:val="36"/>
          <w:highlight w:val="none"/>
        </w:rPr>
        <w:t>月</w:t>
      </w:r>
      <w:r>
        <w:rPr>
          <w:rFonts w:hint="eastAsia" w:ascii="仿宋" w:hAnsi="仿宋" w:eastAsia="仿宋" w:cs="仿宋"/>
          <w:color w:val="auto"/>
          <w:kern w:val="0"/>
          <w:sz w:val="36"/>
          <w:szCs w:val="36"/>
          <w:highlight w:val="none"/>
          <w:lang w:val="en-US" w:eastAsia="zh-CN"/>
        </w:rPr>
        <w:t>28</w:t>
      </w:r>
      <w:r>
        <w:rPr>
          <w:rFonts w:hint="eastAsia" w:ascii="仿宋" w:hAnsi="仿宋" w:eastAsia="仿宋" w:cs="仿宋"/>
          <w:color w:val="auto"/>
          <w:kern w:val="0"/>
          <w:sz w:val="36"/>
          <w:szCs w:val="36"/>
          <w:highlight w:val="none"/>
        </w:rPr>
        <w:t>日</w:t>
      </w:r>
    </w:p>
    <w:p>
      <w:pPr>
        <w:pageBreakBefore w:val="0"/>
        <w:kinsoku/>
        <w:wordWrap/>
        <w:overflowPunct/>
        <w:topLinePunct w:val="0"/>
        <w:autoSpaceDE/>
        <w:autoSpaceDN/>
        <w:bidi w:val="0"/>
        <w:adjustRightInd/>
        <w:ind w:firstLine="720" w:firstLineChars="200"/>
        <w:textAlignment w:val="auto"/>
        <w:rPr>
          <w:rFonts w:hAnsi="宋体" w:eastAsia="仿宋_GB2312" w:cs="宋体"/>
          <w:color w:val="auto"/>
          <w:kern w:val="0"/>
          <w:sz w:val="36"/>
          <w:szCs w:val="36"/>
          <w:highlight w:val="none"/>
        </w:rPr>
      </w:pPr>
      <w:r>
        <w:rPr>
          <w:rFonts w:hAnsi="宋体" w:eastAsia="仿宋_GB2312" w:cs="宋体"/>
          <w:color w:val="auto"/>
          <w:kern w:val="0"/>
          <w:sz w:val="36"/>
          <w:szCs w:val="36"/>
          <w:highlight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一、基本概况</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rPr>
      </w:pPr>
      <w:r>
        <w:rPr>
          <w:rStyle w:val="9"/>
          <w:rFonts w:hint="eastAsia" w:ascii="黑体" w:hAnsi="黑体" w:eastAsia="黑体" w:cs="黑体"/>
          <w:b w:val="0"/>
          <w:bCs/>
          <w:color w:val="auto"/>
          <w:spacing w:val="-4"/>
          <w:sz w:val="32"/>
          <w:szCs w:val="32"/>
          <w:highlight w:val="none"/>
          <w:lang w:val="en-US" w:eastAsia="zh-CN"/>
        </w:rPr>
        <w:t>(一)</w:t>
      </w:r>
      <w:r>
        <w:rPr>
          <w:rStyle w:val="9"/>
          <w:rFonts w:hint="eastAsia" w:ascii="黑体" w:hAnsi="黑体" w:eastAsia="黑体" w:cs="黑体"/>
          <w:b w:val="0"/>
          <w:bCs/>
          <w:color w:val="auto"/>
          <w:spacing w:val="-4"/>
          <w:sz w:val="32"/>
          <w:szCs w:val="32"/>
          <w:highlight w:val="none"/>
        </w:rPr>
        <w:t>部门单位基本情况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1.部门职能</w:t>
      </w:r>
    </w:p>
    <w:p>
      <w:pPr>
        <w:snapToGrid w:val="0"/>
        <w:spacing w:line="520" w:lineRule="exact"/>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sz w:val="32"/>
          <w:szCs w:val="32"/>
          <w:highlight w:val="none"/>
          <w:lang w:eastAsia="zh-CN"/>
        </w:rPr>
        <w:t>）提供接待服务，保障市委接待工作贯彻落实。</w:t>
      </w:r>
    </w:p>
    <w:p>
      <w:pPr>
        <w:snapToGrid w:val="0"/>
        <w:spacing w:line="520" w:lineRule="exact"/>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lang w:eastAsia="zh-CN"/>
        </w:rPr>
        <w:t>）拟定公务接待工作规范。</w:t>
      </w:r>
    </w:p>
    <w:p>
      <w:pPr>
        <w:snapToGrid w:val="0"/>
        <w:spacing w:line="52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3）负责副县级以上领导同志各类调研、考察工作组和全市大型会议、活动的公务接待。</w:t>
      </w:r>
    </w:p>
    <w:p>
      <w:pPr>
        <w:snapToGrid w:val="0"/>
        <w:spacing w:line="52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（4）负责市党政代表团赴区内外考察学习、交流联络工作。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2.部门机构人员构成情况</w:t>
      </w:r>
    </w:p>
    <w:p>
      <w:pPr>
        <w:pStyle w:val="6"/>
        <w:keepNext w:val="0"/>
        <w:keepLines w:val="0"/>
        <w:pageBreakBefore w:val="0"/>
        <w:widowControl/>
        <w:kinsoku/>
        <w:wordWrap/>
        <w:overflowPunct/>
        <w:topLinePunct w:val="0"/>
        <w:autoSpaceDE/>
        <w:autoSpaceDN/>
        <w:bidi w:val="0"/>
        <w:adjustRightInd/>
        <w:snapToGrid/>
        <w:spacing w:before="40" w:beforeAutospacing="0" w:after="0" w:afterAutospacing="0" w:line="600" w:lineRule="exact"/>
        <w:ind w:firstLine="640" w:firstLineChars="200"/>
        <w:jc w:val="both"/>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库尔勒市合作交流中心编制数4人，实有人数4人，其中：在职4人；退休0人；离休0人。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(二)部门单位年度重点工作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1.2023年度工作计划</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bCs/>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一是规范公务接待管理。按照“有利公务、务实节俭、严格标准”原则，围绕“细致</w:t>
      </w:r>
      <w:r>
        <w:rPr>
          <w:rFonts w:hint="eastAsia" w:ascii="仿宋" w:hAnsi="仿宋" w:eastAsia="仿宋" w:cs="仿宋"/>
          <w:color w:val="auto"/>
          <w:sz w:val="32"/>
          <w:szCs w:val="32"/>
          <w:highlight w:val="none"/>
          <w:lang w:val="en-US" w:eastAsia="zh-CN"/>
        </w:rPr>
        <w:t>、精致、极致”的目标，认真贯彻落实中央八项规定，严格控制公务接待标准，严格控制用餐标准，在接待陪餐人数上严格把关；公务接待禁止提供香烟。坚持“勤俭节约、优质服务、从严控制”的原则，在工作中抓住任务安排、跟踪服务和经费结算三个重要环节。对重大接待任务涉及的住宿、就餐等进行总体安排，做好接待经费预算，按预算从严从紧控制。严格控制接待经费，各类接待严格按照《库尔勒市党政机关公务接待管理规定》，认真把好标准关，坚决杜绝超标准接待和铺张浪费现象，做到坚持原则，令行禁止。同时，健全完善日接待汇报市委、市</w:t>
      </w:r>
      <w:bookmarkStart w:id="0" w:name="_GoBack"/>
      <w:bookmarkEnd w:id="0"/>
      <w:r>
        <w:rPr>
          <w:rFonts w:hint="eastAsia" w:ascii="仿宋" w:hAnsi="仿宋" w:eastAsia="仿宋" w:cs="仿宋"/>
          <w:color w:val="auto"/>
          <w:sz w:val="32"/>
          <w:szCs w:val="32"/>
          <w:highlight w:val="none"/>
          <w:lang w:val="en-US" w:eastAsia="zh-CN"/>
        </w:rPr>
        <w:t>政府办公室制度，实行每月进行总结，查找不足，及时纠改，提高工作效率。在公务活动中，与接待对象紧密对接、提前安排、精细服务，完成市四套班子领导交办的各项接待任务。</w:t>
      </w:r>
    </w:p>
    <w:p>
      <w:pPr>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二是严格公务接待程序。始终落实公务接待“先审批后接待”程序，做到无公函</w:t>
      </w:r>
      <w:r>
        <w:rPr>
          <w:rFonts w:hint="eastAsia" w:ascii="仿宋" w:hAnsi="仿宋" w:eastAsia="仿宋" w:cs="仿宋"/>
          <w:color w:val="auto"/>
          <w:sz w:val="32"/>
          <w:szCs w:val="32"/>
          <w:highlight w:val="none"/>
          <w:lang w:val="en-US" w:eastAsia="zh-CN"/>
        </w:rPr>
        <w:t>的公务活动和来访人员一律不予接待，全年共计划完成400批次，约5000人次的公务接待工作。</w:t>
      </w:r>
    </w:p>
    <w:p>
      <w:pPr>
        <w:ind w:firstLine="640" w:firstLineChars="200"/>
        <w:rPr>
          <w:rFonts w:hint="eastAsia" w:ascii="仿宋" w:hAnsi="仿宋" w:eastAsia="仿宋" w:cs="仿宋"/>
          <w:b/>
          <w:bCs/>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三是挖掘公务接待亮点。</w:t>
      </w:r>
      <w:r>
        <w:rPr>
          <w:rFonts w:hint="eastAsia" w:ascii="仿宋" w:hAnsi="仿宋" w:eastAsia="仿宋" w:cs="仿宋"/>
          <w:color w:val="auto"/>
          <w:sz w:val="32"/>
          <w:szCs w:val="32"/>
          <w:highlight w:val="none"/>
          <w:lang w:val="en-US" w:eastAsia="zh-CN"/>
        </w:rPr>
        <w:t>结合我市实际情况，采取各项服务措施，从接待员细致周到的引导服务，到餐饮安排的菜肴推陈出新，接待用餐在菜肴的量和产地上（以地方时令菜品为主）供应家常菜品。如：接待就餐中以当地食材为主，餐前上本市特色水果香梨等时令水果等，积极推介库尔勒市特色，打造具有地方接待特色的品牌，注重推出我市乡土人情、城市文化，使每一位来库尔勒的领导和商客留下深刻印象，提高了公务接待的美誉度及良好的接待品牌形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四是提升公务接待水平。在公务接</w:t>
      </w:r>
      <w:r>
        <w:rPr>
          <w:rFonts w:hint="eastAsia" w:ascii="仿宋" w:hAnsi="仿宋" w:eastAsia="仿宋" w:cs="仿宋"/>
          <w:color w:val="auto"/>
          <w:sz w:val="32"/>
          <w:szCs w:val="32"/>
          <w:highlight w:val="none"/>
          <w:lang w:val="en-US" w:eastAsia="zh-CN"/>
        </w:rPr>
        <w:t xml:space="preserve">待中，始终把执行《中央八项规定》作为切入口，聚焦作风建设，坚决反对“四风”。大力弘扬严于律己、勤奋敬业、勤俭节约、求实创新的工作作风。在创新上，不断增强服务意识，制定切实可行的工作措施，坚持做到把接待工作规范化、细致化，与围绕中心服务大局结合起来，坚持把科学管理与提高接待服务质量结合起来，坚持把提升保障能力与降低成本结合起来。在完成各项接待工作的同时，结合实际，集思广益，挖掘潜力，不断创新接待服务理念、意识和产品。   </w:t>
      </w:r>
    </w:p>
    <w:p>
      <w:pPr>
        <w:pStyle w:val="3"/>
        <w:pageBreakBefore w:val="0"/>
        <w:kinsoku/>
        <w:wordWrap/>
        <w:overflowPunct/>
        <w:topLinePunct w:val="0"/>
        <w:autoSpaceDE/>
        <w:autoSpaceDN/>
        <w:bidi w:val="0"/>
        <w:adjustRightInd/>
        <w:spacing w:line="600" w:lineRule="exact"/>
        <w:ind w:firstLine="640" w:firstLineChars="200"/>
        <w:textAlignment w:val="auto"/>
        <w:rPr>
          <w:rFonts w:hint="eastAsia" w:ascii="黑体" w:hAnsi="黑体" w:eastAsia="黑体" w:cs="黑体"/>
          <w:color w:val="auto"/>
          <w:highlight w:val="none"/>
          <w:lang w:val="en-US" w:eastAsia="zh-CN"/>
        </w:rPr>
      </w:pPr>
      <w:r>
        <w:rPr>
          <w:rFonts w:hint="eastAsia" w:ascii="黑体" w:hAnsi="黑体" w:eastAsia="黑体" w:cs="黑体"/>
          <w:b w:val="0"/>
          <w:bCs/>
          <w:color w:val="auto"/>
          <w:sz w:val="32"/>
          <w:szCs w:val="32"/>
          <w:highlight w:val="none"/>
          <w:lang w:val="en-US" w:eastAsia="zh-CN"/>
        </w:rPr>
        <w:t>2.机构人员保障情况</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库尔勒市合作交流中心2023年通过本部门预算支出，确保了4名在职人员的工资、津贴、补贴、社保、绩效、公积金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(三)部门单位整体预算规模及安排情况</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1.年初预算安排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2023年我部门年初安排预算数为175.90万元，其中:上级安排0.00万元,本级安排175.90万元，其他资金0.00万元。</w:t>
      </w:r>
    </w:p>
    <w:p>
      <w:pPr>
        <w:pStyle w:val="3"/>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综上所述，部门预算安排与本单位职能关联度较高，预算安排结构清晰明了，能够直观展示各项费用的分配情况，预算规模合理，为单位的稳健发展和高效运行提供了有力保障。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2.预算年中调整情况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我部门年初安排预算数175.90万元，年中调整数-18.03万元，调整后全年预算数157.87万元，预算调整率10.25%。</w:t>
      </w:r>
    </w:p>
    <w:p>
      <w:pPr>
        <w:pStyle w:val="3"/>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highlight w:val="none"/>
          <w:lang w:val="en-US" w:eastAsia="zh-CN" w:bidi="ar-SA"/>
        </w:rPr>
      </w:pPr>
      <w:r>
        <w:rPr>
          <w:rFonts w:hint="eastAsia" w:ascii="仿宋" w:hAnsi="仿宋" w:eastAsia="仿宋" w:cs="仿宋"/>
          <w:b w:val="0"/>
          <w:bCs/>
          <w:color w:val="auto"/>
          <w:kern w:val="2"/>
          <w:sz w:val="32"/>
          <w:szCs w:val="32"/>
          <w:highlight w:val="none"/>
          <w:lang w:val="en-US" w:eastAsia="zh-CN" w:bidi="ar-SA"/>
        </w:rPr>
        <w:t>综上所述，年中预算调整幅度与本单位运转情况和履职情况相匹配，未出现资金收支不平衡以及债务风险等负面影响，确保了预算调整的合理性和必要性。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eastAsia="zh-CN"/>
        </w:rPr>
      </w:pPr>
      <w:r>
        <w:rPr>
          <w:rFonts w:hint="eastAsia" w:ascii="黑体" w:hAnsi="黑体" w:eastAsia="黑体" w:cs="黑体"/>
          <w:b w:val="0"/>
          <w:bCs/>
          <w:color w:val="auto"/>
          <w:sz w:val="32"/>
          <w:szCs w:val="32"/>
          <w:highlight w:val="none"/>
          <w:lang w:val="en-US" w:eastAsia="zh-CN"/>
        </w:rPr>
        <w:t>3.资金使用主要内容、涉及的范围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我单位2023年度部门整体支出为157.87万元，其中：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（1）基本支出</w:t>
      </w:r>
      <w:r>
        <w:rPr>
          <w:rFonts w:hint="eastAsia" w:ascii="仿宋" w:hAnsi="仿宋" w:eastAsia="仿宋" w:cs="仿宋"/>
          <w:b w:val="0"/>
          <w:bCs/>
          <w:color w:val="auto"/>
          <w:sz w:val="32"/>
          <w:szCs w:val="32"/>
          <w:highlight w:val="none"/>
          <w:lang w:val="en-US" w:eastAsia="zh-CN"/>
        </w:rPr>
        <w:t>157.87</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color w:val="auto"/>
          <w:kern w:val="2"/>
          <w:sz w:val="32"/>
          <w:szCs w:val="32"/>
          <w:highlight w:val="none"/>
          <w:lang w:val="en-US" w:eastAsia="zh-CN" w:bidi="ar-SA"/>
        </w:rPr>
        <w:t>基本工资、津贴补贴、奖金、绩效工资、机关事业单位基本养老保险缴费、职工基本医疗保险缴费、其他社会保障缴费、住房公积金、</w:t>
      </w:r>
      <w:r>
        <w:rPr>
          <w:rFonts w:hint="eastAsia" w:ascii="仿宋" w:hAnsi="仿宋" w:eastAsia="仿宋" w:cs="仿宋"/>
          <w:color w:val="auto"/>
          <w:sz w:val="32"/>
          <w:szCs w:val="32"/>
          <w:highlight w:val="none"/>
          <w:lang w:val="en-US" w:eastAsia="zh-CN"/>
        </w:rPr>
        <w:t>办公费、工会经费、公务接待费、公务用车运行维护费</w:t>
      </w:r>
      <w:r>
        <w:rPr>
          <w:rFonts w:hint="eastAsia" w:ascii="仿宋" w:hAnsi="仿宋" w:eastAsia="仿宋" w:cs="仿宋"/>
          <w:color w:val="auto"/>
          <w:kern w:val="2"/>
          <w:sz w:val="32"/>
          <w:szCs w:val="32"/>
          <w:highlight w:val="none"/>
          <w:lang w:val="en-US" w:eastAsia="zh-CN" w:bidi="ar-SA"/>
        </w:rPr>
        <w:t>等。</w:t>
      </w:r>
    </w:p>
    <w:p>
      <w:pPr>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（2）项目支出</w:t>
      </w:r>
      <w:r>
        <w:rPr>
          <w:rFonts w:hint="eastAsia" w:ascii="仿宋" w:hAnsi="仿宋" w:eastAsia="仿宋" w:cs="仿宋"/>
          <w:b w:val="0"/>
          <w:bCs/>
          <w:color w:val="auto"/>
          <w:sz w:val="32"/>
          <w:szCs w:val="32"/>
          <w:highlight w:val="none"/>
          <w:lang w:val="en-US" w:eastAsia="zh-CN"/>
        </w:rPr>
        <w:t>0.00</w:t>
      </w:r>
      <w:r>
        <w:rPr>
          <w:rFonts w:hint="eastAsia" w:ascii="仿宋" w:hAnsi="仿宋" w:eastAsia="仿宋" w:cs="仿宋"/>
          <w:color w:val="auto"/>
          <w:sz w:val="32"/>
          <w:szCs w:val="32"/>
          <w:highlight w:val="none"/>
          <w:lang w:val="en-US"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二、部门单位整体支出管理及使用情况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（一）基本支出投入、管理和使用情况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1.基本支出投入和使用情况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2023年我部门基本支出年初预算安排175.90万元，全年预算数157.87万元，全年实际支出数157.87万元，其中：人员经费65.58万元，公用经费92.29万元。全年预算执行率100%。</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2.基本支出管理情况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基本支出严格按照财务管理制度执行。人员工资由相关部门严格审核，按月申报及发放。基本公用经费主要用于支付单位日常的办公费、公务接待费、车辆运行维护费等。公务用车运行维护费主要用于单位车辆加油、维修及购买车辆保险。</w:t>
      </w:r>
    </w:p>
    <w:p>
      <w:pPr>
        <w:pStyle w:val="3"/>
        <w:keepNext/>
        <w:keepLines/>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（二）项目支出投入、管理和使用情况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本单位2023年未安排项目支出。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Style w:val="9"/>
          <w:rFonts w:hint="eastAsia" w:ascii="仿宋_GB2312" w:hAnsi="楷体" w:eastAsia="仿宋_GB2312" w:cs="Times New Roman"/>
          <w:b w:val="0"/>
          <w:color w:val="auto"/>
          <w:spacing w:val="-4"/>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三、部门单位整体支出绩效分析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我单位将部门单位整体绩效目标细化分解为具体的绩效指标，一级指标共2条，二级指标共2条，三级指标共3条，其中量化指标条数共3条，所有绩效指标均通过清晰、可衡量的指标值予以体现。</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（一）指标一：运行成本</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（二）指标二：管理效率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（三）指标三：履职效能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数量指标1：公务接待批次,预期指标值为：≥400批次；监控节点完成值：=200批次；评价实际完成值：=400批次；指标完成率：100%；成效分析：</w:t>
      </w:r>
      <w:r>
        <w:rPr>
          <w:rStyle w:val="9"/>
          <w:rFonts w:hint="eastAsia" w:ascii="仿宋" w:hAnsi="仿宋" w:eastAsia="仿宋" w:cs="仿宋"/>
          <w:b w:val="0"/>
          <w:bCs/>
          <w:color w:val="auto"/>
          <w:spacing w:val="-4"/>
          <w:sz w:val="32"/>
          <w:szCs w:val="32"/>
          <w:highlight w:val="none"/>
          <w:lang w:val="en-US" w:eastAsia="zh-CN"/>
        </w:rPr>
        <w:t>通过单位正常运转</w:t>
      </w:r>
      <w:r>
        <w:rPr>
          <w:rStyle w:val="9"/>
          <w:rFonts w:hint="eastAsia" w:ascii="仿宋" w:hAnsi="仿宋" w:eastAsia="仿宋" w:cs="仿宋"/>
          <w:b w:val="0"/>
          <w:color w:val="auto"/>
          <w:spacing w:val="-4"/>
          <w:sz w:val="32"/>
          <w:szCs w:val="32"/>
          <w:highlight w:val="none"/>
          <w:lang w:val="en-US" w:eastAsia="zh-CN"/>
        </w:rPr>
        <w:t>，提高了公务接待水平。</w:t>
      </w:r>
    </w:p>
    <w:p>
      <w:pPr>
        <w:pStyle w:val="3"/>
        <w:keepNext/>
        <w:keepLines/>
        <w:pageBreakBefore w:val="0"/>
        <w:widowControl w:val="0"/>
        <w:kinsoku/>
        <w:wordWrap/>
        <w:overflowPunct/>
        <w:topLinePunct w:val="0"/>
        <w:autoSpaceDE/>
        <w:autoSpaceDN/>
        <w:bidi w:val="0"/>
        <w:adjustRightInd/>
        <w:snapToGrid/>
        <w:ind w:firstLine="624" w:firstLineChars="200"/>
        <w:textAlignment w:val="auto"/>
        <w:rPr>
          <w:rFonts w:hint="eastAsia"/>
          <w:color w:val="auto"/>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数量指标2：公务接待人数,预期指标值为：≥5000人次；监控节点完成值：=2500人次；评价实际完成值：=5000人次；指标完成率：100%；成效分析：通过单位正常运转，提高了公务接待保障能力。</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（四）指标四：社会效益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（五）指标五：可持续发展能力</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（六）指标六：服务对象满意度</w:t>
      </w:r>
    </w:p>
    <w:p>
      <w:pPr>
        <w:pageBreakBefore w:val="0"/>
        <w:kinsoku/>
        <w:wordWrap/>
        <w:overflowPunct/>
        <w:topLinePunct w:val="0"/>
        <w:autoSpaceDE/>
        <w:autoSpaceDN/>
        <w:bidi w:val="0"/>
        <w:adjustRightInd/>
        <w:spacing w:line="600" w:lineRule="exact"/>
        <w:ind w:firstLine="624" w:firstLineChars="200"/>
        <w:textAlignment w:val="auto"/>
        <w:rPr>
          <w:rFonts w:hint="eastAsia" w:ascii="仿宋" w:hAnsi="仿宋" w:eastAsia="仿宋" w:cs="仿宋"/>
          <w:color w:val="auto"/>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满意度指标1：接待对象满意度,预期指标值为：≥95%；监控节点完成值：=95%；评价实际完成值：=95%；指标完成率：100%；成效分析：</w:t>
      </w:r>
      <w:r>
        <w:rPr>
          <w:rStyle w:val="9"/>
          <w:rFonts w:hint="eastAsia" w:ascii="仿宋" w:hAnsi="仿宋" w:eastAsia="仿宋" w:cs="仿宋"/>
          <w:b w:val="0"/>
          <w:bCs/>
          <w:color w:val="auto"/>
          <w:spacing w:val="-4"/>
          <w:sz w:val="32"/>
          <w:szCs w:val="32"/>
          <w:highlight w:val="none"/>
          <w:lang w:val="en-US" w:eastAsia="zh-CN"/>
        </w:rPr>
        <w:t>通过单位正常运转</w:t>
      </w:r>
      <w:r>
        <w:rPr>
          <w:rStyle w:val="9"/>
          <w:rFonts w:hint="eastAsia" w:ascii="仿宋" w:hAnsi="仿宋" w:eastAsia="仿宋" w:cs="仿宋"/>
          <w:b w:val="0"/>
          <w:color w:val="auto"/>
          <w:spacing w:val="-4"/>
          <w:sz w:val="32"/>
          <w:szCs w:val="32"/>
          <w:highlight w:val="none"/>
          <w:lang w:val="en-US" w:eastAsia="zh-CN"/>
        </w:rPr>
        <w:t>，提高了接待对象满意度。</w:t>
      </w:r>
    </w:p>
    <w:p>
      <w:pPr>
        <w:pStyle w:val="13"/>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ascii="黑体" w:hAnsi="黑体" w:eastAsia="黑体"/>
          <w:b w:val="0"/>
          <w:bCs w:val="0"/>
          <w:color w:val="auto"/>
          <w:spacing w:val="-4"/>
          <w:sz w:val="32"/>
          <w:szCs w:val="32"/>
          <w:highlight w:val="none"/>
        </w:rPr>
      </w:pPr>
      <w:r>
        <w:rPr>
          <w:rStyle w:val="9"/>
          <w:rFonts w:hint="eastAsia" w:ascii="黑体" w:hAnsi="黑体" w:eastAsia="黑体"/>
          <w:b w:val="0"/>
          <w:bCs w:val="0"/>
          <w:color w:val="auto"/>
          <w:spacing w:val="-4"/>
          <w:sz w:val="32"/>
          <w:szCs w:val="32"/>
          <w:highlight w:val="none"/>
          <w:lang w:val="en-US" w:eastAsia="zh-CN"/>
        </w:rPr>
        <w:t>四、</w:t>
      </w:r>
      <w:r>
        <w:rPr>
          <w:rStyle w:val="9"/>
          <w:rFonts w:hint="eastAsia" w:ascii="黑体" w:hAnsi="黑体" w:eastAsia="黑体"/>
          <w:b w:val="0"/>
          <w:bCs w:val="0"/>
          <w:color w:val="auto"/>
          <w:spacing w:val="-4"/>
          <w:sz w:val="32"/>
          <w:szCs w:val="32"/>
          <w:highlight w:val="none"/>
          <w:lang w:eastAsia="zh-CN"/>
        </w:rPr>
        <w:t>评价结论</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本部门严格按照科学公正、统筹兼顾、激励约束、公开透明的绩效评价原则，对本部门预算执行情况、部门单位整体支出管理及使用情况、部门单位整体支出绩效指标完成情况等进行了综合评价。</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2023年度部门整体支出绩效自评综合得分100分，评价结果为“优”。</w:t>
      </w:r>
    </w:p>
    <w:p>
      <w:pPr>
        <w:pStyle w:val="13"/>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hint="eastAsia" w:ascii="黑体" w:hAnsi="黑体" w:eastAsia="黑体" w:cs="黑体"/>
          <w:b w:val="0"/>
          <w:bCs w:val="0"/>
          <w:color w:val="auto"/>
          <w:spacing w:val="-4"/>
          <w:sz w:val="32"/>
          <w:szCs w:val="32"/>
          <w:highlight w:val="none"/>
        </w:rPr>
      </w:pPr>
      <w:r>
        <w:rPr>
          <w:rStyle w:val="9"/>
          <w:rFonts w:hint="eastAsia" w:ascii="黑体" w:hAnsi="黑体" w:eastAsia="黑体" w:cs="黑体"/>
          <w:b w:val="0"/>
          <w:bCs w:val="0"/>
          <w:color w:val="auto"/>
          <w:spacing w:val="-4"/>
          <w:sz w:val="32"/>
          <w:szCs w:val="32"/>
          <w:highlight w:val="none"/>
          <w:lang w:val="en-US" w:eastAsia="zh-CN"/>
        </w:rPr>
        <w:t>五、</w:t>
      </w:r>
      <w:r>
        <w:rPr>
          <w:rStyle w:val="9"/>
          <w:rFonts w:hint="eastAsia" w:ascii="黑体" w:hAnsi="黑体" w:eastAsia="黑体" w:cs="黑体"/>
          <w:b w:val="0"/>
          <w:bCs w:val="0"/>
          <w:color w:val="auto"/>
          <w:spacing w:val="-4"/>
          <w:sz w:val="32"/>
          <w:szCs w:val="32"/>
          <w:highlight w:val="none"/>
        </w:rPr>
        <w:t>存在的主要问题</w:t>
      </w:r>
      <w:r>
        <w:rPr>
          <w:rStyle w:val="9"/>
          <w:rFonts w:hint="eastAsia" w:ascii="黑体" w:hAnsi="黑体" w:eastAsia="黑体" w:cs="黑体"/>
          <w:b w:val="0"/>
          <w:bCs w:val="0"/>
          <w:color w:val="auto"/>
          <w:spacing w:val="-4"/>
          <w:sz w:val="32"/>
          <w:szCs w:val="32"/>
          <w:highlight w:val="none"/>
          <w:lang w:eastAsia="zh-CN"/>
        </w:rPr>
        <w:t>及原因分析</w:t>
      </w:r>
    </w:p>
    <w:p>
      <w:pPr>
        <w:keepNext w:val="0"/>
        <w:keepLines w:val="0"/>
        <w:pageBreakBefore w:val="0"/>
        <w:kinsoku/>
        <w:wordWrap/>
        <w:overflowPunct/>
        <w:topLinePunct w:val="0"/>
        <w:autoSpaceDE/>
        <w:autoSpaceDN/>
        <w:bidi w:val="0"/>
        <w:spacing w:line="560" w:lineRule="exact"/>
        <w:ind w:firstLine="624" w:firstLineChars="200"/>
        <w:jc w:val="both"/>
        <w:textAlignment w:val="auto"/>
        <w:rPr>
          <w:rStyle w:val="9"/>
          <w:rFonts w:hint="eastAsia" w:ascii="仿宋" w:hAnsi="仿宋" w:eastAsia="仿宋" w:cs="仿宋"/>
          <w:b w:val="0"/>
          <w:bCs w:val="0"/>
          <w:color w:val="auto"/>
          <w:spacing w:val="-4"/>
          <w:sz w:val="32"/>
          <w:szCs w:val="32"/>
          <w:highlight w:val="none"/>
          <w:lang w:val="en-US" w:eastAsia="zh-CN"/>
        </w:rPr>
      </w:pPr>
      <w:r>
        <w:rPr>
          <w:rStyle w:val="9"/>
          <w:rFonts w:hint="eastAsia" w:ascii="仿宋" w:hAnsi="仿宋" w:eastAsia="仿宋" w:cs="仿宋"/>
          <w:b w:val="0"/>
          <w:bCs w:val="0"/>
          <w:color w:val="auto"/>
          <w:spacing w:val="-4"/>
          <w:sz w:val="32"/>
          <w:szCs w:val="32"/>
          <w:highlight w:val="none"/>
          <w:lang w:val="en-US" w:eastAsia="zh-CN"/>
        </w:rPr>
        <w:t>2023年本单位基本支出绩效目标全部完成，不存在未完成绩效目标情况。但在资金管理等方面仍存在部分问题，具体如下：</w:t>
      </w:r>
    </w:p>
    <w:p>
      <w:pPr>
        <w:keepNext w:val="0"/>
        <w:keepLines w:val="0"/>
        <w:pageBreakBefore w:val="0"/>
        <w:kinsoku/>
        <w:wordWrap/>
        <w:overflowPunct/>
        <w:topLinePunct w:val="0"/>
        <w:autoSpaceDE/>
        <w:autoSpaceDN/>
        <w:bidi w:val="0"/>
        <w:spacing w:line="560" w:lineRule="exact"/>
        <w:ind w:firstLine="627" w:firstLineChars="200"/>
        <w:jc w:val="both"/>
        <w:textAlignment w:val="auto"/>
        <w:rPr>
          <w:rStyle w:val="9"/>
          <w:rFonts w:hint="eastAsia" w:ascii="仿宋" w:hAnsi="仿宋" w:eastAsia="仿宋" w:cs="仿宋"/>
          <w:b w:val="0"/>
          <w:bCs w:val="0"/>
          <w:color w:val="auto"/>
          <w:spacing w:val="-4"/>
          <w:sz w:val="32"/>
          <w:szCs w:val="32"/>
          <w:highlight w:val="none"/>
          <w:lang w:val="en-US" w:eastAsia="zh-CN"/>
        </w:rPr>
      </w:pPr>
      <w:r>
        <w:rPr>
          <w:rStyle w:val="9"/>
          <w:rFonts w:hint="eastAsia" w:ascii="仿宋" w:hAnsi="仿宋" w:eastAsia="仿宋" w:cs="仿宋"/>
          <w:b/>
          <w:bCs/>
          <w:color w:val="auto"/>
          <w:spacing w:val="-4"/>
          <w:sz w:val="32"/>
          <w:szCs w:val="32"/>
          <w:highlight w:val="none"/>
          <w:lang w:val="en-US" w:eastAsia="zh-CN"/>
        </w:rPr>
        <w:t>一是</w:t>
      </w:r>
      <w:r>
        <w:rPr>
          <w:rStyle w:val="9"/>
          <w:rFonts w:hint="eastAsia" w:ascii="仿宋" w:hAnsi="仿宋" w:eastAsia="仿宋" w:cs="仿宋"/>
          <w:b w:val="0"/>
          <w:bCs w:val="0"/>
          <w:color w:val="auto"/>
          <w:spacing w:val="-4"/>
          <w:sz w:val="32"/>
          <w:szCs w:val="32"/>
          <w:highlight w:val="none"/>
        </w:rPr>
        <w:t>对</w:t>
      </w:r>
      <w:r>
        <w:rPr>
          <w:rFonts w:hint="eastAsia" w:ascii="仿宋" w:hAnsi="仿宋" w:eastAsia="仿宋" w:cs="仿宋"/>
          <w:color w:val="auto"/>
          <w:sz w:val="32"/>
          <w:szCs w:val="32"/>
          <w:highlight w:val="none"/>
          <w:lang w:val="en-US" w:eastAsia="zh-CN"/>
        </w:rPr>
        <w:t>预算绩效</w:t>
      </w:r>
      <w:r>
        <w:rPr>
          <w:rStyle w:val="9"/>
          <w:rFonts w:hint="eastAsia" w:ascii="仿宋" w:hAnsi="仿宋" w:eastAsia="仿宋" w:cs="仿宋"/>
          <w:b w:val="0"/>
          <w:bCs w:val="0"/>
          <w:color w:val="auto"/>
          <w:spacing w:val="-4"/>
          <w:sz w:val="32"/>
          <w:szCs w:val="32"/>
          <w:highlight w:val="none"/>
        </w:rPr>
        <w:t>的认识</w:t>
      </w:r>
      <w:r>
        <w:rPr>
          <w:rStyle w:val="9"/>
          <w:rFonts w:hint="eastAsia" w:ascii="仿宋" w:hAnsi="仿宋" w:eastAsia="仿宋" w:cs="仿宋"/>
          <w:b w:val="0"/>
          <w:bCs w:val="0"/>
          <w:color w:val="auto"/>
          <w:spacing w:val="-4"/>
          <w:sz w:val="32"/>
          <w:szCs w:val="32"/>
          <w:highlight w:val="none"/>
          <w:lang w:eastAsia="zh-CN"/>
        </w:rPr>
        <w:t>还</w:t>
      </w:r>
      <w:r>
        <w:rPr>
          <w:rStyle w:val="9"/>
          <w:rFonts w:hint="eastAsia" w:ascii="仿宋" w:hAnsi="仿宋" w:eastAsia="仿宋" w:cs="仿宋"/>
          <w:b w:val="0"/>
          <w:bCs w:val="0"/>
          <w:color w:val="auto"/>
          <w:spacing w:val="-4"/>
          <w:sz w:val="32"/>
          <w:szCs w:val="32"/>
          <w:highlight w:val="none"/>
        </w:rPr>
        <w:t>不够深入，</w:t>
      </w:r>
      <w:r>
        <w:rPr>
          <w:rFonts w:hint="eastAsia" w:ascii="仿宋" w:hAnsi="仿宋" w:eastAsia="仿宋" w:cs="仿宋"/>
          <w:color w:val="auto"/>
          <w:sz w:val="32"/>
          <w:szCs w:val="32"/>
          <w:highlight w:val="none"/>
          <w:lang w:val="en-US" w:eastAsia="zh-CN"/>
        </w:rPr>
        <w:t>相关知识了解还不够、掌握还不够多，</w:t>
      </w:r>
      <w:r>
        <w:rPr>
          <w:rStyle w:val="9"/>
          <w:rFonts w:hint="eastAsia" w:ascii="仿宋" w:hAnsi="仿宋" w:eastAsia="仿宋" w:cs="仿宋"/>
          <w:b w:val="0"/>
          <w:bCs w:val="0"/>
          <w:color w:val="auto"/>
          <w:spacing w:val="-4"/>
          <w:sz w:val="32"/>
          <w:szCs w:val="32"/>
          <w:highlight w:val="none"/>
        </w:rPr>
        <w:t>把绩效管理简单等同于工作目标、工作考核和业务管理</w:t>
      </w:r>
      <w:r>
        <w:rPr>
          <w:rStyle w:val="9"/>
          <w:rFonts w:hint="eastAsia" w:ascii="仿宋" w:hAnsi="仿宋" w:eastAsia="仿宋" w:cs="仿宋"/>
          <w:b w:val="0"/>
          <w:bCs w:val="0"/>
          <w:color w:val="auto"/>
          <w:spacing w:val="-4"/>
          <w:sz w:val="32"/>
          <w:szCs w:val="32"/>
          <w:highlight w:val="none"/>
          <w:lang w:eastAsia="zh-CN"/>
        </w:rPr>
        <w:t>；</w:t>
      </w:r>
      <w:r>
        <w:rPr>
          <w:rStyle w:val="9"/>
          <w:rFonts w:hint="eastAsia" w:ascii="仿宋" w:hAnsi="仿宋" w:eastAsia="仿宋" w:cs="仿宋"/>
          <w:b/>
          <w:bCs/>
          <w:color w:val="auto"/>
          <w:spacing w:val="-4"/>
          <w:sz w:val="32"/>
          <w:szCs w:val="32"/>
          <w:highlight w:val="none"/>
          <w:lang w:val="en-US" w:eastAsia="zh-CN"/>
        </w:rPr>
        <w:t>二是</w:t>
      </w:r>
      <w:r>
        <w:rPr>
          <w:rFonts w:hint="eastAsia" w:ascii="仿宋" w:hAnsi="仿宋" w:eastAsia="仿宋" w:cs="仿宋"/>
          <w:color w:val="auto"/>
          <w:sz w:val="32"/>
          <w:szCs w:val="32"/>
          <w:highlight w:val="none"/>
        </w:rPr>
        <w:t>资金管理水平有待</w:t>
      </w:r>
      <w:r>
        <w:rPr>
          <w:rFonts w:hint="eastAsia" w:ascii="仿宋" w:hAnsi="仿宋" w:eastAsia="仿宋" w:cs="仿宋"/>
          <w:color w:val="auto"/>
          <w:sz w:val="32"/>
          <w:szCs w:val="32"/>
          <w:highlight w:val="none"/>
          <w:lang w:eastAsia="zh-CN"/>
        </w:rPr>
        <w:t>进一步</w:t>
      </w:r>
      <w:r>
        <w:rPr>
          <w:rFonts w:hint="eastAsia" w:ascii="仿宋" w:hAnsi="仿宋" w:eastAsia="仿宋" w:cs="仿宋"/>
          <w:color w:val="auto"/>
          <w:sz w:val="32"/>
          <w:szCs w:val="32"/>
          <w:highlight w:val="none"/>
        </w:rPr>
        <w:t>提高</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财务审核还需进一步加强</w:t>
      </w:r>
      <w:r>
        <w:rPr>
          <w:rStyle w:val="9"/>
          <w:rFonts w:hint="eastAsia" w:ascii="仿宋" w:hAnsi="仿宋" w:eastAsia="仿宋" w:cs="仿宋"/>
          <w:b w:val="0"/>
          <w:bCs w:val="0"/>
          <w:color w:val="auto"/>
          <w:spacing w:val="-4"/>
          <w:sz w:val="32"/>
          <w:szCs w:val="32"/>
          <w:highlight w:val="none"/>
          <w:lang w:val="en-US" w:eastAsia="zh-CN"/>
        </w:rPr>
        <w:t>。</w:t>
      </w:r>
    </w:p>
    <w:p>
      <w:pPr>
        <w:pStyle w:val="13"/>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hint="eastAsia" w:ascii="黑体" w:hAnsi="黑体" w:eastAsia="黑体" w:cs="黑体"/>
          <w:b w:val="0"/>
          <w:bCs w:val="0"/>
          <w:color w:val="auto"/>
          <w:spacing w:val="-4"/>
          <w:sz w:val="32"/>
          <w:szCs w:val="32"/>
          <w:highlight w:val="none"/>
        </w:rPr>
      </w:pPr>
      <w:r>
        <w:rPr>
          <w:rStyle w:val="9"/>
          <w:rFonts w:hint="eastAsia" w:ascii="黑体" w:hAnsi="黑体" w:eastAsia="黑体" w:cs="黑体"/>
          <w:b w:val="0"/>
          <w:bCs w:val="0"/>
          <w:color w:val="auto"/>
          <w:spacing w:val="-4"/>
          <w:sz w:val="32"/>
          <w:szCs w:val="32"/>
          <w:highlight w:val="none"/>
          <w:lang w:val="en-US" w:eastAsia="zh-CN"/>
        </w:rPr>
        <w:t>六、</w:t>
      </w:r>
      <w:r>
        <w:rPr>
          <w:rStyle w:val="9"/>
          <w:rFonts w:hint="eastAsia" w:ascii="黑体" w:hAnsi="黑体" w:eastAsia="黑体" w:cs="黑体"/>
          <w:b w:val="0"/>
          <w:bCs w:val="0"/>
          <w:color w:val="auto"/>
          <w:spacing w:val="-4"/>
          <w:sz w:val="32"/>
          <w:szCs w:val="32"/>
          <w:highlight w:val="none"/>
        </w:rPr>
        <w:t>改进措施和建议</w:t>
      </w:r>
    </w:p>
    <w:p>
      <w:pPr>
        <w:keepNext w:val="0"/>
        <w:keepLines w:val="0"/>
        <w:pageBreakBefore w:val="0"/>
        <w:kinsoku/>
        <w:wordWrap/>
        <w:overflowPunct/>
        <w:topLinePunct w:val="0"/>
        <w:autoSpaceDE/>
        <w:autoSpaceDN/>
        <w:bidi w:val="0"/>
        <w:spacing w:line="560" w:lineRule="exact"/>
        <w:ind w:firstLine="627" w:firstLineChars="200"/>
        <w:jc w:val="both"/>
        <w:textAlignment w:val="auto"/>
        <w:rPr>
          <w:rStyle w:val="9"/>
          <w:rFonts w:hint="eastAsia" w:ascii="仿宋" w:hAnsi="仿宋" w:eastAsia="仿宋" w:cs="仿宋"/>
          <w:b w:val="0"/>
          <w:bCs w:val="0"/>
          <w:color w:val="auto"/>
          <w:spacing w:val="-4"/>
          <w:sz w:val="32"/>
          <w:szCs w:val="32"/>
          <w:highlight w:val="none"/>
          <w:lang w:val="en-US" w:eastAsia="zh-CN"/>
        </w:rPr>
      </w:pPr>
      <w:r>
        <w:rPr>
          <w:rStyle w:val="9"/>
          <w:rFonts w:hint="eastAsia" w:ascii="仿宋" w:hAnsi="仿宋" w:eastAsia="仿宋" w:cs="仿宋"/>
          <w:b/>
          <w:bCs/>
          <w:color w:val="auto"/>
          <w:spacing w:val="-4"/>
          <w:sz w:val="32"/>
          <w:szCs w:val="32"/>
          <w:highlight w:val="none"/>
          <w:lang w:val="en-US" w:eastAsia="zh-CN"/>
        </w:rPr>
        <w:t>一是</w:t>
      </w:r>
      <w:r>
        <w:rPr>
          <w:rStyle w:val="9"/>
          <w:rFonts w:hint="eastAsia" w:ascii="仿宋" w:hAnsi="仿宋" w:eastAsia="仿宋" w:cs="仿宋"/>
          <w:b w:val="0"/>
          <w:bCs w:val="0"/>
          <w:color w:val="auto"/>
          <w:spacing w:val="-4"/>
          <w:sz w:val="32"/>
          <w:szCs w:val="32"/>
          <w:highlight w:val="none"/>
        </w:rPr>
        <w:t>建立</w:t>
      </w:r>
      <w:r>
        <w:rPr>
          <w:rStyle w:val="9"/>
          <w:rFonts w:hint="eastAsia" w:ascii="仿宋" w:hAnsi="仿宋" w:eastAsia="仿宋" w:cs="仿宋"/>
          <w:b w:val="0"/>
          <w:bCs w:val="0"/>
          <w:color w:val="auto"/>
          <w:spacing w:val="-4"/>
          <w:sz w:val="32"/>
          <w:szCs w:val="32"/>
          <w:highlight w:val="none"/>
          <w:lang w:eastAsia="zh-CN"/>
        </w:rPr>
        <w:t>健全</w:t>
      </w:r>
      <w:r>
        <w:rPr>
          <w:rStyle w:val="9"/>
          <w:rFonts w:hint="eastAsia" w:ascii="仿宋" w:hAnsi="仿宋" w:eastAsia="仿宋" w:cs="仿宋"/>
          <w:b w:val="0"/>
          <w:bCs w:val="0"/>
          <w:color w:val="auto"/>
          <w:spacing w:val="-4"/>
          <w:sz w:val="32"/>
          <w:szCs w:val="32"/>
          <w:highlight w:val="none"/>
        </w:rPr>
        <w:t>的预算绩效管理体制，</w:t>
      </w:r>
      <w:r>
        <w:rPr>
          <w:rStyle w:val="9"/>
          <w:rFonts w:hint="eastAsia" w:ascii="仿宋" w:hAnsi="仿宋" w:eastAsia="仿宋" w:cs="仿宋"/>
          <w:b w:val="0"/>
          <w:bCs w:val="0"/>
          <w:color w:val="auto"/>
          <w:spacing w:val="-4"/>
          <w:sz w:val="32"/>
          <w:szCs w:val="32"/>
          <w:highlight w:val="none"/>
          <w:lang w:eastAsia="zh-CN"/>
        </w:rPr>
        <w:t>加强对预算绩效相关知识的了解和掌握，</w:t>
      </w:r>
      <w:r>
        <w:rPr>
          <w:rStyle w:val="9"/>
          <w:rFonts w:hint="eastAsia" w:ascii="仿宋" w:hAnsi="仿宋" w:eastAsia="仿宋" w:cs="仿宋"/>
          <w:b w:val="0"/>
          <w:bCs w:val="0"/>
          <w:color w:val="auto"/>
          <w:spacing w:val="-4"/>
          <w:sz w:val="32"/>
          <w:szCs w:val="32"/>
          <w:highlight w:val="none"/>
        </w:rPr>
        <w:t>促进绩效管理工作向广度和深度延伸</w:t>
      </w:r>
      <w:r>
        <w:rPr>
          <w:rStyle w:val="9"/>
          <w:rFonts w:hint="eastAsia" w:ascii="仿宋" w:hAnsi="仿宋" w:eastAsia="仿宋" w:cs="仿宋"/>
          <w:b w:val="0"/>
          <w:bCs w:val="0"/>
          <w:color w:val="auto"/>
          <w:spacing w:val="-4"/>
          <w:sz w:val="32"/>
          <w:szCs w:val="32"/>
          <w:highlight w:val="none"/>
          <w:lang w:eastAsia="zh-CN"/>
        </w:rPr>
        <w:t>，切实提高部门预算收支管理水平；</w:t>
      </w:r>
      <w:r>
        <w:rPr>
          <w:rStyle w:val="9"/>
          <w:rFonts w:hint="eastAsia" w:ascii="仿宋" w:hAnsi="仿宋" w:eastAsia="仿宋" w:cs="仿宋"/>
          <w:b/>
          <w:bCs/>
          <w:color w:val="auto"/>
          <w:spacing w:val="-4"/>
          <w:sz w:val="32"/>
          <w:szCs w:val="32"/>
          <w:highlight w:val="none"/>
          <w:lang w:val="en-US" w:eastAsia="zh-CN"/>
        </w:rPr>
        <w:t>二是</w:t>
      </w:r>
      <w:r>
        <w:rPr>
          <w:rFonts w:hint="eastAsia" w:ascii="仿宋" w:hAnsi="仿宋" w:eastAsia="仿宋" w:cs="仿宋"/>
          <w:color w:val="auto"/>
          <w:sz w:val="32"/>
          <w:szCs w:val="32"/>
          <w:highlight w:val="none"/>
        </w:rPr>
        <w:t>加强财务管理，严格财务审核</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在费用报账支付时，按照预算规定费用项目和用途进行资金使用审核、列报支付、财务核算，杜绝超支</w:t>
      </w:r>
      <w:r>
        <w:rPr>
          <w:rFonts w:hint="eastAsia" w:ascii="仿宋" w:hAnsi="仿宋" w:eastAsia="仿宋" w:cs="仿宋"/>
          <w:color w:val="auto"/>
          <w:sz w:val="32"/>
          <w:szCs w:val="32"/>
          <w:highlight w:val="none"/>
          <w:lang w:eastAsia="zh-CN"/>
        </w:rPr>
        <w:t>或无预算支出</w:t>
      </w:r>
      <w:r>
        <w:rPr>
          <w:rFonts w:hint="eastAsia" w:ascii="仿宋" w:hAnsi="仿宋" w:eastAsia="仿宋" w:cs="仿宋"/>
          <w:color w:val="auto"/>
          <w:sz w:val="32"/>
          <w:szCs w:val="32"/>
          <w:highlight w:val="none"/>
        </w:rPr>
        <w:t>现象发生</w:t>
      </w:r>
      <w:r>
        <w:rPr>
          <w:rFonts w:hint="eastAsia" w:ascii="仿宋" w:hAnsi="仿宋" w:eastAsia="仿宋" w:cs="仿宋"/>
          <w:color w:val="auto"/>
          <w:sz w:val="32"/>
          <w:szCs w:val="32"/>
          <w:highlight w:val="none"/>
          <w:lang w:eastAsia="zh-CN"/>
        </w:rPr>
        <w:t>。</w:t>
      </w:r>
    </w:p>
    <w:p>
      <w:pPr>
        <w:pStyle w:val="13"/>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hint="eastAsia" w:ascii="黑体" w:hAnsi="黑体" w:eastAsia="黑体" w:cs="黑体"/>
          <w:b w:val="0"/>
          <w:bCs w:val="0"/>
          <w:color w:val="auto"/>
          <w:spacing w:val="-4"/>
          <w:sz w:val="32"/>
          <w:szCs w:val="32"/>
          <w:highlight w:val="none"/>
        </w:rPr>
      </w:pPr>
      <w:r>
        <w:rPr>
          <w:rStyle w:val="9"/>
          <w:rFonts w:hint="eastAsia" w:ascii="黑体" w:hAnsi="黑体" w:eastAsia="黑体" w:cs="黑体"/>
          <w:b w:val="0"/>
          <w:bCs w:val="0"/>
          <w:color w:val="auto"/>
          <w:spacing w:val="-4"/>
          <w:sz w:val="32"/>
          <w:szCs w:val="32"/>
          <w:highlight w:val="none"/>
          <w:lang w:val="en-US" w:eastAsia="zh-CN"/>
        </w:rPr>
        <w:t>七、</w:t>
      </w:r>
      <w:r>
        <w:rPr>
          <w:rStyle w:val="9"/>
          <w:rFonts w:hint="eastAsia" w:ascii="黑体" w:hAnsi="黑体" w:eastAsia="黑体" w:cs="黑体"/>
          <w:b w:val="0"/>
          <w:bCs w:val="0"/>
          <w:color w:val="auto"/>
          <w:spacing w:val="-4"/>
          <w:sz w:val="32"/>
          <w:szCs w:val="32"/>
          <w:highlight w:val="none"/>
        </w:rPr>
        <w:t>附表：《部门整体支出绩效自评表》</w:t>
      </w:r>
    </w:p>
    <w:sectPr>
      <w:headerReference r:id="rId4" w:type="first"/>
      <w:footerReference r:id="rId6" w:type="first"/>
      <w:headerReference r:id="rId3" w:type="even"/>
      <w:footerReference r:id="rId5" w:type="even"/>
      <w:pgSz w:w="11906" w:h="16838"/>
      <w:pgMar w:top="1440" w:right="1800" w:bottom="1440" w:left="1800" w:header="851" w:footer="992" w:gutter="0"/>
      <w:pgNumType w:fmt="numberInDash" w:start="2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BF66266-11E3-4487-90A3-E1D6020AA4C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907FB188-C40D-431B-AD8B-D7F0B7C1613E}"/>
  </w:font>
  <w:font w:name="仿宋_GB2312">
    <w:panose1 w:val="02010609030101010101"/>
    <w:charset w:val="86"/>
    <w:family w:val="modern"/>
    <w:pitch w:val="default"/>
    <w:sig w:usb0="00000000" w:usb1="00000000" w:usb2="00000000" w:usb3="00000000" w:csb0="00000000" w:csb1="00000000"/>
    <w:embedRegular r:id="rId3" w:fontKey="{DBF4A711-6FD3-4FDC-9E9E-BB5EC3173ECE}"/>
  </w:font>
  <w:font w:name="楷体">
    <w:panose1 w:val="02010609060101010101"/>
    <w:charset w:val="86"/>
    <w:family w:val="modern"/>
    <w:pitch w:val="default"/>
    <w:sig w:usb0="800002BF" w:usb1="38CF7CFA" w:usb2="00000016" w:usb3="00000000" w:csb0="00040001" w:csb1="00000000"/>
    <w:embedRegular r:id="rId4" w:fontKey="{76A6BFD9-365E-40B3-8F40-0F58698DA54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kM2Y3OTk4YWJkMTlhY2M0M2NiNzUzNWU4NjU4YjYifQ=="/>
    <w:docVar w:name="KSO_WPS_MARK_KEY" w:val="40e95650-004b-4697-ae2b-25bffeeac740"/>
  </w:docVars>
  <w:rsids>
    <w:rsidRoot w:val="00633862"/>
    <w:rsid w:val="000D3AFA"/>
    <w:rsid w:val="00191BA3"/>
    <w:rsid w:val="0022744B"/>
    <w:rsid w:val="005B1250"/>
    <w:rsid w:val="00633862"/>
    <w:rsid w:val="006C5BED"/>
    <w:rsid w:val="00702D4A"/>
    <w:rsid w:val="007115C8"/>
    <w:rsid w:val="00867FFD"/>
    <w:rsid w:val="0097614B"/>
    <w:rsid w:val="00AA5126"/>
    <w:rsid w:val="00AD16CD"/>
    <w:rsid w:val="00CD2F35"/>
    <w:rsid w:val="00DB1085"/>
    <w:rsid w:val="00EA14FA"/>
    <w:rsid w:val="00F84215"/>
    <w:rsid w:val="010E0C0C"/>
    <w:rsid w:val="016D0077"/>
    <w:rsid w:val="01F67C77"/>
    <w:rsid w:val="02355837"/>
    <w:rsid w:val="023B0973"/>
    <w:rsid w:val="02610413"/>
    <w:rsid w:val="02F163A2"/>
    <w:rsid w:val="02FE786C"/>
    <w:rsid w:val="03341650"/>
    <w:rsid w:val="036F2FCB"/>
    <w:rsid w:val="03B2599D"/>
    <w:rsid w:val="043C5F8E"/>
    <w:rsid w:val="049941F3"/>
    <w:rsid w:val="04A60F90"/>
    <w:rsid w:val="04D2103C"/>
    <w:rsid w:val="04D550AF"/>
    <w:rsid w:val="06B83B39"/>
    <w:rsid w:val="06DE29E2"/>
    <w:rsid w:val="071579E5"/>
    <w:rsid w:val="07702E6D"/>
    <w:rsid w:val="07A86AAB"/>
    <w:rsid w:val="07C65825"/>
    <w:rsid w:val="09067414"/>
    <w:rsid w:val="09170A81"/>
    <w:rsid w:val="0AC27E84"/>
    <w:rsid w:val="0B0F5B25"/>
    <w:rsid w:val="0BD256C9"/>
    <w:rsid w:val="0D3F0613"/>
    <w:rsid w:val="0D617282"/>
    <w:rsid w:val="0F501F02"/>
    <w:rsid w:val="0F661726"/>
    <w:rsid w:val="0F772EC6"/>
    <w:rsid w:val="0F877334"/>
    <w:rsid w:val="0F8A401F"/>
    <w:rsid w:val="0FC61AB2"/>
    <w:rsid w:val="0FFF56D6"/>
    <w:rsid w:val="10182B28"/>
    <w:rsid w:val="109160DD"/>
    <w:rsid w:val="10947BCD"/>
    <w:rsid w:val="10D50C2A"/>
    <w:rsid w:val="114B3E5E"/>
    <w:rsid w:val="115E3FEE"/>
    <w:rsid w:val="116B384E"/>
    <w:rsid w:val="11DD16C8"/>
    <w:rsid w:val="127A77C1"/>
    <w:rsid w:val="12FA62B9"/>
    <w:rsid w:val="130A20A3"/>
    <w:rsid w:val="13352CE1"/>
    <w:rsid w:val="13E07D60"/>
    <w:rsid w:val="14047D9F"/>
    <w:rsid w:val="14CD18FF"/>
    <w:rsid w:val="150177FB"/>
    <w:rsid w:val="15875F52"/>
    <w:rsid w:val="15B73666"/>
    <w:rsid w:val="15C42D02"/>
    <w:rsid w:val="16250782"/>
    <w:rsid w:val="168A2EA6"/>
    <w:rsid w:val="17D5194F"/>
    <w:rsid w:val="180A4FDB"/>
    <w:rsid w:val="1840056E"/>
    <w:rsid w:val="192177D8"/>
    <w:rsid w:val="196A001E"/>
    <w:rsid w:val="198331C0"/>
    <w:rsid w:val="19AA773C"/>
    <w:rsid w:val="19AD1CFF"/>
    <w:rsid w:val="19C92FDD"/>
    <w:rsid w:val="19DB061A"/>
    <w:rsid w:val="19E576EB"/>
    <w:rsid w:val="19FF664E"/>
    <w:rsid w:val="1A091F78"/>
    <w:rsid w:val="1A6D6D72"/>
    <w:rsid w:val="1AEB4D61"/>
    <w:rsid w:val="1BB4025E"/>
    <w:rsid w:val="1C230AC0"/>
    <w:rsid w:val="1C615CEF"/>
    <w:rsid w:val="1CDA72AF"/>
    <w:rsid w:val="1D632B53"/>
    <w:rsid w:val="1D7602A9"/>
    <w:rsid w:val="1DC83D3D"/>
    <w:rsid w:val="1E613949"/>
    <w:rsid w:val="1EAE0073"/>
    <w:rsid w:val="1F195A2C"/>
    <w:rsid w:val="1FD81A73"/>
    <w:rsid w:val="205102FB"/>
    <w:rsid w:val="20762FC4"/>
    <w:rsid w:val="212C60E2"/>
    <w:rsid w:val="21DB6E7F"/>
    <w:rsid w:val="21DE15EF"/>
    <w:rsid w:val="23021A8B"/>
    <w:rsid w:val="2320540D"/>
    <w:rsid w:val="23254B60"/>
    <w:rsid w:val="236E0539"/>
    <w:rsid w:val="23E6478B"/>
    <w:rsid w:val="2422471A"/>
    <w:rsid w:val="24A85EE5"/>
    <w:rsid w:val="24DB72C2"/>
    <w:rsid w:val="263962DE"/>
    <w:rsid w:val="26EE4083"/>
    <w:rsid w:val="27120B00"/>
    <w:rsid w:val="276460F3"/>
    <w:rsid w:val="27660FAF"/>
    <w:rsid w:val="277166D1"/>
    <w:rsid w:val="277B4318"/>
    <w:rsid w:val="27B7194D"/>
    <w:rsid w:val="27E37B45"/>
    <w:rsid w:val="280600C8"/>
    <w:rsid w:val="28081174"/>
    <w:rsid w:val="28481571"/>
    <w:rsid w:val="28722F64"/>
    <w:rsid w:val="289B5D70"/>
    <w:rsid w:val="290964C3"/>
    <w:rsid w:val="290A1EBC"/>
    <w:rsid w:val="296B40D0"/>
    <w:rsid w:val="29980ADF"/>
    <w:rsid w:val="29A50C45"/>
    <w:rsid w:val="29B460DC"/>
    <w:rsid w:val="29D532D8"/>
    <w:rsid w:val="29E74DB9"/>
    <w:rsid w:val="2A0B6FEB"/>
    <w:rsid w:val="2A2A3694"/>
    <w:rsid w:val="2A6B1740"/>
    <w:rsid w:val="2AB71864"/>
    <w:rsid w:val="2AD30362"/>
    <w:rsid w:val="2B124A09"/>
    <w:rsid w:val="2B161A0E"/>
    <w:rsid w:val="2B1D67DB"/>
    <w:rsid w:val="2B2D4A4E"/>
    <w:rsid w:val="2B76193F"/>
    <w:rsid w:val="2BCA3DF7"/>
    <w:rsid w:val="2BFA5278"/>
    <w:rsid w:val="2C3F44FD"/>
    <w:rsid w:val="2C8903AA"/>
    <w:rsid w:val="2CD01740"/>
    <w:rsid w:val="2CE43832"/>
    <w:rsid w:val="2DAA6B58"/>
    <w:rsid w:val="2DB034FA"/>
    <w:rsid w:val="2E4A4A48"/>
    <w:rsid w:val="2F5C0D20"/>
    <w:rsid w:val="2F8715FA"/>
    <w:rsid w:val="2FB43990"/>
    <w:rsid w:val="2FC040E2"/>
    <w:rsid w:val="30143D58"/>
    <w:rsid w:val="30240D0F"/>
    <w:rsid w:val="308158E7"/>
    <w:rsid w:val="309817B5"/>
    <w:rsid w:val="30A86679"/>
    <w:rsid w:val="31505F30"/>
    <w:rsid w:val="3177520D"/>
    <w:rsid w:val="31C7249B"/>
    <w:rsid w:val="31F664E1"/>
    <w:rsid w:val="31FB7654"/>
    <w:rsid w:val="32565D7D"/>
    <w:rsid w:val="330864CC"/>
    <w:rsid w:val="336E47B8"/>
    <w:rsid w:val="337D2302"/>
    <w:rsid w:val="33935522"/>
    <w:rsid w:val="33CC7F01"/>
    <w:rsid w:val="33DE0EF4"/>
    <w:rsid w:val="3416678C"/>
    <w:rsid w:val="34486A39"/>
    <w:rsid w:val="34C13400"/>
    <w:rsid w:val="34F32864"/>
    <w:rsid w:val="35386E11"/>
    <w:rsid w:val="35612ABD"/>
    <w:rsid w:val="375B2943"/>
    <w:rsid w:val="37932094"/>
    <w:rsid w:val="37EB6228"/>
    <w:rsid w:val="38086A4E"/>
    <w:rsid w:val="38C32119"/>
    <w:rsid w:val="38EE054F"/>
    <w:rsid w:val="39440A0C"/>
    <w:rsid w:val="398443D3"/>
    <w:rsid w:val="398C3287"/>
    <w:rsid w:val="39A60AF6"/>
    <w:rsid w:val="39C62B4A"/>
    <w:rsid w:val="3A5046EF"/>
    <w:rsid w:val="3AA12D62"/>
    <w:rsid w:val="3AB900AC"/>
    <w:rsid w:val="3B2319C9"/>
    <w:rsid w:val="3B5D5890"/>
    <w:rsid w:val="3BA6683D"/>
    <w:rsid w:val="3BC431AC"/>
    <w:rsid w:val="3C012639"/>
    <w:rsid w:val="3DA52B6A"/>
    <w:rsid w:val="3E833FCF"/>
    <w:rsid w:val="3ECA6D2C"/>
    <w:rsid w:val="3EE3321B"/>
    <w:rsid w:val="3EE93EED"/>
    <w:rsid w:val="3F02306A"/>
    <w:rsid w:val="3F177A97"/>
    <w:rsid w:val="3FF57BF1"/>
    <w:rsid w:val="41590DEA"/>
    <w:rsid w:val="416C231C"/>
    <w:rsid w:val="41765884"/>
    <w:rsid w:val="41C31810"/>
    <w:rsid w:val="41D659E7"/>
    <w:rsid w:val="428A15BF"/>
    <w:rsid w:val="42BB7663"/>
    <w:rsid w:val="432A3936"/>
    <w:rsid w:val="434765EB"/>
    <w:rsid w:val="43A3164E"/>
    <w:rsid w:val="43C43532"/>
    <w:rsid w:val="43F77637"/>
    <w:rsid w:val="44332E1A"/>
    <w:rsid w:val="44692B43"/>
    <w:rsid w:val="44BF2CE3"/>
    <w:rsid w:val="44BF6C07"/>
    <w:rsid w:val="4592258D"/>
    <w:rsid w:val="462C7B1B"/>
    <w:rsid w:val="46705C48"/>
    <w:rsid w:val="46766F7F"/>
    <w:rsid w:val="46BF2EEE"/>
    <w:rsid w:val="47013FF5"/>
    <w:rsid w:val="484A2C8B"/>
    <w:rsid w:val="48500FEB"/>
    <w:rsid w:val="49284D7B"/>
    <w:rsid w:val="494868FA"/>
    <w:rsid w:val="49487285"/>
    <w:rsid w:val="49543DC1"/>
    <w:rsid w:val="4A0F39E7"/>
    <w:rsid w:val="4AF76A38"/>
    <w:rsid w:val="4B364032"/>
    <w:rsid w:val="4B3B68BB"/>
    <w:rsid w:val="4B443785"/>
    <w:rsid w:val="4B537C75"/>
    <w:rsid w:val="4BE53646"/>
    <w:rsid w:val="4C431ECB"/>
    <w:rsid w:val="4C567E51"/>
    <w:rsid w:val="4CC33C9F"/>
    <w:rsid w:val="4E081A7E"/>
    <w:rsid w:val="4E760D0B"/>
    <w:rsid w:val="4E8F65E3"/>
    <w:rsid w:val="4EC80245"/>
    <w:rsid w:val="4ED65AC3"/>
    <w:rsid w:val="4F1A60F2"/>
    <w:rsid w:val="4F596A69"/>
    <w:rsid w:val="50063DD3"/>
    <w:rsid w:val="504133D8"/>
    <w:rsid w:val="505863A4"/>
    <w:rsid w:val="50591CBD"/>
    <w:rsid w:val="50A240F7"/>
    <w:rsid w:val="51971C1E"/>
    <w:rsid w:val="51FF2E33"/>
    <w:rsid w:val="525877BC"/>
    <w:rsid w:val="5272504D"/>
    <w:rsid w:val="52CA50F4"/>
    <w:rsid w:val="543D24BF"/>
    <w:rsid w:val="54445CE7"/>
    <w:rsid w:val="548754B8"/>
    <w:rsid w:val="54CA318A"/>
    <w:rsid w:val="55517AB0"/>
    <w:rsid w:val="57192BB8"/>
    <w:rsid w:val="5734671F"/>
    <w:rsid w:val="57423EBA"/>
    <w:rsid w:val="57813298"/>
    <w:rsid w:val="57AE7CE9"/>
    <w:rsid w:val="57BB500C"/>
    <w:rsid w:val="58753EBA"/>
    <w:rsid w:val="58E426FC"/>
    <w:rsid w:val="58FC3B2E"/>
    <w:rsid w:val="59063548"/>
    <w:rsid w:val="59C70630"/>
    <w:rsid w:val="5A027D02"/>
    <w:rsid w:val="5A6776CD"/>
    <w:rsid w:val="5AB877E4"/>
    <w:rsid w:val="5ADD1E8F"/>
    <w:rsid w:val="5AE6303A"/>
    <w:rsid w:val="5B155A7C"/>
    <w:rsid w:val="5B442B97"/>
    <w:rsid w:val="5B745BFD"/>
    <w:rsid w:val="5B977B3E"/>
    <w:rsid w:val="5C5B0B6B"/>
    <w:rsid w:val="5CB643E4"/>
    <w:rsid w:val="5D8D11F8"/>
    <w:rsid w:val="5E2D5305"/>
    <w:rsid w:val="5F1D65AC"/>
    <w:rsid w:val="5F230066"/>
    <w:rsid w:val="5F41229A"/>
    <w:rsid w:val="5F814D8D"/>
    <w:rsid w:val="5FA47678"/>
    <w:rsid w:val="5FE455B0"/>
    <w:rsid w:val="60504E56"/>
    <w:rsid w:val="60535261"/>
    <w:rsid w:val="627A5057"/>
    <w:rsid w:val="62A033DD"/>
    <w:rsid w:val="62B113CD"/>
    <w:rsid w:val="62D376AD"/>
    <w:rsid w:val="63002758"/>
    <w:rsid w:val="63886101"/>
    <w:rsid w:val="63E072F9"/>
    <w:rsid w:val="63E738F2"/>
    <w:rsid w:val="648B2856"/>
    <w:rsid w:val="64AD2180"/>
    <w:rsid w:val="64F46001"/>
    <w:rsid w:val="658E5B0E"/>
    <w:rsid w:val="65D86017"/>
    <w:rsid w:val="65E6594A"/>
    <w:rsid w:val="660E1EAC"/>
    <w:rsid w:val="661600DA"/>
    <w:rsid w:val="66DF5346"/>
    <w:rsid w:val="66E14AAB"/>
    <w:rsid w:val="6736630B"/>
    <w:rsid w:val="67EE0E11"/>
    <w:rsid w:val="683055A2"/>
    <w:rsid w:val="68DF3109"/>
    <w:rsid w:val="693F2885"/>
    <w:rsid w:val="699F5DE9"/>
    <w:rsid w:val="6A9776F8"/>
    <w:rsid w:val="6AAF0A00"/>
    <w:rsid w:val="6AEF34F2"/>
    <w:rsid w:val="6B234F4A"/>
    <w:rsid w:val="6C5F0204"/>
    <w:rsid w:val="6C69186D"/>
    <w:rsid w:val="6C7D443F"/>
    <w:rsid w:val="6C8851EE"/>
    <w:rsid w:val="6CCF1622"/>
    <w:rsid w:val="6CE7035E"/>
    <w:rsid w:val="6DB1246A"/>
    <w:rsid w:val="6E9543B1"/>
    <w:rsid w:val="6EAE5472"/>
    <w:rsid w:val="702F5608"/>
    <w:rsid w:val="708F2CC4"/>
    <w:rsid w:val="709444F0"/>
    <w:rsid w:val="71182116"/>
    <w:rsid w:val="71205936"/>
    <w:rsid w:val="71477CCB"/>
    <w:rsid w:val="7178018F"/>
    <w:rsid w:val="71BA40BB"/>
    <w:rsid w:val="71CD052F"/>
    <w:rsid w:val="71F23D51"/>
    <w:rsid w:val="73740A39"/>
    <w:rsid w:val="73D43285"/>
    <w:rsid w:val="742B746E"/>
    <w:rsid w:val="74736F42"/>
    <w:rsid w:val="74CA7F29"/>
    <w:rsid w:val="752B1D3E"/>
    <w:rsid w:val="75913D16"/>
    <w:rsid w:val="763C0048"/>
    <w:rsid w:val="77135965"/>
    <w:rsid w:val="77262B54"/>
    <w:rsid w:val="772D4414"/>
    <w:rsid w:val="773A5C43"/>
    <w:rsid w:val="775947BB"/>
    <w:rsid w:val="77AD276B"/>
    <w:rsid w:val="77B87094"/>
    <w:rsid w:val="77C96E08"/>
    <w:rsid w:val="784120E7"/>
    <w:rsid w:val="78E27C50"/>
    <w:rsid w:val="79500F4C"/>
    <w:rsid w:val="7986195D"/>
    <w:rsid w:val="79E005EE"/>
    <w:rsid w:val="7A044DC4"/>
    <w:rsid w:val="7A865511"/>
    <w:rsid w:val="7AA20E97"/>
    <w:rsid w:val="7AAA4D40"/>
    <w:rsid w:val="7ABC4A73"/>
    <w:rsid w:val="7AC10876"/>
    <w:rsid w:val="7B2F16E9"/>
    <w:rsid w:val="7B334ED0"/>
    <w:rsid w:val="7C4B6886"/>
    <w:rsid w:val="7C63268E"/>
    <w:rsid w:val="7C71236F"/>
    <w:rsid w:val="7C7B25BC"/>
    <w:rsid w:val="7C8D2B6B"/>
    <w:rsid w:val="7D360B0D"/>
    <w:rsid w:val="7D55069E"/>
    <w:rsid w:val="7D670C49"/>
    <w:rsid w:val="7D711B45"/>
    <w:rsid w:val="7E5F5E41"/>
    <w:rsid w:val="7E78432D"/>
    <w:rsid w:val="7E8E02D3"/>
    <w:rsid w:val="7EA902C5"/>
    <w:rsid w:val="7EAA3560"/>
    <w:rsid w:val="7ECF553C"/>
    <w:rsid w:val="7EF10E29"/>
    <w:rsid w:val="7FB364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widowControl/>
      <w:spacing w:before="240" w:after="60"/>
      <w:jc w:val="left"/>
      <w:outlineLvl w:val="0"/>
    </w:pPr>
    <w:rPr>
      <w:rFonts w:ascii="Cambria" w:hAnsi="Cambria" w:eastAsia="宋体" w:cs="Times New Roman"/>
      <w:b/>
      <w:bCs/>
      <w:kern w:val="32"/>
      <w:sz w:val="32"/>
      <w:szCs w:val="32"/>
      <w:lang w:val="en-US" w:eastAsia="zh-CN" w:bidi="ar-SA"/>
    </w:rPr>
  </w:style>
  <w:style w:type="paragraph" w:styleId="3">
    <w:name w:val="heading 3"/>
    <w:basedOn w:val="1"/>
    <w:next w:val="1"/>
    <w:qFormat/>
    <w:uiPriority w:val="0"/>
    <w:pPr>
      <w:keepNext/>
      <w:keepLines/>
      <w:spacing w:line="560" w:lineRule="exact"/>
      <w:outlineLvl w:val="2"/>
    </w:pPr>
    <w:rPr>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character" w:styleId="9">
    <w:name w:val="Strong"/>
    <w:basedOn w:val="8"/>
    <w:qFormat/>
    <w:uiPriority w:val="0"/>
    <w:rPr>
      <w:b/>
      <w:bCs/>
    </w:rPr>
  </w:style>
  <w:style w:type="character" w:styleId="10">
    <w:name w:val="page number"/>
    <w:basedOn w:val="8"/>
    <w:qFormat/>
    <w:uiPriority w:val="0"/>
  </w:style>
  <w:style w:type="character" w:customStyle="1" w:styleId="11">
    <w:name w:val="页眉 Char"/>
    <w:basedOn w:val="8"/>
    <w:link w:val="5"/>
    <w:qFormat/>
    <w:uiPriority w:val="99"/>
    <w:rPr>
      <w:sz w:val="18"/>
      <w:szCs w:val="18"/>
    </w:rPr>
  </w:style>
  <w:style w:type="character" w:customStyle="1" w:styleId="12">
    <w:name w:val="页脚 Char"/>
    <w:basedOn w:val="8"/>
    <w:link w:val="4"/>
    <w:qFormat/>
    <w:uiPriority w:val="99"/>
    <w:rPr>
      <w:sz w:val="18"/>
      <w:szCs w:val="18"/>
    </w:rPr>
  </w:style>
  <w:style w:type="paragraph" w:styleId="1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409</Words>
  <Characters>422</Characters>
  <Lines>9</Lines>
  <Paragraphs>2</Paragraphs>
  <TotalTime>19</TotalTime>
  <ScaleCrop>false</ScaleCrop>
  <LinksUpToDate>false</LinksUpToDate>
  <CharactersWithSpaces>444</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2019-01-16T17:12:00Z</dcterms:created>
  <dc:creator>jc</dc:creator>
  <cp:lastModifiedBy>Administrator</cp:lastModifiedBy>
  <cp:lastPrinted>2024-03-04T11:32:00Z</cp:lastPrinted>
  <dcterms:modified xsi:type="dcterms:W3CDTF">2024-11-29T08:18:46Z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12A65F60C901430E874D183EC1C0B5F2_13</vt:lpwstr>
  </property>
</Properties>
</file>