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s="Times New Roman"/>
          <w:sz w:val="44"/>
          <w:szCs w:val="44"/>
          <w:highlight w:val="none"/>
          <w:lang w:val="en-US" w:eastAsia="zh-CN"/>
        </w:rPr>
      </w:pPr>
      <w:r>
        <w:rPr>
          <w:rFonts w:hint="eastAsia" w:ascii="方正小标宋_GBK" w:hAnsi="宋体" w:eastAsia="方正小标宋_GBK" w:cs="Times New Roman"/>
          <w:sz w:val="44"/>
          <w:szCs w:val="44"/>
          <w:highlight w:val="none"/>
          <w:lang w:val="en-US" w:eastAsia="zh-CN"/>
        </w:rPr>
        <w:t>库尔勒市朝阳街道办事处</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s="Times New Roman"/>
          <w:sz w:val="44"/>
          <w:szCs w:val="44"/>
          <w:highlight w:val="none"/>
          <w:lang w:val="en-US" w:eastAsia="zh-CN"/>
        </w:rPr>
      </w:pPr>
      <w:r>
        <w:rPr>
          <w:rFonts w:hint="eastAsia" w:ascii="方正小标宋_GBK" w:hAnsi="宋体" w:eastAsia="方正小标宋_GBK" w:cs="Times New Roman"/>
          <w:sz w:val="44"/>
          <w:szCs w:val="44"/>
          <w:highlight w:val="none"/>
          <w:lang w:val="en-US" w:eastAsia="zh-CN"/>
        </w:rPr>
        <w:t xml:space="preserve"> 2023年度部门决算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s="Times New Roman"/>
          <w:sz w:val="44"/>
          <w:szCs w:val="44"/>
          <w:highlight w:val="none"/>
          <w:lang w:val="en-US" w:eastAsia="zh-CN"/>
        </w:rPr>
      </w:pPr>
      <w:r>
        <w:rPr>
          <w:rFonts w:hint="eastAsia" w:ascii="方正小标宋_GBK" w:hAnsi="宋体" w:eastAsia="方正小标宋_GBK" w:cs="Times New Roman"/>
          <w:sz w:val="44"/>
          <w:szCs w:val="44"/>
          <w:highlight w:val="none"/>
          <w:lang w:val="en-US" w:eastAsia="zh-CN"/>
        </w:rPr>
        <w:t>公开说明</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s="Times New Roman"/>
          <w:sz w:val="44"/>
          <w:szCs w:val="44"/>
          <w:highlight w:val="none"/>
          <w:lang w:val="en-US" w:eastAsia="zh-CN"/>
        </w:rPr>
      </w:pPr>
      <w:r>
        <w:rPr>
          <w:rFonts w:hint="eastAsia" w:ascii="方正小标宋_GBK" w:hAnsi="宋体" w:eastAsia="方正小标宋_GBK" w:cs="Times New Roman"/>
          <w:sz w:val="44"/>
          <w:szCs w:val="44"/>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第一部分</w:t>
      </w:r>
      <w:r>
        <w:rPr>
          <w:rFonts w:hint="eastAsia" w:ascii="仿宋_GB2312" w:hAnsi="仿宋_GB2312" w:eastAsia="仿宋_GB2312" w:cs="仿宋_GB2312"/>
          <w:b/>
          <w:bCs/>
          <w:color w:val="auto"/>
          <w:sz w:val="32"/>
          <w:szCs w:val="32"/>
          <w:highlight w:val="none"/>
          <w:lang w:val="en-US"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bookmarkStart w:id="4" w:name="_Toc31238"/>
      <w:bookmarkStart w:id="5" w:name="_Toc2151"/>
      <w:r>
        <w:rPr>
          <w:rFonts w:hint="eastAsia" w:ascii="仿宋_GB2312" w:eastAsia="仿宋_GB2312"/>
          <w:color w:val="auto"/>
          <w:spacing w:val="0"/>
          <w:sz w:val="32"/>
          <w:szCs w:val="32"/>
          <w:highlight w:val="none"/>
          <w:lang w:val="en-US" w:eastAsia="zh-CN"/>
        </w:rPr>
        <w:t xml:space="preserve">1、贯彻执行党和国家的各项方针、政策、法令、法规上级人民政府关于街道工作方面的决定，制定具体的管理办法并组织实施。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 xml:space="preserve">2、负责辖区内的社会管理综合治理，人民调解、法律服务工作，依照有关规定管理外来流动人员。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 xml:space="preserve">3、开展社区服务、拥军优属工作，负责社区优抚、社会救济、社会福利工作，做好社区文化、科普、体育、教育工作。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 xml:space="preserve">4、按照职责范围做好计划生育、爱国卫生、绿化、环境保护、劳动就业、安全生产等管理工作。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5、配合有关部门做好防汛、防风、防火、防震、抢险和防灾救灾工作。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6、会同有关部门做好本辖区综治、维稳等工作。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7、负责辖区内市容市貌和环境卫生的日常管理工作，发动辖区单位和群众保护环境，开展爱国卫生运动。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8、指导和帮助居民委员会的工作，调解解决行政事务、社会管理和公共服务方面的问题，促进居民委员会的依法建设。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9、协助武装部门做好国防动员、民兵训练和公民服兵役工作。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10、维护老年人、妇女、青少年、儿童和残疾人的合法权益。</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 xml:space="preserve">11、动员和领导居民及各单位、各部门开展社区建设工作；制定并实施社区建设规划和年度计划。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 xml:space="preserve">12、向市党委、市政府反映居民群众的意见和要求，办理人民群众的来信来访等事项。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13、承办市党委、市政府交办的其他事项。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r>
        <w:rPr>
          <w:rFonts w:hint="eastAsia" w:ascii="黑体" w:hAnsi="黑体" w:eastAsia="黑体" w:cs="宋体"/>
          <w:bCs/>
          <w:kern w:val="0"/>
          <w:sz w:val="32"/>
          <w:szCs w:val="32"/>
          <w:highlight w:val="none"/>
        </w:rPr>
        <w:t>二、机构设置</w:t>
      </w:r>
      <w:r>
        <w:rPr>
          <w:rFonts w:hint="eastAsia" w:ascii="黑体" w:hAnsi="黑体" w:eastAsia="黑体" w:cs="宋体"/>
          <w:bCs/>
          <w:kern w:val="0"/>
          <w:sz w:val="32"/>
          <w:szCs w:val="32"/>
          <w:highlight w:val="none"/>
          <w:lang w:eastAsia="zh-CN"/>
        </w:rPr>
        <w:t>及</w:t>
      </w:r>
      <w:bookmarkEnd w:id="4"/>
      <w:r>
        <w:rPr>
          <w:rFonts w:hint="eastAsia" w:ascii="黑体" w:hAnsi="黑体" w:eastAsia="黑体" w:cs="宋体"/>
          <w:bCs/>
          <w:kern w:val="0"/>
          <w:sz w:val="32"/>
          <w:szCs w:val="32"/>
          <w:highlight w:val="none"/>
          <w:lang w:eastAsia="zh-CN"/>
        </w:rPr>
        <w:t>人员</w:t>
      </w:r>
      <w:r>
        <w:rPr>
          <w:rFonts w:hint="eastAsia" w:ascii="黑体" w:hAnsi="黑体" w:eastAsia="黑体" w:cs="宋体"/>
          <w:bCs/>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库尔勒市朝阳街道办事处2023年度，实有人数</w:t>
      </w:r>
      <w:r>
        <w:rPr>
          <w:rFonts w:hint="eastAsia" w:ascii="仿宋_GB2312" w:eastAsia="仿宋_GB2312"/>
          <w:color w:val="auto"/>
          <w:sz w:val="32"/>
          <w:szCs w:val="32"/>
          <w:highlight w:val="none"/>
          <w:lang w:val="zh-CN" w:eastAsia="zh-CN"/>
        </w:rPr>
        <w:t>51</w:t>
      </w:r>
      <w:r>
        <w:rPr>
          <w:rFonts w:hint="eastAsia" w:ascii="仿宋_GB2312" w:eastAsia="仿宋_GB2312"/>
          <w:color w:val="auto"/>
          <w:sz w:val="32"/>
          <w:szCs w:val="32"/>
          <w:highlight w:val="none"/>
          <w:lang w:val="en-US" w:eastAsia="zh-CN"/>
        </w:rPr>
        <w:t>人，其中：在职人员</w:t>
      </w:r>
      <w:r>
        <w:rPr>
          <w:rFonts w:hint="eastAsia" w:ascii="仿宋_GB2312" w:eastAsia="仿宋_GB2312"/>
          <w:color w:val="auto"/>
          <w:sz w:val="32"/>
          <w:szCs w:val="32"/>
          <w:highlight w:val="none"/>
          <w:lang w:val="zh-CN" w:eastAsia="zh-CN"/>
        </w:rPr>
        <w:t>49</w:t>
      </w:r>
      <w:r>
        <w:rPr>
          <w:rFonts w:hint="eastAsia" w:ascii="仿宋_GB2312" w:eastAsia="仿宋_GB2312"/>
          <w:color w:val="auto"/>
          <w:sz w:val="32"/>
          <w:szCs w:val="32"/>
          <w:highlight w:val="none"/>
          <w:lang w:val="en-US" w:eastAsia="zh-CN"/>
        </w:rPr>
        <w:t>人，离休人员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lang w:val="en-US" w:eastAsia="zh-CN"/>
        </w:rPr>
        <w:t>人，退休人员</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lang w:val="en-US" w:eastAsia="zh-CN"/>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6" w:name="_Toc29374"/>
      <w:bookmarkStart w:id="7" w:name="_Toc3092"/>
      <w:r>
        <w:rPr>
          <w:rFonts w:hint="eastAsia" w:ascii="仿宋_GB2312" w:eastAsia="仿宋_GB2312"/>
          <w:color w:val="auto"/>
          <w:sz w:val="32"/>
          <w:szCs w:val="32"/>
          <w:highlight w:val="none"/>
          <w:lang w:val="en-US" w:eastAsia="zh-CN"/>
        </w:rPr>
        <w:t>单位无下属预算单位，下设6个处室，分别是：党建办公室、综合协调办公室、综合执法办公室、党群服务中心、社会事务（统计）服务中心（退役军人服务站）、综治中心（网格化服务中心）。</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第</w:t>
      </w:r>
      <w:r>
        <w:rPr>
          <w:rFonts w:hint="eastAsia" w:ascii="黑体" w:hAnsi="黑体" w:eastAsia="黑体" w:cs="Times New Roman"/>
          <w:sz w:val="32"/>
          <w:szCs w:val="32"/>
          <w:highlight w:val="none"/>
          <w:lang w:val="en-US" w:eastAsia="zh-CN"/>
        </w:rPr>
        <w:t>二</w:t>
      </w:r>
      <w:r>
        <w:rPr>
          <w:rFonts w:hint="eastAsia" w:ascii="黑体" w:hAnsi="黑体" w:eastAsia="黑体" w:cs="Times New Roman"/>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8" w:name="_Toc12566"/>
      <w:bookmarkStart w:id="9" w:name="_Toc25314"/>
      <w:r>
        <w:rPr>
          <w:rFonts w:hint="eastAsia" w:ascii="黑体" w:hAnsi="黑体" w:eastAsia="黑体" w:cs="宋体"/>
          <w:bCs/>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1,965.24万元，</w:t>
      </w:r>
      <w:r>
        <w:rPr>
          <w:rFonts w:hint="eastAsia" w:ascii="仿宋_GB2312" w:eastAsia="仿宋_GB2312"/>
          <w:color w:val="auto"/>
          <w:spacing w:val="0"/>
          <w:sz w:val="32"/>
          <w:szCs w:val="32"/>
          <w:highlight w:val="none"/>
          <w:lang w:val="en-US" w:eastAsia="zh-CN"/>
        </w:rPr>
        <w:t>其中：本年收入合计1,965.24万元，使用非财政拨款结余0.00万元，年初结转和结余0.00万元。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1,965.24万元，</w:t>
      </w:r>
      <w:r>
        <w:rPr>
          <w:rFonts w:hint="eastAsia" w:ascii="仿宋_GB2312" w:eastAsia="仿宋_GB2312"/>
          <w:color w:val="auto"/>
          <w:spacing w:val="0"/>
          <w:sz w:val="32"/>
          <w:szCs w:val="32"/>
          <w:highlight w:val="none"/>
          <w:lang w:val="en-US" w:eastAsia="zh-CN"/>
        </w:rPr>
        <w:t>其中：本年支出合计1,965.24万元，结余分配0.00万元，年末结转和结余0.00万元。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val="zh-CN" w:eastAsia="zh-CN"/>
        </w:rPr>
        <w:t>减少71.25万元</w:t>
      </w:r>
      <w:r>
        <w:rPr>
          <w:rFonts w:hint="eastAsia" w:ascii="仿宋_GB2312" w:eastAsia="仿宋_GB2312"/>
          <w:color w:val="auto"/>
          <w:spacing w:val="0"/>
          <w:sz w:val="32"/>
          <w:szCs w:val="32"/>
          <w:highlight w:val="none"/>
          <w:lang w:val="en-US" w:eastAsia="zh-CN"/>
        </w:rPr>
        <w:t>，下降3.50%，主要原因是：上年度含疫情专项支出，本年无此支出。本年度长聘人员辞职17人，人员及相关公用经费减少，基本支出预算支出较上年度减少以及本着严格执行中央八项规定，厉行节约，压缩各项经费支出。对办公费、维修费、宣传制作费等相关支出尽量压缩，树立过紧日子的思想。比上年度减少了运转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Times New Roman"/>
          <w:bCs/>
          <w:color w:val="auto"/>
          <w:kern w:val="0"/>
          <w:sz w:val="32"/>
          <w:szCs w:val="32"/>
          <w:highlight w:val="none"/>
          <w:lang w:eastAsia="zh-CN"/>
        </w:rPr>
      </w:pPr>
      <w:bookmarkStart w:id="10" w:name="_Toc1979"/>
      <w:bookmarkStart w:id="11" w:name="_Toc12142"/>
      <w:r>
        <w:rPr>
          <w:rFonts w:hint="eastAsia" w:ascii="Times New Roman" w:hAnsi="Times New Roman" w:eastAsia="黑体" w:cs="Times New Roman"/>
          <w:bCs/>
          <w:color w:val="auto"/>
          <w:kern w:val="0"/>
          <w:sz w:val="32"/>
          <w:szCs w:val="32"/>
          <w:highlight w:val="none"/>
          <w:lang w:eastAsia="zh-CN"/>
        </w:rPr>
        <w:t>二、收入决算情况说明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Times New Roman" w:eastAsia="仿宋_GB2312" w:cs="Times New Roman"/>
          <w:color w:val="auto"/>
          <w:spacing w:val="0"/>
          <w:sz w:val="32"/>
          <w:szCs w:val="32"/>
          <w:highlight w:val="none"/>
          <w:lang w:val="en-US" w:eastAsia="zh-CN"/>
        </w:rPr>
      </w:pPr>
      <w:r>
        <w:rPr>
          <w:rFonts w:hint="eastAsia" w:ascii="仿宋_GB2312" w:hAnsi="Times New Roman" w:eastAsia="仿宋_GB2312" w:cs="Times New Roman"/>
          <w:color w:val="auto"/>
          <w:spacing w:val="0"/>
          <w:sz w:val="32"/>
          <w:szCs w:val="32"/>
          <w:highlight w:val="none"/>
          <w:lang w:val="en-US" w:eastAsia="zh-CN"/>
        </w:rPr>
        <w:t>本年收入1,965.24万元，其中：财政拨款收入</w:t>
      </w:r>
      <w:r>
        <w:rPr>
          <w:rFonts w:hint="eastAsia" w:ascii="仿宋_GB2312" w:hAnsi="Times New Roman" w:eastAsia="仿宋_GB2312" w:cs="Times New Roman"/>
          <w:color w:val="auto"/>
          <w:spacing w:val="0"/>
          <w:sz w:val="32"/>
          <w:szCs w:val="32"/>
          <w:highlight w:val="none"/>
          <w:lang w:val="zh-CN" w:eastAsia="zh-CN"/>
        </w:rPr>
        <w:t>1,965.24</w:t>
      </w:r>
      <w:r>
        <w:rPr>
          <w:rFonts w:hint="eastAsia" w:ascii="仿宋_GB2312" w:hAnsi="Times New Roman" w:eastAsia="仿宋_GB2312" w:cs="Times New Roman"/>
          <w:color w:val="auto"/>
          <w:spacing w:val="0"/>
          <w:sz w:val="32"/>
          <w:szCs w:val="32"/>
          <w:highlight w:val="none"/>
          <w:lang w:val="en-US" w:eastAsia="zh-CN"/>
        </w:rPr>
        <w:t>万元，占</w:t>
      </w:r>
      <w:r>
        <w:rPr>
          <w:rFonts w:hint="eastAsia" w:ascii="仿宋_GB2312" w:hAnsi="Times New Roman" w:eastAsia="仿宋_GB2312" w:cs="Times New Roman"/>
          <w:color w:val="auto"/>
          <w:spacing w:val="0"/>
          <w:sz w:val="32"/>
          <w:szCs w:val="32"/>
          <w:highlight w:val="none"/>
          <w:lang w:val="zh-CN" w:eastAsia="zh-CN"/>
        </w:rPr>
        <w:t>100.00</w:t>
      </w:r>
      <w:r>
        <w:rPr>
          <w:rFonts w:hint="eastAsia" w:ascii="仿宋_GB2312" w:hAnsi="Times New Roman" w:eastAsia="仿宋_GB2312" w:cs="Times New Roman"/>
          <w:color w:val="auto"/>
          <w:spacing w:val="0"/>
          <w:sz w:val="32"/>
          <w:szCs w:val="32"/>
          <w:highlight w:val="none"/>
          <w:lang w:val="en-US" w:eastAsia="zh-CN"/>
        </w:rPr>
        <w:t>%；上级补助收入</w:t>
      </w:r>
      <w:r>
        <w:rPr>
          <w:rFonts w:hint="eastAsia" w:ascii="仿宋_GB2312" w:hAnsi="Times New Roman" w:eastAsia="仿宋_GB2312" w:cs="Times New Roman"/>
          <w:color w:val="auto"/>
          <w:spacing w:val="0"/>
          <w:sz w:val="32"/>
          <w:szCs w:val="32"/>
          <w:highlight w:val="none"/>
          <w:lang w:val="zh-CN" w:eastAsia="zh-CN"/>
        </w:rPr>
        <w:t>0.00</w:t>
      </w:r>
      <w:r>
        <w:rPr>
          <w:rFonts w:hint="eastAsia" w:ascii="仿宋_GB2312" w:hAnsi="Times New Roman" w:eastAsia="仿宋_GB2312" w:cs="Times New Roman"/>
          <w:color w:val="auto"/>
          <w:spacing w:val="0"/>
          <w:sz w:val="32"/>
          <w:szCs w:val="32"/>
          <w:highlight w:val="none"/>
          <w:lang w:val="en-US" w:eastAsia="zh-CN"/>
        </w:rPr>
        <w:t>万元，占</w:t>
      </w:r>
      <w:r>
        <w:rPr>
          <w:rFonts w:hint="eastAsia" w:ascii="仿宋_GB2312" w:hAnsi="Times New Roman" w:eastAsia="仿宋_GB2312" w:cs="Times New Roman"/>
          <w:color w:val="auto"/>
          <w:spacing w:val="0"/>
          <w:sz w:val="32"/>
          <w:szCs w:val="32"/>
          <w:highlight w:val="none"/>
          <w:lang w:val="zh-CN" w:eastAsia="zh-CN"/>
        </w:rPr>
        <w:t>0.00</w:t>
      </w:r>
      <w:r>
        <w:rPr>
          <w:rFonts w:hint="eastAsia" w:ascii="仿宋_GB2312" w:hAnsi="Times New Roman" w:eastAsia="仿宋_GB2312" w:cs="Times New Roman"/>
          <w:color w:val="auto"/>
          <w:spacing w:val="0"/>
          <w:sz w:val="32"/>
          <w:szCs w:val="32"/>
          <w:highlight w:val="none"/>
          <w:lang w:val="en-US" w:eastAsia="zh-CN"/>
        </w:rPr>
        <w:t>%；事业收入</w:t>
      </w:r>
      <w:r>
        <w:rPr>
          <w:rFonts w:hint="eastAsia" w:ascii="仿宋_GB2312" w:hAnsi="Times New Roman" w:eastAsia="仿宋_GB2312" w:cs="Times New Roman"/>
          <w:color w:val="auto"/>
          <w:spacing w:val="0"/>
          <w:sz w:val="32"/>
          <w:szCs w:val="32"/>
          <w:highlight w:val="none"/>
          <w:lang w:val="zh-CN" w:eastAsia="zh-CN"/>
        </w:rPr>
        <w:t>0.00</w:t>
      </w:r>
      <w:r>
        <w:rPr>
          <w:rFonts w:hint="eastAsia" w:ascii="仿宋_GB2312" w:hAnsi="Times New Roman" w:eastAsia="仿宋_GB2312" w:cs="Times New Roman"/>
          <w:color w:val="auto"/>
          <w:spacing w:val="0"/>
          <w:sz w:val="32"/>
          <w:szCs w:val="32"/>
          <w:highlight w:val="none"/>
          <w:lang w:val="en-US" w:eastAsia="zh-CN"/>
        </w:rPr>
        <w:t>万元，占</w:t>
      </w:r>
      <w:r>
        <w:rPr>
          <w:rFonts w:hint="eastAsia" w:ascii="仿宋_GB2312" w:hAnsi="Times New Roman" w:eastAsia="仿宋_GB2312" w:cs="Times New Roman"/>
          <w:color w:val="auto"/>
          <w:spacing w:val="0"/>
          <w:sz w:val="32"/>
          <w:szCs w:val="32"/>
          <w:highlight w:val="none"/>
          <w:lang w:val="zh-CN" w:eastAsia="zh-CN"/>
        </w:rPr>
        <w:t>0.00</w:t>
      </w:r>
      <w:r>
        <w:rPr>
          <w:rFonts w:hint="eastAsia" w:ascii="仿宋_GB2312" w:hAnsi="Times New Roman" w:eastAsia="仿宋_GB2312" w:cs="Times New Roman"/>
          <w:color w:val="auto"/>
          <w:spacing w:val="0"/>
          <w:sz w:val="32"/>
          <w:szCs w:val="32"/>
          <w:highlight w:val="none"/>
          <w:lang w:val="en-US" w:eastAsia="zh-CN"/>
        </w:rPr>
        <w:t>%；经营收入</w:t>
      </w:r>
      <w:r>
        <w:rPr>
          <w:rFonts w:hint="eastAsia" w:ascii="仿宋_GB2312" w:hAnsi="Times New Roman" w:eastAsia="仿宋_GB2312" w:cs="Times New Roman"/>
          <w:color w:val="auto"/>
          <w:spacing w:val="0"/>
          <w:sz w:val="32"/>
          <w:szCs w:val="32"/>
          <w:highlight w:val="none"/>
          <w:lang w:val="zh-CN" w:eastAsia="zh-CN"/>
        </w:rPr>
        <w:t>0.00</w:t>
      </w:r>
      <w:r>
        <w:rPr>
          <w:rFonts w:hint="eastAsia" w:ascii="仿宋_GB2312" w:hAnsi="Times New Roman" w:eastAsia="仿宋_GB2312" w:cs="Times New Roman"/>
          <w:color w:val="auto"/>
          <w:spacing w:val="0"/>
          <w:sz w:val="32"/>
          <w:szCs w:val="32"/>
          <w:highlight w:val="none"/>
          <w:lang w:val="en-US" w:eastAsia="zh-CN"/>
        </w:rPr>
        <w:t>万元，占</w:t>
      </w:r>
      <w:r>
        <w:rPr>
          <w:rFonts w:hint="eastAsia" w:ascii="仿宋_GB2312" w:hAnsi="Times New Roman" w:eastAsia="仿宋_GB2312" w:cs="Times New Roman"/>
          <w:color w:val="auto"/>
          <w:spacing w:val="0"/>
          <w:sz w:val="32"/>
          <w:szCs w:val="32"/>
          <w:highlight w:val="none"/>
          <w:lang w:val="zh-CN" w:eastAsia="zh-CN"/>
        </w:rPr>
        <w:t>0.00</w:t>
      </w:r>
      <w:r>
        <w:rPr>
          <w:rFonts w:hint="eastAsia" w:ascii="仿宋_GB2312" w:hAnsi="Times New Roman" w:eastAsia="仿宋_GB2312" w:cs="Times New Roman"/>
          <w:color w:val="auto"/>
          <w:spacing w:val="0"/>
          <w:sz w:val="32"/>
          <w:szCs w:val="32"/>
          <w:highlight w:val="none"/>
          <w:lang w:val="en-US" w:eastAsia="zh-CN"/>
        </w:rPr>
        <w:t>%；附属单位上缴收入</w:t>
      </w:r>
      <w:r>
        <w:rPr>
          <w:rFonts w:hint="eastAsia" w:ascii="仿宋_GB2312" w:hAnsi="Times New Roman" w:eastAsia="仿宋_GB2312" w:cs="Times New Roman"/>
          <w:color w:val="auto"/>
          <w:spacing w:val="0"/>
          <w:sz w:val="32"/>
          <w:szCs w:val="32"/>
          <w:highlight w:val="none"/>
          <w:lang w:val="zh-CN" w:eastAsia="zh-CN"/>
        </w:rPr>
        <w:t>0.00</w:t>
      </w:r>
      <w:r>
        <w:rPr>
          <w:rFonts w:hint="eastAsia" w:ascii="仿宋_GB2312" w:hAnsi="Times New Roman" w:eastAsia="仿宋_GB2312" w:cs="Times New Roman"/>
          <w:color w:val="auto"/>
          <w:spacing w:val="0"/>
          <w:sz w:val="32"/>
          <w:szCs w:val="32"/>
          <w:highlight w:val="none"/>
          <w:lang w:val="en-US" w:eastAsia="zh-CN"/>
        </w:rPr>
        <w:t>万元，占</w:t>
      </w:r>
      <w:r>
        <w:rPr>
          <w:rFonts w:hint="eastAsia" w:ascii="仿宋_GB2312" w:hAnsi="Times New Roman" w:eastAsia="仿宋_GB2312" w:cs="Times New Roman"/>
          <w:color w:val="auto"/>
          <w:spacing w:val="0"/>
          <w:sz w:val="32"/>
          <w:szCs w:val="32"/>
          <w:highlight w:val="none"/>
          <w:lang w:val="zh-CN" w:eastAsia="zh-CN"/>
        </w:rPr>
        <w:t>0.00</w:t>
      </w:r>
      <w:r>
        <w:rPr>
          <w:rFonts w:hint="eastAsia" w:ascii="仿宋_GB2312" w:hAnsi="Times New Roman" w:eastAsia="仿宋_GB2312" w:cs="Times New Roman"/>
          <w:color w:val="auto"/>
          <w:spacing w:val="0"/>
          <w:sz w:val="32"/>
          <w:szCs w:val="32"/>
          <w:highlight w:val="none"/>
          <w:lang w:val="en-US" w:eastAsia="zh-CN"/>
        </w:rPr>
        <w:t>%；其他收入</w:t>
      </w:r>
      <w:r>
        <w:rPr>
          <w:rFonts w:hint="eastAsia" w:ascii="仿宋_GB2312" w:hAnsi="Times New Roman" w:eastAsia="仿宋_GB2312" w:cs="Times New Roman"/>
          <w:color w:val="auto"/>
          <w:spacing w:val="0"/>
          <w:sz w:val="32"/>
          <w:szCs w:val="32"/>
          <w:highlight w:val="none"/>
          <w:lang w:val="zh-CN" w:eastAsia="zh-CN"/>
        </w:rPr>
        <w:t>0.00</w:t>
      </w:r>
      <w:r>
        <w:rPr>
          <w:rFonts w:hint="eastAsia" w:ascii="仿宋_GB2312" w:hAnsi="Times New Roman" w:eastAsia="仿宋_GB2312" w:cs="Times New Roman"/>
          <w:color w:val="auto"/>
          <w:spacing w:val="0"/>
          <w:sz w:val="32"/>
          <w:szCs w:val="32"/>
          <w:highlight w:val="none"/>
          <w:lang w:val="en-US" w:eastAsia="zh-CN"/>
        </w:rPr>
        <w:t>万元，占</w:t>
      </w:r>
      <w:r>
        <w:rPr>
          <w:rFonts w:hint="eastAsia" w:ascii="仿宋_GB2312" w:hAnsi="Times New Roman" w:eastAsia="仿宋_GB2312" w:cs="Times New Roman"/>
          <w:color w:val="auto"/>
          <w:spacing w:val="0"/>
          <w:sz w:val="32"/>
          <w:szCs w:val="32"/>
          <w:highlight w:val="none"/>
          <w:lang w:val="zh-CN" w:eastAsia="zh-CN"/>
        </w:rPr>
        <w:t>0.00</w:t>
      </w:r>
      <w:r>
        <w:rPr>
          <w:rFonts w:hint="eastAsia" w:ascii="仿宋_GB2312" w:hAnsi="Times New Roman" w:eastAsia="仿宋_GB2312" w:cs="Times New Roman"/>
          <w:color w:val="auto"/>
          <w:spacing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Times New Roman"/>
          <w:bCs/>
          <w:color w:val="auto"/>
          <w:kern w:val="0"/>
          <w:sz w:val="32"/>
          <w:szCs w:val="32"/>
          <w:highlight w:val="none"/>
          <w:lang w:eastAsia="zh-CN"/>
        </w:rPr>
      </w:pPr>
      <w:bookmarkStart w:id="12" w:name="_Toc27961"/>
      <w:bookmarkStart w:id="13" w:name="_Toc13201"/>
      <w:r>
        <w:rPr>
          <w:rFonts w:hint="eastAsia" w:ascii="Times New Roman" w:hAnsi="Times New Roman" w:eastAsia="黑体" w:cs="Times New Roman"/>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Times New Roman" w:eastAsia="仿宋_GB2312" w:cs="Times New Roman"/>
          <w:color w:val="auto"/>
          <w:spacing w:val="0"/>
          <w:sz w:val="32"/>
          <w:szCs w:val="32"/>
          <w:highlight w:val="none"/>
          <w:lang w:val="zh-CN" w:eastAsia="zh-CN"/>
        </w:rPr>
      </w:pPr>
      <w:r>
        <w:rPr>
          <w:rFonts w:hint="eastAsia" w:ascii="仿宋_GB2312" w:hAnsi="Times New Roman" w:eastAsia="仿宋_GB2312" w:cs="Times New Roman"/>
          <w:color w:val="auto"/>
          <w:spacing w:val="0"/>
          <w:sz w:val="32"/>
          <w:szCs w:val="32"/>
          <w:highlight w:val="none"/>
          <w:lang w:val="zh-CN" w:eastAsia="zh-CN"/>
        </w:rPr>
        <w:t>本年支出1,965.24万元，其中：基本支出1,891.03万元，占96.22%；项目支出74.20万元，占3.78%；上缴上级支出0.00万元，占0.00%；经营支出0.00万元，占0.00%；对附属单位补助支出0.00万元，占0.00%。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Times New Roman"/>
          <w:bCs/>
          <w:color w:val="auto"/>
          <w:kern w:val="0"/>
          <w:sz w:val="32"/>
          <w:szCs w:val="32"/>
          <w:highlight w:val="none"/>
          <w:lang w:eastAsia="zh-CN"/>
        </w:rPr>
      </w:pPr>
      <w:bookmarkStart w:id="14" w:name="_Toc4393"/>
      <w:bookmarkStart w:id="15" w:name="_Toc26564"/>
      <w:r>
        <w:rPr>
          <w:rFonts w:hint="eastAsia" w:ascii="Times New Roman" w:hAnsi="Times New Roman" w:eastAsia="黑体" w:cs="Times New Roman"/>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hAnsi="Times New Roman" w:eastAsia="仿宋_GB2312" w:cs="Times New Roman"/>
          <w:color w:val="auto"/>
          <w:spacing w:val="0"/>
          <w:sz w:val="32"/>
          <w:szCs w:val="32"/>
          <w:highlight w:val="none"/>
          <w:lang w:val="zh-CN" w:eastAsia="zh-CN"/>
        </w:rPr>
        <w:t>2023年度财政拨款收入</w:t>
      </w:r>
      <w:r>
        <w:rPr>
          <w:rFonts w:hint="eastAsia" w:ascii="仿宋_GB2312" w:hAnsi="Times New Roman" w:eastAsia="仿宋_GB2312" w:cs="Times New Roman"/>
          <w:color w:val="auto"/>
          <w:spacing w:val="0"/>
          <w:sz w:val="32"/>
          <w:szCs w:val="32"/>
          <w:highlight w:val="none"/>
          <w:lang w:val="en-US" w:eastAsia="zh-CN"/>
        </w:rPr>
        <w:t>总计</w:t>
      </w:r>
      <w:r>
        <w:rPr>
          <w:rFonts w:hint="eastAsia" w:ascii="仿宋_GB2312" w:hAnsi="Times New Roman" w:eastAsia="仿宋_GB2312" w:cs="Times New Roman"/>
          <w:color w:val="auto"/>
          <w:spacing w:val="0"/>
          <w:sz w:val="32"/>
          <w:szCs w:val="32"/>
          <w:highlight w:val="none"/>
          <w:lang w:val="zh-CN" w:eastAsia="zh-CN"/>
        </w:rPr>
        <w:t>1,965.24万元，</w:t>
      </w:r>
      <w:r>
        <w:rPr>
          <w:rFonts w:hint="eastAsia" w:ascii="仿宋_GB2312" w:hAnsi="Times New Roman" w:eastAsia="仿宋_GB2312" w:cs="Times New Roman"/>
          <w:color w:val="auto"/>
          <w:spacing w:val="0"/>
          <w:sz w:val="32"/>
          <w:szCs w:val="32"/>
          <w:highlight w:val="none"/>
          <w:lang w:val="en-US" w:eastAsia="zh-CN"/>
        </w:rPr>
        <w:t>其中：年初财政拨款结转和结余</w:t>
      </w:r>
      <w:r>
        <w:rPr>
          <w:rFonts w:hint="eastAsia" w:ascii="仿宋_GB2312" w:hAnsi="Times New Roman" w:eastAsia="仿宋_GB2312" w:cs="Times New Roman"/>
          <w:color w:val="auto"/>
          <w:spacing w:val="0"/>
          <w:sz w:val="32"/>
          <w:szCs w:val="32"/>
          <w:highlight w:val="none"/>
          <w:lang w:val="zh-CN" w:eastAsia="zh-CN"/>
        </w:rPr>
        <w:t>0.00万元，</w:t>
      </w:r>
      <w:r>
        <w:rPr>
          <w:rFonts w:hint="eastAsia" w:ascii="仿宋_GB2312" w:hAnsi="Times New Roman" w:eastAsia="仿宋_GB2312" w:cs="Times New Roman"/>
          <w:color w:val="auto"/>
          <w:spacing w:val="0"/>
          <w:sz w:val="32"/>
          <w:szCs w:val="32"/>
          <w:highlight w:val="none"/>
          <w:lang w:val="en-US" w:eastAsia="zh-CN"/>
        </w:rPr>
        <w:t>本年财政拨款收入</w:t>
      </w:r>
      <w:r>
        <w:rPr>
          <w:rFonts w:hint="eastAsia" w:ascii="仿宋_GB2312" w:hAnsi="Times New Roman" w:eastAsia="仿宋_GB2312" w:cs="Times New Roman"/>
          <w:color w:val="auto"/>
          <w:spacing w:val="0"/>
          <w:sz w:val="32"/>
          <w:szCs w:val="32"/>
          <w:highlight w:val="none"/>
          <w:lang w:val="zh-CN" w:eastAsia="zh-CN"/>
        </w:rPr>
        <w:t>1,965.24万元。财政拨款支出</w:t>
      </w:r>
      <w:r>
        <w:rPr>
          <w:rFonts w:hint="eastAsia" w:ascii="仿宋_GB2312" w:hAnsi="Times New Roman" w:eastAsia="仿宋_GB2312" w:cs="Times New Roman"/>
          <w:color w:val="auto"/>
          <w:spacing w:val="0"/>
          <w:sz w:val="32"/>
          <w:szCs w:val="32"/>
          <w:highlight w:val="none"/>
          <w:lang w:val="en-US" w:eastAsia="zh-CN"/>
        </w:rPr>
        <w:t>总计</w:t>
      </w:r>
      <w:r>
        <w:rPr>
          <w:rFonts w:hint="eastAsia" w:ascii="仿宋_GB2312" w:hAnsi="Times New Roman" w:eastAsia="仿宋_GB2312" w:cs="Times New Roman"/>
          <w:color w:val="auto"/>
          <w:spacing w:val="0"/>
          <w:sz w:val="32"/>
          <w:szCs w:val="32"/>
          <w:highlight w:val="none"/>
          <w:lang w:val="zh-CN" w:eastAsia="zh-CN"/>
        </w:rPr>
        <w:t>1,965.24万元，</w:t>
      </w:r>
      <w:r>
        <w:rPr>
          <w:rFonts w:hint="eastAsia" w:ascii="仿宋_GB2312" w:hAnsi="Times New Roman" w:eastAsia="仿宋_GB2312" w:cs="Times New Roman"/>
          <w:color w:val="auto"/>
          <w:spacing w:val="0"/>
          <w:sz w:val="32"/>
          <w:szCs w:val="32"/>
          <w:highlight w:val="none"/>
          <w:lang w:val="en-US" w:eastAsia="zh-CN"/>
        </w:rPr>
        <w:t>其中：</w:t>
      </w:r>
      <w:r>
        <w:rPr>
          <w:rFonts w:hint="eastAsia" w:ascii="仿宋_GB2312" w:eastAsia="仿宋_GB2312"/>
          <w:color w:val="auto"/>
          <w:spacing w:val="0"/>
          <w:sz w:val="32"/>
          <w:szCs w:val="32"/>
          <w:highlight w:val="none"/>
          <w:lang w:val="en-US" w:eastAsia="zh-CN"/>
        </w:rPr>
        <w:t>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val="en-US" w:eastAsia="zh-CN"/>
        </w:rPr>
        <w:t>万元，本年财政拨款支出</w:t>
      </w:r>
      <w:r>
        <w:rPr>
          <w:rFonts w:hint="eastAsia" w:ascii="仿宋_GB2312" w:eastAsia="仿宋_GB2312"/>
          <w:color w:val="auto"/>
          <w:spacing w:val="0"/>
          <w:sz w:val="32"/>
          <w:szCs w:val="32"/>
          <w:highlight w:val="none"/>
          <w:lang w:val="zh-CN" w:eastAsia="zh-CN"/>
        </w:rPr>
        <w:t>1,965.24</w:t>
      </w:r>
      <w:r>
        <w:rPr>
          <w:rFonts w:hint="eastAsia" w:ascii="仿宋_GB2312" w:eastAsia="仿宋_GB2312"/>
          <w:color w:val="auto"/>
          <w:spacing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财政拨款收入支出总体与年上年度相比,</w:t>
      </w:r>
      <w:r>
        <w:rPr>
          <w:rFonts w:hint="eastAsia" w:ascii="仿宋_GB2312" w:eastAsia="仿宋_GB2312"/>
          <w:color w:val="auto"/>
          <w:spacing w:val="0"/>
          <w:sz w:val="32"/>
          <w:szCs w:val="32"/>
          <w:highlight w:val="none"/>
          <w:lang w:val="zh-CN" w:eastAsia="zh-CN"/>
        </w:rPr>
        <w:t>减少71.25万元</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下降3.50%，</w:t>
      </w:r>
      <w:r>
        <w:rPr>
          <w:rFonts w:hint="eastAsia" w:ascii="仿宋_GB2312" w:eastAsia="仿宋_GB2312"/>
          <w:color w:val="auto"/>
          <w:spacing w:val="0"/>
          <w:sz w:val="32"/>
          <w:szCs w:val="32"/>
          <w:highlight w:val="none"/>
          <w:lang w:val="en-US" w:eastAsia="zh-CN"/>
        </w:rPr>
        <w:t>主要原因是：</w:t>
      </w:r>
      <w:r>
        <w:rPr>
          <w:rFonts w:hint="default" w:ascii="Times New Roman" w:hAnsi="Times New Roman" w:eastAsia="仿宋_GB2312" w:cs="Times New Roman"/>
          <w:color w:val="auto"/>
          <w:spacing w:val="0"/>
          <w:sz w:val="32"/>
          <w:szCs w:val="32"/>
          <w:highlight w:val="none"/>
          <w:lang w:val="zh-CN" w:eastAsia="zh-CN"/>
        </w:rPr>
        <w:t>2023年长期聘用人员比上年减少1</w:t>
      </w:r>
      <w:r>
        <w:rPr>
          <w:rFonts w:hint="eastAsia" w:ascii="Times New Roman" w:hAnsi="Times New Roman" w:eastAsia="仿宋_GB2312" w:cs="Times New Roman"/>
          <w:color w:val="auto"/>
          <w:spacing w:val="0"/>
          <w:sz w:val="32"/>
          <w:szCs w:val="32"/>
          <w:highlight w:val="none"/>
          <w:lang w:val="en-US" w:eastAsia="zh-CN"/>
        </w:rPr>
        <w:t>7</w:t>
      </w:r>
      <w:r>
        <w:rPr>
          <w:rFonts w:hint="default" w:ascii="Times New Roman" w:hAnsi="Times New Roman" w:eastAsia="仿宋_GB2312" w:cs="Times New Roman"/>
          <w:color w:val="auto"/>
          <w:spacing w:val="0"/>
          <w:sz w:val="32"/>
          <w:szCs w:val="32"/>
          <w:highlight w:val="none"/>
          <w:lang w:val="zh-CN" w:eastAsia="zh-CN"/>
        </w:rPr>
        <w:t>人</w:t>
      </w:r>
      <w:r>
        <w:rPr>
          <w:rFonts w:hint="eastAsia" w:ascii="仿宋_GB2312" w:eastAsia="仿宋_GB2312"/>
          <w:color w:val="auto"/>
          <w:spacing w:val="0"/>
          <w:sz w:val="32"/>
          <w:szCs w:val="32"/>
          <w:highlight w:val="none"/>
          <w:lang w:val="en-US" w:eastAsia="zh-CN"/>
        </w:rPr>
        <w:t>，人员及相关公用经费减少。与年初预算相比，年初预算数</w:t>
      </w:r>
      <w:r>
        <w:rPr>
          <w:rFonts w:hint="eastAsia" w:ascii="仿宋_GB2312" w:eastAsia="仿宋_GB2312"/>
          <w:color w:val="auto"/>
          <w:spacing w:val="0"/>
          <w:sz w:val="32"/>
          <w:szCs w:val="32"/>
          <w:highlight w:val="none"/>
          <w:lang w:val="zh-CN" w:eastAsia="zh-CN"/>
        </w:rPr>
        <w:t>2,072.48</w:t>
      </w:r>
      <w:r>
        <w:rPr>
          <w:rFonts w:hint="eastAsia" w:ascii="仿宋_GB2312" w:eastAsia="仿宋_GB2312"/>
          <w:color w:val="auto"/>
          <w:spacing w:val="0"/>
          <w:sz w:val="32"/>
          <w:szCs w:val="32"/>
          <w:highlight w:val="none"/>
          <w:lang w:val="en-US" w:eastAsia="zh-CN"/>
        </w:rPr>
        <w:t>万元，决算数</w:t>
      </w:r>
      <w:r>
        <w:rPr>
          <w:rFonts w:hint="eastAsia" w:ascii="仿宋_GB2312" w:eastAsia="仿宋_GB2312"/>
          <w:color w:val="auto"/>
          <w:spacing w:val="0"/>
          <w:sz w:val="32"/>
          <w:szCs w:val="32"/>
          <w:highlight w:val="none"/>
          <w:lang w:val="zh-CN" w:eastAsia="zh-CN"/>
        </w:rPr>
        <w:t>1,965.24</w:t>
      </w:r>
      <w:r>
        <w:rPr>
          <w:rFonts w:hint="eastAsia" w:ascii="仿宋_GB2312" w:eastAsia="仿宋_GB2312"/>
          <w:color w:val="auto"/>
          <w:spacing w:val="0"/>
          <w:sz w:val="32"/>
          <w:szCs w:val="32"/>
          <w:highlight w:val="none"/>
          <w:lang w:val="en-US" w:eastAsia="zh-CN"/>
        </w:rPr>
        <w:t>万元，预决算差异率-5.17%，主要原因是：</w:t>
      </w:r>
      <w:r>
        <w:rPr>
          <w:rFonts w:hint="default" w:ascii="Times New Roman" w:hAnsi="Times New Roman" w:eastAsia="仿宋_GB2312" w:cs="Times New Roman"/>
          <w:color w:val="auto"/>
          <w:spacing w:val="0"/>
          <w:sz w:val="32"/>
          <w:szCs w:val="32"/>
          <w:highlight w:val="none"/>
          <w:lang w:val="zh-CN" w:eastAsia="zh-CN"/>
        </w:rPr>
        <w:t>2023年</w:t>
      </w:r>
      <w:r>
        <w:rPr>
          <w:rFonts w:hint="eastAsia" w:eastAsia="仿宋_GB2312" w:cs="Times New Roman"/>
          <w:color w:val="auto"/>
          <w:spacing w:val="0"/>
          <w:sz w:val="32"/>
          <w:szCs w:val="32"/>
          <w:highlight w:val="none"/>
          <w:lang w:val="zh-CN" w:eastAsia="zh-CN"/>
        </w:rPr>
        <w:t>度</w:t>
      </w:r>
      <w:r>
        <w:rPr>
          <w:rFonts w:hint="default" w:ascii="Times New Roman" w:hAnsi="Times New Roman" w:eastAsia="仿宋_GB2312" w:cs="Times New Roman"/>
          <w:color w:val="auto"/>
          <w:spacing w:val="0"/>
          <w:sz w:val="32"/>
          <w:szCs w:val="32"/>
          <w:highlight w:val="none"/>
          <w:lang w:val="zh-CN" w:eastAsia="zh-CN"/>
        </w:rPr>
        <w:t>长期聘用人员减少1</w:t>
      </w:r>
      <w:r>
        <w:rPr>
          <w:rFonts w:hint="eastAsia" w:ascii="Times New Roman" w:hAnsi="Times New Roman" w:eastAsia="仿宋_GB2312" w:cs="Times New Roman"/>
          <w:color w:val="auto"/>
          <w:spacing w:val="0"/>
          <w:sz w:val="32"/>
          <w:szCs w:val="32"/>
          <w:highlight w:val="none"/>
          <w:lang w:val="en-US" w:eastAsia="zh-CN"/>
        </w:rPr>
        <w:t>7</w:t>
      </w:r>
      <w:r>
        <w:rPr>
          <w:rFonts w:hint="default" w:ascii="Times New Roman" w:hAnsi="Times New Roman" w:eastAsia="仿宋_GB2312" w:cs="Times New Roman"/>
          <w:color w:val="auto"/>
          <w:spacing w:val="0"/>
          <w:sz w:val="32"/>
          <w:szCs w:val="32"/>
          <w:highlight w:val="none"/>
          <w:lang w:val="zh-CN" w:eastAsia="zh-CN"/>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cs="Times New Roman"/>
          <w:sz w:val="32"/>
          <w:szCs w:val="32"/>
          <w:highlight w:val="none"/>
          <w:lang w:eastAsia="zh-CN"/>
        </w:rPr>
      </w:pPr>
      <w:bookmarkStart w:id="16" w:name="_Toc13833"/>
      <w:bookmarkStart w:id="17" w:name="_Toc20360"/>
      <w:r>
        <w:rPr>
          <w:rFonts w:hint="eastAsia" w:ascii="黑体" w:hAnsi="黑体" w:eastAsia="黑体" w:cs="Times New Roman"/>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cs="Times New Roman"/>
          <w:sz w:val="32"/>
          <w:szCs w:val="32"/>
          <w:highlight w:val="none"/>
          <w:lang w:eastAsia="zh-CN"/>
        </w:rPr>
      </w:pPr>
      <w:r>
        <w:rPr>
          <w:rFonts w:hint="eastAsia" w:ascii="黑体" w:hAnsi="黑体" w:eastAsia="黑体" w:cs="Times New Roman"/>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2023年度一般公共预算财政拨款支出1,896.03万元，占</w:t>
      </w:r>
      <w:bookmarkStart w:id="18" w:name="OLE_LINK4"/>
      <w:r>
        <w:rPr>
          <w:rFonts w:hint="eastAsia" w:ascii="仿宋_GB2312" w:hAnsi="Times New Roman" w:eastAsia="仿宋_GB2312" w:cs="Times New Roman"/>
          <w:color w:val="auto"/>
          <w:spacing w:val="0"/>
          <w:kern w:val="2"/>
          <w:sz w:val="32"/>
          <w:szCs w:val="32"/>
          <w:highlight w:val="none"/>
          <w:lang w:val="en-US" w:eastAsia="zh-CN" w:bidi="ar-SA"/>
        </w:rPr>
        <w:t>本年支出合计的</w:t>
      </w:r>
      <w:r>
        <w:rPr>
          <w:rFonts w:hint="eastAsia" w:ascii="仿宋_GB2312" w:hAnsi="Times New Roman" w:eastAsia="仿宋_GB2312" w:cs="Times New Roman"/>
          <w:color w:val="auto"/>
          <w:spacing w:val="0"/>
          <w:kern w:val="2"/>
          <w:sz w:val="32"/>
          <w:szCs w:val="32"/>
          <w:highlight w:val="none"/>
          <w:lang w:val="zh-CN" w:eastAsia="zh-CN" w:bidi="ar-SA"/>
        </w:rPr>
        <w:t>96.48%</w:t>
      </w:r>
      <w:r>
        <w:rPr>
          <w:rFonts w:hint="eastAsia" w:ascii="仿宋_GB2312" w:hAnsi="Times New Roman" w:eastAsia="仿宋_GB2312" w:cs="Times New Roman"/>
          <w:color w:val="auto"/>
          <w:spacing w:val="0"/>
          <w:kern w:val="2"/>
          <w:sz w:val="32"/>
          <w:szCs w:val="32"/>
          <w:highlight w:val="none"/>
          <w:lang w:val="en-US" w:eastAsia="zh-CN" w:bidi="ar-SA"/>
        </w:rPr>
        <w:t>。与上年相比，</w:t>
      </w:r>
      <w:r>
        <w:rPr>
          <w:rFonts w:hint="eastAsia" w:ascii="仿宋_GB2312" w:hAnsi="Times New Roman" w:eastAsia="仿宋_GB2312" w:cs="Times New Roman"/>
          <w:color w:val="auto"/>
          <w:spacing w:val="0"/>
          <w:kern w:val="2"/>
          <w:sz w:val="32"/>
          <w:szCs w:val="32"/>
          <w:highlight w:val="none"/>
          <w:lang w:val="zh-CN" w:eastAsia="zh-CN" w:bidi="ar-SA"/>
        </w:rPr>
        <w:t>减少140.45万元</w:t>
      </w:r>
      <w:r>
        <w:rPr>
          <w:rFonts w:hint="eastAsia" w:ascii="仿宋_GB2312" w:hAnsi="Times New Roman" w:eastAsia="仿宋_GB2312" w:cs="Times New Roman"/>
          <w:color w:val="auto"/>
          <w:spacing w:val="0"/>
          <w:kern w:val="2"/>
          <w:sz w:val="32"/>
          <w:szCs w:val="32"/>
          <w:highlight w:val="none"/>
          <w:lang w:val="en-US" w:eastAsia="zh-CN" w:bidi="ar-SA"/>
        </w:rPr>
        <w:t>，</w:t>
      </w:r>
      <w:r>
        <w:rPr>
          <w:rFonts w:hint="eastAsia" w:ascii="仿宋_GB2312" w:hAnsi="Times New Roman" w:eastAsia="仿宋_GB2312" w:cs="Times New Roman"/>
          <w:color w:val="auto"/>
          <w:spacing w:val="0"/>
          <w:kern w:val="2"/>
          <w:sz w:val="32"/>
          <w:szCs w:val="32"/>
          <w:highlight w:val="none"/>
          <w:lang w:val="zh-CN" w:eastAsia="zh-CN" w:bidi="ar-SA"/>
        </w:rPr>
        <w:t>下降6.90%，</w:t>
      </w:r>
      <w:r>
        <w:rPr>
          <w:rFonts w:hint="eastAsia" w:ascii="仿宋_GB2312" w:hAnsi="Times New Roman" w:eastAsia="仿宋_GB2312" w:cs="Times New Roman"/>
          <w:color w:val="auto"/>
          <w:spacing w:val="0"/>
          <w:kern w:val="2"/>
          <w:sz w:val="32"/>
          <w:szCs w:val="32"/>
          <w:highlight w:val="none"/>
          <w:lang w:val="en-US" w:eastAsia="zh-CN" w:bidi="ar-SA"/>
        </w:rPr>
        <w:t>主要原因是：上年度含疫情专项支出，本年无此支出和本年长聘人员辞职17人，人员及相关公用经费减少，基本支出预算支出较上年度减少。与年初预算相比，年初预算数</w:t>
      </w:r>
      <w:r>
        <w:rPr>
          <w:rFonts w:hint="eastAsia" w:ascii="仿宋_GB2312" w:hAnsi="Times New Roman" w:eastAsia="仿宋_GB2312" w:cs="Times New Roman"/>
          <w:color w:val="auto"/>
          <w:spacing w:val="0"/>
          <w:kern w:val="2"/>
          <w:sz w:val="32"/>
          <w:szCs w:val="32"/>
          <w:highlight w:val="none"/>
          <w:lang w:val="zh-CN" w:eastAsia="zh-CN" w:bidi="ar-SA"/>
        </w:rPr>
        <w:t>2,043.75</w:t>
      </w:r>
      <w:r>
        <w:rPr>
          <w:rFonts w:hint="eastAsia" w:ascii="仿宋_GB2312" w:hAnsi="Times New Roman" w:eastAsia="仿宋_GB2312" w:cs="Times New Roman"/>
          <w:color w:val="auto"/>
          <w:spacing w:val="0"/>
          <w:kern w:val="2"/>
          <w:sz w:val="32"/>
          <w:szCs w:val="32"/>
          <w:highlight w:val="none"/>
          <w:lang w:val="en-US" w:eastAsia="zh-CN" w:bidi="ar-SA"/>
        </w:rPr>
        <w:t>万元，决算数</w:t>
      </w:r>
      <w:r>
        <w:rPr>
          <w:rFonts w:hint="eastAsia" w:ascii="仿宋_GB2312" w:hAnsi="Times New Roman" w:eastAsia="仿宋_GB2312" w:cs="Times New Roman"/>
          <w:color w:val="auto"/>
          <w:spacing w:val="0"/>
          <w:kern w:val="2"/>
          <w:sz w:val="32"/>
          <w:szCs w:val="32"/>
          <w:highlight w:val="none"/>
          <w:lang w:val="zh-CN" w:eastAsia="zh-CN" w:bidi="ar-SA"/>
        </w:rPr>
        <w:t>1,896.03</w:t>
      </w:r>
      <w:r>
        <w:rPr>
          <w:rFonts w:hint="eastAsia" w:ascii="仿宋_GB2312" w:hAnsi="Times New Roman" w:eastAsia="仿宋_GB2312" w:cs="Times New Roman"/>
          <w:color w:val="auto"/>
          <w:spacing w:val="0"/>
          <w:kern w:val="2"/>
          <w:sz w:val="32"/>
          <w:szCs w:val="32"/>
          <w:highlight w:val="none"/>
          <w:lang w:val="en-US" w:eastAsia="zh-CN" w:bidi="ar-SA"/>
        </w:rPr>
        <w:t>万元，预决算差异率</w:t>
      </w:r>
      <w:r>
        <w:rPr>
          <w:rFonts w:hint="eastAsia" w:ascii="仿宋_GB2312" w:hAnsi="Times New Roman" w:eastAsia="仿宋_GB2312" w:cs="Times New Roman"/>
          <w:color w:val="auto"/>
          <w:spacing w:val="0"/>
          <w:kern w:val="2"/>
          <w:sz w:val="32"/>
          <w:szCs w:val="32"/>
          <w:highlight w:val="none"/>
          <w:lang w:val="zh-CN" w:eastAsia="zh-CN" w:bidi="ar-SA"/>
        </w:rPr>
        <w:t>-7.23%</w:t>
      </w:r>
      <w:r>
        <w:rPr>
          <w:rFonts w:hint="eastAsia" w:ascii="仿宋_GB2312" w:hAnsi="Times New Roman" w:eastAsia="仿宋_GB2312" w:cs="Times New Roman"/>
          <w:color w:val="auto"/>
          <w:spacing w:val="0"/>
          <w:kern w:val="2"/>
          <w:sz w:val="32"/>
          <w:szCs w:val="32"/>
          <w:highlight w:val="none"/>
          <w:lang w:val="en-US" w:eastAsia="zh-CN" w:bidi="ar-SA"/>
        </w:rPr>
        <w:t>，主要原因是：严格执行中央八项规定，厉行节约，压缩各项经费支出。各项收入相对体现出预算编制的科学合理性，有效的节约了不必需的开支。</w:t>
      </w:r>
      <w:bookmarkEnd w:id="18"/>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1,594.13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84.08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2.20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0.12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.文化旅游体育与传媒支出（类）</w:t>
      </w:r>
      <w:r>
        <w:rPr>
          <w:rFonts w:hint="eastAsia" w:ascii="仿宋_GB2312" w:hAnsi="Times New Roman" w:eastAsia="仿宋_GB2312" w:cs="Times New Roman"/>
          <w:color w:val="auto"/>
          <w:spacing w:val="0"/>
          <w:kern w:val="2"/>
          <w:sz w:val="32"/>
          <w:szCs w:val="32"/>
          <w:highlight w:val="none"/>
          <w:lang w:val="zh-CN" w:eastAsia="zh-CN" w:bidi="ar-SA"/>
        </w:rPr>
        <w:t>5.00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0.26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201.92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10.65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5</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36.87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1.94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6</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55.91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2.95</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spacing w:line="560" w:lineRule="exact"/>
        <w:ind w:firstLine="640" w:firstLineChars="200"/>
        <w:outlineLvl w:val="2"/>
        <w:rPr>
          <w:rFonts w:hint="eastAsia" w:ascii="方正仿宋_GBK" w:hAnsi="方正仿宋_GBK" w:eastAsia="方正仿宋_GBK" w:cs="方正仿宋_GBK"/>
          <w:bCs/>
          <w:kern w:val="0"/>
          <w:sz w:val="31"/>
          <w:szCs w:val="31"/>
          <w:lang w:eastAsia="zh-CN"/>
        </w:rPr>
      </w:pPr>
      <w:r>
        <w:rPr>
          <w:rFonts w:hint="eastAsia"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en-US" w:eastAsia="zh-CN" w:bidi="ar-SA"/>
        </w:rPr>
        <w:t>.一</w:t>
      </w:r>
      <w:r>
        <w:rPr>
          <w:rFonts w:hint="eastAsia" w:ascii="方正仿宋_GBK" w:hAnsi="方正仿宋_GBK" w:eastAsia="方正仿宋_GBK" w:cs="方正仿宋_GBK"/>
          <w:bCs/>
          <w:kern w:val="0"/>
          <w:sz w:val="31"/>
          <w:szCs w:val="31"/>
          <w:lang w:val="en-US" w:eastAsia="zh-CN"/>
        </w:rPr>
        <w:t>般公共服务支出（类）政府办公厅（室）及相关机构事务（款）行政运行（项）:支出决算数为1,539.89万元，比上年决算增加15.87万元，增长1.04%，主要原因是：</w:t>
      </w:r>
      <w:r>
        <w:rPr>
          <w:rFonts w:hint="eastAsia" w:ascii="方正仿宋_GBK" w:hAnsi="方正仿宋_GBK" w:eastAsia="方正仿宋_GBK" w:cs="方正仿宋_GBK"/>
          <w:bCs/>
          <w:kern w:val="0"/>
          <w:sz w:val="31"/>
          <w:szCs w:val="31"/>
        </w:rPr>
        <w:t>1.</w:t>
      </w:r>
      <w:r>
        <w:rPr>
          <w:rFonts w:hint="eastAsia" w:ascii="方正仿宋_GBK" w:hAnsi="方正仿宋_GBK" w:eastAsia="方正仿宋_GBK" w:cs="方正仿宋_GBK"/>
          <w:bCs/>
          <w:kern w:val="0"/>
          <w:sz w:val="31"/>
          <w:szCs w:val="31"/>
          <w:lang w:eastAsia="zh-CN"/>
        </w:rPr>
        <w:t>本年度发放2020年下半年绩效；2.发放2021年及2022年优秀考核奖以及人员</w:t>
      </w:r>
      <w:r>
        <w:rPr>
          <w:rFonts w:hint="eastAsia" w:ascii="方正仿宋_GBK" w:hAnsi="方正仿宋_GBK" w:eastAsia="方正仿宋_GBK" w:cs="方正仿宋_GBK"/>
          <w:bCs/>
          <w:kern w:val="0"/>
          <w:sz w:val="31"/>
          <w:szCs w:val="31"/>
        </w:rPr>
        <w:t>住房公积金和社保缴费基数提高</w:t>
      </w:r>
      <w:r>
        <w:rPr>
          <w:rFonts w:hint="eastAsia" w:ascii="方正仿宋_GBK" w:hAnsi="方正仿宋_GBK" w:eastAsia="方正仿宋_GBK" w:cs="方正仿宋_GBK"/>
          <w:bCs/>
          <w:kern w:val="0"/>
          <w:sz w:val="31"/>
          <w:szCs w:val="31"/>
          <w:lang w:eastAsia="zh-CN"/>
        </w:rPr>
        <w:t>，</w:t>
      </w:r>
      <w:r>
        <w:rPr>
          <w:rFonts w:hint="eastAsia" w:ascii="方正仿宋_GBK" w:hAnsi="方正仿宋_GBK" w:eastAsia="方正仿宋_GBK" w:cs="方正仿宋_GBK"/>
          <w:bCs/>
          <w:kern w:val="0"/>
          <w:sz w:val="31"/>
          <w:szCs w:val="31"/>
        </w:rPr>
        <w:t>社保费支出</w:t>
      </w:r>
      <w:r>
        <w:rPr>
          <w:rFonts w:hint="eastAsia" w:ascii="方正仿宋_GBK" w:hAnsi="方正仿宋_GBK" w:eastAsia="方正仿宋_GBK" w:cs="方正仿宋_GBK"/>
          <w:bCs/>
          <w:kern w:val="0"/>
          <w:sz w:val="31"/>
          <w:szCs w:val="31"/>
          <w:lang w:eastAsia="zh-CN"/>
        </w:rPr>
        <w:t>增加</w:t>
      </w:r>
      <w:r>
        <w:rPr>
          <w:rFonts w:hint="eastAsia" w:ascii="方正仿宋_GBK" w:hAnsi="方正仿宋_GBK" w:eastAsia="方正仿宋_GBK" w:cs="方正仿宋_GBK"/>
          <w:bCs/>
          <w:kern w:val="0"/>
          <w:sz w:val="31"/>
          <w:szCs w:val="31"/>
        </w:rPr>
        <w:t>。</w:t>
      </w:r>
      <w:r>
        <w:rPr>
          <w:rFonts w:hint="eastAsia" w:ascii="方正仿宋_GBK" w:hAnsi="方正仿宋_GBK" w:eastAsia="方正仿宋_GBK" w:cs="方正仿宋_GBK"/>
          <w:bCs/>
          <w:kern w:val="0"/>
          <w:sz w:val="31"/>
          <w:szCs w:val="31"/>
          <w:lang w:val="en-US" w:eastAsia="zh-CN"/>
        </w:rPr>
        <w:t>3.</w:t>
      </w:r>
      <w:r>
        <w:rPr>
          <w:rFonts w:hint="eastAsia" w:ascii="方正仿宋_GBK" w:hAnsi="方正仿宋_GBK" w:eastAsia="方正仿宋_GBK" w:cs="方正仿宋_GBK"/>
          <w:bCs/>
          <w:kern w:val="0"/>
          <w:sz w:val="31"/>
          <w:szCs w:val="31"/>
          <w:lang w:eastAsia="zh-CN"/>
        </w:rPr>
        <w:t>事业岗人员转三岗十八级工资及社保增加，支出费用增加。</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en-US"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2.一般公共服务支出（类）政府办公厅（室）及相关机构事务（款）其他政府办公厅（室）及相关机构事务支出（项）:支出决算数为0.00万元，比上年决算减少51.36万元，下降100%，主要原因是：本年度未安排</w:t>
      </w:r>
      <w:r>
        <w:rPr>
          <w:rFonts w:hint="eastAsia" w:ascii="仿宋_GB2312" w:hAnsi="Times New Roman" w:eastAsia="仿宋_GB2312" w:cs="Times New Roman"/>
          <w:color w:val="auto"/>
          <w:spacing w:val="0"/>
          <w:kern w:val="2"/>
          <w:sz w:val="32"/>
          <w:szCs w:val="32"/>
          <w:highlight w:val="none"/>
          <w:lang w:val="zh-CN" w:eastAsia="zh-CN" w:bidi="ar-SA"/>
        </w:rPr>
        <w:t>此项</w:t>
      </w:r>
      <w:r>
        <w:rPr>
          <w:rFonts w:hint="eastAsia" w:ascii="仿宋_GB2312" w:hAnsi="Times New Roman" w:eastAsia="仿宋_GB2312" w:cs="Times New Roman"/>
          <w:color w:val="auto"/>
          <w:spacing w:val="0"/>
          <w:kern w:val="2"/>
          <w:sz w:val="32"/>
          <w:szCs w:val="32"/>
          <w:highlight w:val="none"/>
          <w:lang w:val="en-US" w:eastAsia="zh-CN" w:bidi="ar-SA"/>
        </w:rPr>
        <w:t>预算。</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3.一般公共服务支出（类）纪检监察事务（款）其他纪检监察事务支出（项）:支出决算数为1.50万元，比上年决算增加0.50万元，增长50.00%，主要原因是：为保障</w:t>
      </w:r>
      <w:r>
        <w:rPr>
          <w:rFonts w:hint="eastAsia" w:ascii="仿宋_GB2312" w:hAnsi="Times New Roman" w:eastAsia="仿宋_GB2312" w:cs="Times New Roman"/>
          <w:color w:val="auto"/>
          <w:spacing w:val="0"/>
          <w:kern w:val="2"/>
          <w:sz w:val="32"/>
          <w:szCs w:val="32"/>
          <w:highlight w:val="none"/>
          <w:lang w:val="zh-CN" w:eastAsia="zh-CN" w:bidi="ar-SA"/>
        </w:rPr>
        <w:t>纪检各项工作顺利开展，本年度上级纪检专项经费下拨数增加</w:t>
      </w:r>
      <w:r>
        <w:rPr>
          <w:rFonts w:hint="eastAsia" w:ascii="仿宋_GB2312" w:hAnsi="Times New Roman" w:eastAsia="仿宋_GB2312" w:cs="Times New Roman"/>
          <w:color w:val="auto"/>
          <w:spacing w:val="0"/>
          <w:kern w:val="2"/>
          <w:sz w:val="32"/>
          <w:szCs w:val="32"/>
          <w:highlight w:val="none"/>
          <w:lang w:val="en-US" w:eastAsia="zh-CN" w:bidi="ar-SA"/>
        </w:rPr>
        <w:t>0.5万元</w:t>
      </w:r>
      <w:r>
        <w:rPr>
          <w:rFonts w:hint="eastAsia" w:ascii="仿宋_GB2312" w:hAnsi="Times New Roman" w:eastAsia="仿宋_GB2312" w:cs="Times New Roman"/>
          <w:color w:val="auto"/>
          <w:spacing w:val="0"/>
          <w:kern w:val="2"/>
          <w:sz w:val="32"/>
          <w:szCs w:val="32"/>
          <w:highlight w:val="none"/>
          <w:lang w:val="zh-CN" w:eastAsia="zh-CN" w:bidi="ar-SA"/>
        </w:rPr>
        <w:t>，购买了纪检办案设备和办公用品等。</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4.一般公共服务支出（类）组织事务（款）其他组织事务支出（项）:支出决算数为46.68万元，比上年决算减少103.52万元，下降68.92%，主要原因是：上年度支出访惠聚和第一书记生活补助经费52.46万元，日常运转经费（社区党建工作经费）项目87.74万元，延续项目-街道办事处社区示范社区建设经费10万元。本年度此项目只支出访惠聚和第一书记生活补助经费46.68万元。</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5.一般公共服务支出（类）统战事务（款）宗教事务（项）:支出决算数为0.50万元，比上年决算增加0.50万元，增长100%，主要原因是：上年度未安排</w:t>
      </w:r>
      <w:r>
        <w:rPr>
          <w:rFonts w:hint="eastAsia" w:ascii="仿宋_GB2312" w:hAnsi="Times New Roman" w:eastAsia="仿宋_GB2312" w:cs="Times New Roman"/>
          <w:color w:val="auto"/>
          <w:spacing w:val="0"/>
          <w:kern w:val="2"/>
          <w:sz w:val="32"/>
          <w:szCs w:val="32"/>
          <w:highlight w:val="none"/>
          <w:lang w:val="zh-CN" w:eastAsia="zh-CN" w:bidi="ar-SA"/>
        </w:rPr>
        <w:t>此项</w:t>
      </w:r>
      <w:r>
        <w:rPr>
          <w:rFonts w:hint="eastAsia" w:ascii="仿宋_GB2312" w:hAnsi="Times New Roman" w:eastAsia="仿宋_GB2312" w:cs="Times New Roman"/>
          <w:color w:val="auto"/>
          <w:spacing w:val="0"/>
          <w:kern w:val="2"/>
          <w:sz w:val="32"/>
          <w:szCs w:val="32"/>
          <w:highlight w:val="none"/>
          <w:lang w:val="en-US" w:eastAsia="zh-CN" w:bidi="ar-SA"/>
        </w:rPr>
        <w:t>预算。</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6.一般公共服务支出（类）统战事务（款）其他统战事务支出（项）:支出决算数为5.56万元，比上年决算减少0.71万元，下降11.3</w:t>
      </w:r>
      <w:r>
        <w:rPr>
          <w:rFonts w:hint="eastAsia" w:ascii="仿宋_GB2312" w:eastAsia="仿宋_GB2312" w:cs="Times New Roman"/>
          <w:color w:val="auto"/>
          <w:spacing w:val="0"/>
          <w:kern w:val="2"/>
          <w:sz w:val="32"/>
          <w:szCs w:val="32"/>
          <w:highlight w:val="none"/>
          <w:lang w:val="en-US" w:eastAsia="zh-CN" w:bidi="ar-SA"/>
        </w:rPr>
        <w:t>2</w:t>
      </w:r>
      <w:r>
        <w:rPr>
          <w:rFonts w:hint="eastAsia" w:ascii="仿宋_GB2312" w:hAnsi="Times New Roman" w:eastAsia="仿宋_GB2312" w:cs="Times New Roman"/>
          <w:color w:val="auto"/>
          <w:spacing w:val="0"/>
          <w:kern w:val="2"/>
          <w:sz w:val="32"/>
          <w:szCs w:val="32"/>
          <w:highlight w:val="none"/>
          <w:lang w:val="en-US" w:eastAsia="zh-CN" w:bidi="ar-SA"/>
        </w:rPr>
        <w:t>%，主要原因是：</w:t>
      </w:r>
      <w:r>
        <w:rPr>
          <w:rFonts w:hint="eastAsia" w:ascii="仿宋_GB2312" w:eastAsia="仿宋_GB2312" w:cs="Times New Roman"/>
          <w:color w:val="auto"/>
          <w:spacing w:val="0"/>
          <w:kern w:val="2"/>
          <w:sz w:val="32"/>
          <w:szCs w:val="32"/>
          <w:highlight w:val="none"/>
          <w:lang w:val="en-US" w:eastAsia="zh-CN" w:bidi="ar-SA"/>
        </w:rPr>
        <w:t>本</w:t>
      </w:r>
      <w:r>
        <w:rPr>
          <w:rFonts w:hint="eastAsia" w:ascii="仿宋_GB2312" w:hAnsi="Times New Roman" w:eastAsia="仿宋_GB2312" w:cs="Times New Roman"/>
          <w:color w:val="auto"/>
          <w:spacing w:val="0"/>
          <w:kern w:val="2"/>
          <w:sz w:val="32"/>
          <w:szCs w:val="32"/>
          <w:highlight w:val="none"/>
          <w:lang w:val="en-US" w:eastAsia="zh-CN" w:bidi="ar-SA"/>
        </w:rPr>
        <w:t>年度驻村管寺工作人员减少2名工作人员，生活补助减少。</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7.国防支出（类）国防动员（款）民兵（项）:支出决算数为0.00万元，比上年决算减少1.54万元，下降100%，主要原因是：</w:t>
      </w:r>
      <w:r>
        <w:rPr>
          <w:rFonts w:hint="eastAsia" w:ascii="仿宋_GB2312" w:hAnsi="Times New Roman" w:eastAsia="仿宋_GB2312" w:cs="Times New Roman"/>
          <w:color w:val="auto"/>
          <w:spacing w:val="0"/>
          <w:kern w:val="2"/>
          <w:sz w:val="32"/>
          <w:szCs w:val="32"/>
          <w:highlight w:val="none"/>
          <w:lang w:val="zh-CN" w:eastAsia="zh-CN" w:bidi="ar-SA"/>
        </w:rPr>
        <w:t>此项补助自</w:t>
      </w:r>
      <w:r>
        <w:rPr>
          <w:rFonts w:hint="eastAsia" w:ascii="仿宋_GB2312" w:hAnsi="Times New Roman" w:eastAsia="仿宋_GB2312" w:cs="Times New Roman"/>
          <w:color w:val="auto"/>
          <w:spacing w:val="0"/>
          <w:kern w:val="2"/>
          <w:sz w:val="32"/>
          <w:szCs w:val="32"/>
          <w:highlight w:val="none"/>
          <w:lang w:val="en-US" w:eastAsia="zh-CN" w:bidi="ar-SA"/>
        </w:rPr>
        <w:t>2023年</w:t>
      </w:r>
      <w:r>
        <w:rPr>
          <w:rFonts w:hint="eastAsia" w:ascii="仿宋_GB2312" w:hAnsi="Times New Roman" w:eastAsia="仿宋_GB2312" w:cs="Times New Roman"/>
          <w:color w:val="auto"/>
          <w:spacing w:val="0"/>
          <w:kern w:val="2"/>
          <w:sz w:val="32"/>
          <w:szCs w:val="32"/>
          <w:highlight w:val="none"/>
          <w:lang w:val="zh-CN" w:eastAsia="zh-CN" w:bidi="ar-SA"/>
        </w:rPr>
        <w:t>由新疆维吾尔自治区军区直接打卡至民兵本人卡中，不通过单位打卡。</w:t>
      </w:r>
      <w:r>
        <w:rPr>
          <w:rFonts w:hint="eastAsia" w:ascii="仿宋_GB2312" w:hAnsi="Times New Roman" w:eastAsia="仿宋_GB2312" w:cs="Times New Roman"/>
          <w:color w:val="auto"/>
          <w:spacing w:val="0"/>
          <w:kern w:val="2"/>
          <w:sz w:val="32"/>
          <w:szCs w:val="32"/>
          <w:highlight w:val="none"/>
          <w:lang w:val="en-US" w:eastAsia="zh-CN" w:bidi="ar-SA"/>
        </w:rPr>
        <w:t>本年度未安排</w:t>
      </w:r>
      <w:r>
        <w:rPr>
          <w:rFonts w:hint="eastAsia" w:ascii="仿宋_GB2312" w:hAnsi="Times New Roman" w:eastAsia="仿宋_GB2312" w:cs="Times New Roman"/>
          <w:color w:val="auto"/>
          <w:spacing w:val="0"/>
          <w:kern w:val="2"/>
          <w:sz w:val="32"/>
          <w:szCs w:val="32"/>
          <w:highlight w:val="none"/>
          <w:lang w:val="zh-CN" w:eastAsia="zh-CN" w:bidi="ar-SA"/>
        </w:rPr>
        <w:t>此项</w:t>
      </w:r>
      <w:r>
        <w:rPr>
          <w:rFonts w:hint="eastAsia" w:ascii="仿宋_GB2312" w:hAnsi="Times New Roman" w:eastAsia="仿宋_GB2312" w:cs="Times New Roman"/>
          <w:color w:val="auto"/>
          <w:spacing w:val="0"/>
          <w:kern w:val="2"/>
          <w:sz w:val="32"/>
          <w:szCs w:val="32"/>
          <w:highlight w:val="none"/>
          <w:lang w:val="en-US" w:eastAsia="zh-CN" w:bidi="ar-SA"/>
        </w:rPr>
        <w:t>预算。</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8.教育支出（类）进修及培训（款）培训支出（项）:支出决算数为2.20万元，比上年决算增加0.86万元，增长64.</w:t>
      </w:r>
      <w:r>
        <w:rPr>
          <w:rFonts w:hint="eastAsia" w:ascii="仿宋_GB2312" w:eastAsia="仿宋_GB2312" w:cs="Times New Roman"/>
          <w:color w:val="auto"/>
          <w:spacing w:val="0"/>
          <w:kern w:val="2"/>
          <w:sz w:val="32"/>
          <w:szCs w:val="32"/>
          <w:highlight w:val="none"/>
          <w:lang w:val="en-US" w:eastAsia="zh-CN" w:bidi="ar-SA"/>
        </w:rPr>
        <w:t>18</w:t>
      </w:r>
      <w:r>
        <w:rPr>
          <w:rFonts w:hint="eastAsia" w:ascii="仿宋_GB2312" w:hAnsi="Times New Roman" w:eastAsia="仿宋_GB2312" w:cs="Times New Roman"/>
          <w:color w:val="auto"/>
          <w:spacing w:val="0"/>
          <w:kern w:val="2"/>
          <w:sz w:val="32"/>
          <w:szCs w:val="32"/>
          <w:highlight w:val="none"/>
          <w:lang w:val="en-US" w:eastAsia="zh-CN" w:bidi="ar-SA"/>
        </w:rPr>
        <w:t>%，主要原因是：</w:t>
      </w:r>
      <w:r>
        <w:rPr>
          <w:rFonts w:hint="eastAsia" w:ascii="仿宋_GB2312" w:hAnsi="Times New Roman" w:eastAsia="仿宋_GB2312" w:cs="Times New Roman"/>
          <w:color w:val="auto"/>
          <w:spacing w:val="0"/>
          <w:kern w:val="2"/>
          <w:sz w:val="32"/>
          <w:szCs w:val="32"/>
          <w:highlight w:val="none"/>
          <w:lang w:val="zh-CN" w:eastAsia="zh-CN" w:bidi="ar-SA"/>
        </w:rPr>
        <w:t>为提高基层干部工作能力，市委组织基层书记、干部到内地进行考察学习，所以本年增加外出培训次数与人次，经费增加。</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en-US"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9.文化旅游体育与传媒支出（类）文化和旅游（款）其他文化和旅游支出（项）:支出决算数为4.30万元，比上年决算增加4.30万元，增长100%，主要原因是：上年度未安排此科目预算，上年度支出科目为其他文化和旅游支出科目，非本项科目。</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en-US"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10.文化旅游体育与传媒支出（类）其他文化旅游体育与传媒支出（款）其他文化旅游体育与传媒支出（项）:支出决算数为0.70万元，比上年决算减少0.99万元，下降58.</w:t>
      </w:r>
      <w:r>
        <w:rPr>
          <w:rFonts w:hint="eastAsia" w:ascii="仿宋_GB2312" w:eastAsia="仿宋_GB2312" w:cs="Times New Roman"/>
          <w:color w:val="auto"/>
          <w:spacing w:val="0"/>
          <w:kern w:val="2"/>
          <w:sz w:val="32"/>
          <w:szCs w:val="32"/>
          <w:highlight w:val="none"/>
          <w:lang w:val="en-US" w:eastAsia="zh-CN" w:bidi="ar-SA"/>
        </w:rPr>
        <w:t>58</w:t>
      </w:r>
      <w:r>
        <w:rPr>
          <w:rFonts w:hint="eastAsia" w:ascii="仿宋_GB2312" w:hAnsi="Times New Roman" w:eastAsia="仿宋_GB2312" w:cs="Times New Roman"/>
          <w:color w:val="auto"/>
          <w:spacing w:val="0"/>
          <w:kern w:val="2"/>
          <w:sz w:val="32"/>
          <w:szCs w:val="32"/>
          <w:highlight w:val="none"/>
          <w:lang w:val="en-US" w:eastAsia="zh-CN" w:bidi="ar-SA"/>
        </w:rPr>
        <w:t>%，主要原因是：上年度其他文化旅游体育与传媒支出全部列入此项目（2079999），本年度其他文化旅游体育与传媒支出一部分列入（2070199）项目。因此本年度此项目支出减少。</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11.社会保障和就业支出（类）行政事业单位养老支出（款）行政单位离退休（项）:支出决算数为1.28万元，比上年决算增加0.64万元，增长100.00%，主要原因是：一是本年度增加一名退休人员；二是本年度退休人员绩效奖较上年增加</w:t>
      </w:r>
      <w:r>
        <w:rPr>
          <w:rFonts w:hint="eastAsia" w:ascii="仿宋_GB2312"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12.社会保障和就业支出（类）行政事业单位养老支出（款）机关事业单位基本养老保险缴费支出（项）:支出决算数为85.20万元，比上年决算增加17.00万元，增长24.92%，主要原因是：</w:t>
      </w:r>
      <w:r>
        <w:rPr>
          <w:rFonts w:hint="eastAsia" w:ascii="仿宋_GB2312" w:eastAsia="仿宋_GB2312" w:cs="Times New Roman"/>
          <w:color w:val="auto"/>
          <w:spacing w:val="0"/>
          <w:kern w:val="2"/>
          <w:sz w:val="32"/>
          <w:szCs w:val="32"/>
          <w:highlight w:val="none"/>
          <w:lang w:val="zh-CN" w:eastAsia="zh-CN" w:bidi="ar-SA"/>
        </w:rPr>
        <w:t>本年度人员</w:t>
      </w:r>
      <w:r>
        <w:rPr>
          <w:rFonts w:hint="eastAsia" w:ascii="仿宋_GB2312" w:eastAsia="仿宋_GB2312" w:cs="Times New Roman"/>
          <w:color w:val="auto"/>
          <w:spacing w:val="0"/>
          <w:kern w:val="2"/>
          <w:sz w:val="32"/>
          <w:szCs w:val="32"/>
          <w:highlight w:val="none"/>
          <w:lang w:val="en-US" w:eastAsia="zh-CN" w:bidi="ar-SA"/>
        </w:rPr>
        <w:t>机关事业单位基本养老保险缴费</w:t>
      </w:r>
      <w:r>
        <w:rPr>
          <w:rFonts w:hint="eastAsia" w:ascii="仿宋_GB2312" w:eastAsia="仿宋_GB2312" w:cs="Times New Roman"/>
          <w:color w:val="auto"/>
          <w:spacing w:val="0"/>
          <w:kern w:val="2"/>
          <w:sz w:val="32"/>
          <w:szCs w:val="32"/>
          <w:highlight w:val="none"/>
          <w:lang w:val="zh-CN" w:eastAsia="zh-CN" w:bidi="ar-SA"/>
        </w:rPr>
        <w:t>基数增加，</w:t>
      </w:r>
      <w:r>
        <w:rPr>
          <w:rFonts w:hint="eastAsia" w:ascii="仿宋_GB2312" w:eastAsia="仿宋_GB2312" w:cs="Times New Roman"/>
          <w:color w:val="auto"/>
          <w:spacing w:val="0"/>
          <w:kern w:val="2"/>
          <w:sz w:val="32"/>
          <w:szCs w:val="32"/>
          <w:highlight w:val="none"/>
          <w:lang w:val="en-US" w:eastAsia="zh-CN" w:bidi="ar-SA"/>
        </w:rPr>
        <w:t>经费增加</w:t>
      </w:r>
      <w:r>
        <w:rPr>
          <w:rFonts w:hint="eastAsia" w:ascii="仿宋_GB2312"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13.社会保障和就业支出（类）行政事业单位养老支出（款）机关事业单位职业年金缴费支出（项）:支出决算数为5.62万元，比上年决算增加5.62万元，增长100%，主要原因是：</w:t>
      </w:r>
      <w:r>
        <w:rPr>
          <w:rFonts w:hint="eastAsia" w:ascii="仿宋_GB2312" w:eastAsia="仿宋_GB2312" w:cs="Times New Roman"/>
          <w:color w:val="auto"/>
          <w:spacing w:val="0"/>
          <w:kern w:val="2"/>
          <w:sz w:val="32"/>
          <w:szCs w:val="32"/>
          <w:highlight w:val="none"/>
          <w:lang w:val="zh-CN" w:eastAsia="zh-CN" w:bidi="ar-SA"/>
        </w:rPr>
        <w:t>本年度增加退休人员</w:t>
      </w:r>
      <w:r>
        <w:rPr>
          <w:rFonts w:hint="eastAsia" w:ascii="仿宋_GB2312" w:eastAsia="仿宋_GB2312" w:cs="Times New Roman"/>
          <w:color w:val="auto"/>
          <w:spacing w:val="0"/>
          <w:kern w:val="2"/>
          <w:sz w:val="32"/>
          <w:szCs w:val="32"/>
          <w:highlight w:val="none"/>
          <w:lang w:val="en-US" w:eastAsia="zh-CN" w:bidi="ar-SA"/>
        </w:rPr>
        <w:t>1人，增加职业年金5.62元</w:t>
      </w:r>
      <w:r>
        <w:rPr>
          <w:rFonts w:hint="eastAsia" w:ascii="仿宋_GB2312"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en-US" w:eastAsia="zh-CN" w:bidi="ar-SA"/>
        </w:rPr>
        <w:t>经费增加</w:t>
      </w:r>
      <w:r>
        <w:rPr>
          <w:rFonts w:hint="eastAsia" w:ascii="仿宋_GB2312"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eastAsia="仿宋_GB2312" w:cs="Times New Roman"/>
          <w:color w:val="auto"/>
          <w:spacing w:val="0"/>
          <w:kern w:val="2"/>
          <w:sz w:val="32"/>
          <w:szCs w:val="32"/>
          <w:highlight w:val="none"/>
          <w:lang w:val="en-US" w:eastAsia="zh-CN" w:bidi="ar-SA"/>
        </w:rPr>
      </w:pPr>
      <w:r>
        <w:rPr>
          <w:rFonts w:hint="eastAsia" w:ascii="仿宋_GB2312" w:eastAsia="仿宋_GB2312" w:cs="Times New Roman"/>
          <w:color w:val="auto"/>
          <w:spacing w:val="0"/>
          <w:kern w:val="2"/>
          <w:sz w:val="32"/>
          <w:szCs w:val="32"/>
          <w:highlight w:val="none"/>
          <w:lang w:val="en-US" w:eastAsia="zh-CN" w:bidi="ar-SA"/>
        </w:rPr>
        <w:t>14.社会保障和就业支出（类）就业补助（款）公益性岗位补贴（项）:支出决算数为109.82万元，比上年决算减少28.95万元，下降20.86%，主要原因是：上年度公益性岗位社保列支此项，本年度公岗辞职1人。</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15.卫生健康支出（类）公共卫生（款）突发公共卫生事件应急处理（项）:支出决算数为0.00万元，比上年决算</w:t>
      </w:r>
      <w:r>
        <w:rPr>
          <w:rFonts w:hint="eastAsia" w:ascii="仿宋_GB2312" w:hAnsi="Times New Roman" w:eastAsia="仿宋_GB2312" w:cs="Times New Roman"/>
          <w:color w:val="auto"/>
          <w:spacing w:val="0"/>
          <w:kern w:val="2"/>
          <w:sz w:val="32"/>
          <w:szCs w:val="32"/>
          <w:highlight w:val="none"/>
          <w:lang w:val="en-US" w:eastAsia="zh-CN" w:bidi="ar-SA"/>
        </w:rPr>
        <w:t>减少3.28万元，下降100%，主要原因是：此项经费为</w:t>
      </w:r>
      <w:r>
        <w:rPr>
          <w:rFonts w:hint="eastAsia" w:ascii="仿宋_GB2312" w:hAnsi="Times New Roman" w:eastAsia="仿宋_GB2312" w:cs="Times New Roman"/>
          <w:color w:val="auto"/>
          <w:spacing w:val="0"/>
          <w:kern w:val="2"/>
          <w:sz w:val="32"/>
          <w:szCs w:val="32"/>
          <w:highlight w:val="none"/>
          <w:lang w:val="zh-CN" w:eastAsia="zh-CN" w:bidi="ar-SA"/>
        </w:rPr>
        <w:t>上年度疫情期间专项经费，</w:t>
      </w:r>
      <w:r>
        <w:rPr>
          <w:rFonts w:hint="eastAsia" w:ascii="仿宋_GB2312" w:hAnsi="Times New Roman" w:eastAsia="仿宋_GB2312" w:cs="Times New Roman"/>
          <w:color w:val="auto"/>
          <w:spacing w:val="0"/>
          <w:kern w:val="2"/>
          <w:sz w:val="32"/>
          <w:szCs w:val="32"/>
          <w:highlight w:val="none"/>
          <w:lang w:val="en-US" w:eastAsia="zh-CN" w:bidi="ar-SA"/>
        </w:rPr>
        <w:t>本年度未安排</w:t>
      </w:r>
      <w:r>
        <w:rPr>
          <w:rFonts w:hint="eastAsia" w:ascii="仿宋_GB2312" w:hAnsi="Times New Roman" w:eastAsia="仿宋_GB2312" w:cs="Times New Roman"/>
          <w:color w:val="auto"/>
          <w:spacing w:val="0"/>
          <w:kern w:val="2"/>
          <w:sz w:val="32"/>
          <w:szCs w:val="32"/>
          <w:highlight w:val="none"/>
          <w:lang w:val="zh-CN" w:eastAsia="zh-CN" w:bidi="ar-SA"/>
        </w:rPr>
        <w:t>此项</w:t>
      </w:r>
      <w:r>
        <w:rPr>
          <w:rFonts w:hint="eastAsia" w:ascii="仿宋_GB2312" w:hAnsi="Times New Roman" w:eastAsia="仿宋_GB2312" w:cs="Times New Roman"/>
          <w:color w:val="auto"/>
          <w:spacing w:val="0"/>
          <w:kern w:val="2"/>
          <w:sz w:val="32"/>
          <w:szCs w:val="32"/>
          <w:highlight w:val="none"/>
          <w:lang w:val="en-US" w:eastAsia="zh-CN" w:bidi="ar-SA"/>
        </w:rPr>
        <w:t>预算。</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16.卫生健康支出（类）行政事业单位医疗（款）行政单位医疗（项）:支出决算数为33.07万元，比上年决算增加2.34万元，增长7.6</w:t>
      </w:r>
      <w:r>
        <w:rPr>
          <w:rFonts w:hint="eastAsia" w:ascii="仿宋_GB2312" w:eastAsia="仿宋_GB2312" w:cs="Times New Roman"/>
          <w:color w:val="auto"/>
          <w:spacing w:val="0"/>
          <w:kern w:val="2"/>
          <w:sz w:val="32"/>
          <w:szCs w:val="32"/>
          <w:highlight w:val="none"/>
          <w:lang w:val="en-US" w:eastAsia="zh-CN" w:bidi="ar-SA"/>
        </w:rPr>
        <w:t>1</w:t>
      </w:r>
      <w:r>
        <w:rPr>
          <w:rFonts w:hint="eastAsia" w:ascii="仿宋_GB2312" w:hAnsi="Times New Roman" w:eastAsia="仿宋_GB2312" w:cs="Times New Roman"/>
          <w:color w:val="auto"/>
          <w:spacing w:val="0"/>
          <w:kern w:val="2"/>
          <w:sz w:val="32"/>
          <w:szCs w:val="32"/>
          <w:highlight w:val="none"/>
          <w:lang w:val="en-US" w:eastAsia="zh-CN" w:bidi="ar-SA"/>
        </w:rPr>
        <w:t>%，主要原因是：</w:t>
      </w:r>
      <w:r>
        <w:rPr>
          <w:rFonts w:hint="eastAsia" w:ascii="仿宋_GB2312" w:hAnsi="Times New Roman" w:eastAsia="仿宋_GB2312" w:cs="Times New Roman"/>
          <w:color w:val="auto"/>
          <w:spacing w:val="0"/>
          <w:kern w:val="2"/>
          <w:sz w:val="32"/>
          <w:szCs w:val="32"/>
          <w:highlight w:val="none"/>
          <w:lang w:val="zh-CN" w:eastAsia="zh-CN" w:bidi="ar-SA"/>
        </w:rPr>
        <w:t>本年度行政单位医疗保险缴费基数调整，经费增加。</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17.卫生健康支出（类）行政事业单位医疗（款）公务员医疗补助（项）:支出决算数为3.80万元，比上年决算增加1.27万元，增长</w:t>
      </w:r>
      <w:r>
        <w:rPr>
          <w:rFonts w:hint="eastAsia" w:ascii="仿宋_GB2312" w:eastAsia="仿宋_GB2312" w:cs="Times New Roman"/>
          <w:color w:val="auto"/>
          <w:spacing w:val="0"/>
          <w:kern w:val="2"/>
          <w:sz w:val="32"/>
          <w:szCs w:val="32"/>
          <w:highlight w:val="none"/>
          <w:lang w:val="en-US" w:eastAsia="zh-CN" w:bidi="ar-SA"/>
        </w:rPr>
        <w:t>50.20</w:t>
      </w:r>
      <w:r>
        <w:rPr>
          <w:rFonts w:hint="eastAsia" w:ascii="仿宋_GB2312" w:hAnsi="Times New Roman" w:eastAsia="仿宋_GB2312" w:cs="Times New Roman"/>
          <w:color w:val="auto"/>
          <w:spacing w:val="0"/>
          <w:kern w:val="2"/>
          <w:sz w:val="32"/>
          <w:szCs w:val="32"/>
          <w:highlight w:val="none"/>
          <w:lang w:val="en-US" w:eastAsia="zh-CN" w:bidi="ar-SA"/>
        </w:rPr>
        <w:t>%，主要原因是：</w:t>
      </w:r>
      <w:r>
        <w:rPr>
          <w:rFonts w:hint="eastAsia" w:ascii="仿宋_GB2312" w:hAnsi="Times New Roman" w:eastAsia="仿宋_GB2312" w:cs="Times New Roman"/>
          <w:color w:val="auto"/>
          <w:spacing w:val="0"/>
          <w:kern w:val="2"/>
          <w:sz w:val="32"/>
          <w:szCs w:val="32"/>
          <w:highlight w:val="none"/>
          <w:lang w:val="zh-CN" w:eastAsia="zh-CN" w:bidi="ar-SA"/>
        </w:rPr>
        <w:t>本年度行政单位医疗保险缴费基数调整，经费增加。</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18.住房保障支出（类）住房改革支出（款）住房公积金（项）:支出决算数为55.91万元，比上年决算增加1.01万元，增长1.84%，主要原因是：</w:t>
      </w:r>
      <w:r>
        <w:rPr>
          <w:rFonts w:hint="eastAsia" w:ascii="仿宋_GB2312" w:hAnsi="Times New Roman" w:eastAsia="仿宋_GB2312" w:cs="Times New Roman"/>
          <w:color w:val="auto"/>
          <w:spacing w:val="0"/>
          <w:kern w:val="2"/>
          <w:sz w:val="32"/>
          <w:szCs w:val="32"/>
          <w:highlight w:val="none"/>
          <w:lang w:val="zh-CN" w:eastAsia="zh-CN" w:bidi="ar-SA"/>
        </w:rPr>
        <w:t>本年度人员公积金基数增加以及事业岗转三岗十八级工资增加导制公积金增加，</w:t>
      </w:r>
      <w:r>
        <w:rPr>
          <w:rFonts w:hint="eastAsia" w:ascii="仿宋_GB2312" w:hAnsi="Times New Roman" w:eastAsia="仿宋_GB2312" w:cs="Times New Roman"/>
          <w:color w:val="auto"/>
          <w:spacing w:val="0"/>
          <w:kern w:val="2"/>
          <w:sz w:val="32"/>
          <w:szCs w:val="32"/>
          <w:highlight w:val="none"/>
          <w:lang w:val="en-US" w:eastAsia="zh-CN" w:bidi="ar-SA"/>
        </w:rPr>
        <w:t>经费增加</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2023年度一般公共预算财政拨款基本支出1,891.03万元，其中：人员经费1,858.95万元，包括：</w:t>
      </w:r>
      <w:r>
        <w:rPr>
          <w:rFonts w:hint="eastAsia" w:ascii="仿宋_GB2312" w:eastAsia="仿宋_GB2312"/>
          <w:color w:val="auto"/>
          <w:spacing w:val="0"/>
          <w:sz w:val="32"/>
          <w:szCs w:val="32"/>
          <w:highlight w:val="none"/>
          <w:lang w:val="en-US" w:eastAsia="zh-CN"/>
        </w:rPr>
        <w:t>基本工资、津贴补贴、奖金、机关事业单位基本养老保险缴费、职业年金缴费、职工基本医疗保险缴费、公务员医疗补助缴费、其他社会保障缴费、住房公积金、其他工资福利支出、退休费、生活补助、奖励金。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公用经费32.09万元，包括：</w:t>
      </w:r>
      <w:r>
        <w:rPr>
          <w:rFonts w:hint="eastAsia" w:ascii="仿宋_GB2312" w:eastAsia="仿宋_GB2312"/>
          <w:color w:val="auto"/>
          <w:spacing w:val="0"/>
          <w:sz w:val="32"/>
          <w:szCs w:val="32"/>
          <w:highlight w:val="none"/>
          <w:lang w:val="en-US" w:eastAsia="zh-CN"/>
        </w:rPr>
        <w:t>办公费、水费、电费、邮电费、取暖费、培训费、工会经费、公务用车运行维护费、其他交通费用。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“三公”经费支出1.74万元，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bookmarkStart w:id="19" w:name="OLE_LINK1"/>
      <w:r>
        <w:rPr>
          <w:rFonts w:hint="eastAsia" w:ascii="仿宋_GB2312" w:eastAsia="仿宋_GB2312"/>
          <w:color w:val="auto"/>
          <w:sz w:val="32"/>
          <w:szCs w:val="32"/>
          <w:highlight w:val="none"/>
          <w:lang w:val="zh-CN" w:eastAsia="zh-CN"/>
        </w:rPr>
        <w:t>严格控制“三公”经费，厉行节约，与上年相比无变动。</w:t>
      </w:r>
      <w:bookmarkEnd w:id="19"/>
      <w:r>
        <w:rPr>
          <w:rFonts w:hint="eastAsia" w:ascii="仿宋_GB2312" w:eastAsia="仿宋_GB2312"/>
          <w:color w:val="auto"/>
          <w:sz w:val="32"/>
          <w:szCs w:val="32"/>
          <w:highlight w:val="none"/>
          <w:lang w:val="zh-CN" w:eastAsia="zh-CN"/>
        </w:rPr>
        <w:t>其中：因公出国（境）费支出0.00万元，占0.00%，比上年增加0.00万元，增长0.00%，主要原因是：本单位本年度无因公出国（境）费支出，与上年相比无变动；公务用车购置及运行维护费支出1.74万元，占100.00%，比上年增加0.00万元，增长0.00%，主要原因是：严格控制“三公”经费，厉行节约，与上年相比无变动；公务接待费支出0.00万元，占0.00%，比上年增加0.00万元，增长0.00%，主要原因是：本单位本年度无公务接待费支出，与上年相比无变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因公出国（境）费支出0.00万元，开支内容包括本年未安排因公出国（境）费支出，无开支内容。单位全年安排</w:t>
      </w:r>
      <w:r>
        <w:rPr>
          <w:rFonts w:hint="eastAsia" w:ascii="仿宋_GB2312" w:hAnsi="Times New Roman" w:eastAsia="仿宋_GB2312" w:cs="Times New Roman"/>
          <w:color w:val="auto"/>
          <w:sz w:val="32"/>
          <w:szCs w:val="32"/>
          <w:highlight w:val="none"/>
          <w:lang w:val="zh-CN" w:eastAsia="zh-CN"/>
        </w:rPr>
        <w:t>的因公出国（境）团组0个，因公出国（境）0人次。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zh-CN" w:eastAsia="zh-CN"/>
        </w:rPr>
        <w:t>公务用车购置及运行维护费1.74万元，其中：公务用车购置费0.00万元，公务用车运行维护费1.74万元。公务用车运行维护费开支内容包括辆燃油费、维修费、保险费等。公务用车购置数0辆，公务用车保有量5辆。国有资产占用情况</w:t>
      </w:r>
      <w:r>
        <w:rPr>
          <w:rFonts w:hint="eastAsia" w:ascii="仿宋_GB2312" w:hAnsi="Times New Roman" w:eastAsia="仿宋_GB2312" w:cs="Times New Roman"/>
          <w:color w:val="auto"/>
          <w:sz w:val="32"/>
          <w:szCs w:val="32"/>
          <w:highlight w:val="none"/>
          <w:lang w:val="en-US" w:eastAsia="zh-CN"/>
        </w:rPr>
        <w:t>中固定资产车辆</w:t>
      </w:r>
      <w:r>
        <w:rPr>
          <w:rFonts w:hint="eastAsia" w:ascii="仿宋_GB2312" w:hAnsi="Times New Roman" w:eastAsia="仿宋_GB2312" w:cs="Times New Roman"/>
          <w:color w:val="auto"/>
          <w:sz w:val="32"/>
          <w:szCs w:val="32"/>
          <w:highlight w:val="none"/>
          <w:lang w:val="zh-CN" w:eastAsia="zh-CN"/>
        </w:rPr>
        <w:t>5辆，</w:t>
      </w:r>
      <w:r>
        <w:rPr>
          <w:rFonts w:hint="eastAsia" w:ascii="仿宋_GB2312" w:hAnsi="Times New Roman" w:eastAsia="仿宋_GB2312" w:cs="Times New Roman"/>
          <w:color w:val="auto"/>
          <w:sz w:val="32"/>
          <w:szCs w:val="32"/>
          <w:highlight w:val="none"/>
          <w:lang w:val="en-US" w:eastAsia="zh-CN"/>
        </w:rPr>
        <w:t>与</w:t>
      </w:r>
      <w:r>
        <w:rPr>
          <w:rFonts w:hint="eastAsia" w:ascii="仿宋_GB2312" w:hAnsi="Times New Roman" w:eastAsia="仿宋_GB2312" w:cs="Times New Roman"/>
          <w:color w:val="auto"/>
          <w:sz w:val="32"/>
          <w:szCs w:val="32"/>
          <w:highlight w:val="none"/>
          <w:lang w:val="zh-CN" w:eastAsia="zh-CN"/>
        </w:rPr>
        <w:t>公务用车</w:t>
      </w:r>
      <w:r>
        <w:rPr>
          <w:rFonts w:hint="eastAsia" w:ascii="仿宋_GB2312" w:hAnsi="Times New Roman" w:eastAsia="仿宋_GB2312" w:cs="Times New Roman"/>
          <w:color w:val="auto"/>
          <w:sz w:val="32"/>
          <w:szCs w:val="32"/>
          <w:highlight w:val="none"/>
          <w:lang w:val="en-US" w:eastAsia="zh-CN"/>
        </w:rPr>
        <w:t>保有量差异</w:t>
      </w:r>
      <w:r>
        <w:rPr>
          <w:rFonts w:hint="eastAsia" w:ascii="仿宋_GB2312" w:hAnsi="Times New Roman" w:eastAsia="仿宋_GB2312" w:cs="Times New Roman"/>
          <w:color w:val="auto"/>
          <w:sz w:val="32"/>
          <w:szCs w:val="32"/>
          <w:highlight w:val="none"/>
          <w:lang w:val="zh-CN" w:eastAsia="zh-CN"/>
        </w:rPr>
        <w:t>原因是：无差异。</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color w:val="auto"/>
          <w:sz w:val="32"/>
          <w:szCs w:val="32"/>
          <w:highlight w:val="none"/>
          <w:lang w:val="zh-CN" w:eastAsia="zh-CN"/>
        </w:rPr>
      </w:pPr>
      <w:r>
        <w:rPr>
          <w:rFonts w:hint="eastAsia" w:ascii="仿宋_GB2312" w:hAnsi="Times New Roman" w:eastAsia="仿宋_GB2312" w:cs="Times New Roman"/>
          <w:color w:val="auto"/>
          <w:sz w:val="32"/>
          <w:szCs w:val="32"/>
          <w:highlight w:val="none"/>
          <w:lang w:val="zh-CN" w:eastAsia="zh-CN"/>
        </w:rPr>
        <w:t>公务接待费0.00万元，</w:t>
      </w:r>
      <w:bookmarkStart w:id="20" w:name="OLE_LINK2"/>
      <w:r>
        <w:rPr>
          <w:rFonts w:hint="eastAsia" w:ascii="仿宋_GB2312" w:hAnsi="Times New Roman" w:eastAsia="仿宋_GB2312" w:cs="Times New Roman"/>
          <w:color w:val="auto"/>
          <w:sz w:val="32"/>
          <w:szCs w:val="32"/>
          <w:highlight w:val="none"/>
          <w:lang w:val="zh-CN" w:eastAsia="zh-CN"/>
        </w:rPr>
        <w:t>本年未安排公务接待费支出，无开支内容。</w:t>
      </w:r>
      <w:bookmarkEnd w:id="20"/>
      <w:r>
        <w:rPr>
          <w:rFonts w:hint="eastAsia" w:ascii="仿宋_GB2312" w:hAnsi="Times New Roman" w:eastAsia="仿宋_GB2312" w:cs="Times New Roman"/>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color w:val="auto"/>
          <w:sz w:val="32"/>
          <w:szCs w:val="32"/>
          <w:highlight w:val="none"/>
          <w:lang w:val="zh-CN" w:eastAsia="zh-CN"/>
        </w:rPr>
      </w:pPr>
      <w:r>
        <w:rPr>
          <w:rFonts w:hint="eastAsia" w:ascii="仿宋_GB2312" w:hAnsi="Times New Roman" w:eastAsia="仿宋_GB2312" w:cs="Times New Roman"/>
          <w:color w:val="auto"/>
          <w:sz w:val="32"/>
          <w:szCs w:val="32"/>
          <w:highlight w:val="none"/>
          <w:lang w:val="zh-CN" w:eastAsia="zh-CN"/>
        </w:rPr>
        <w:t>与</w:t>
      </w:r>
      <w:r>
        <w:rPr>
          <w:rFonts w:hint="eastAsia" w:ascii="仿宋_GB2312" w:hAnsi="Times New Roman" w:eastAsia="仿宋_GB2312" w:cs="Times New Roman"/>
          <w:color w:val="auto"/>
          <w:sz w:val="32"/>
          <w:szCs w:val="32"/>
          <w:highlight w:val="none"/>
          <w:lang w:val="en-US" w:eastAsia="zh-CN"/>
        </w:rPr>
        <w:t>全年</w:t>
      </w:r>
      <w:r>
        <w:rPr>
          <w:rFonts w:hint="eastAsia" w:ascii="仿宋_GB2312" w:hAnsi="Times New Roman" w:eastAsia="仿宋_GB2312" w:cs="Times New Roman"/>
          <w:color w:val="auto"/>
          <w:sz w:val="32"/>
          <w:szCs w:val="32"/>
          <w:highlight w:val="none"/>
          <w:lang w:val="zh-CN" w:eastAsia="zh-CN"/>
        </w:rPr>
        <w:t>预算相比</w:t>
      </w:r>
      <w:r>
        <w:rPr>
          <w:rFonts w:hint="eastAsia" w:ascii="仿宋_GB2312" w:hAnsi="Times New Roman" w:eastAsia="仿宋_GB2312" w:cs="Times New Roman"/>
          <w:color w:val="auto"/>
          <w:sz w:val="32"/>
          <w:szCs w:val="32"/>
          <w:highlight w:val="none"/>
          <w:lang w:val="en-US" w:eastAsia="zh-CN"/>
        </w:rPr>
        <w:t>,</w:t>
      </w:r>
      <w:r>
        <w:rPr>
          <w:rFonts w:hint="eastAsia" w:ascii="仿宋_GB2312" w:hAnsi="Times New Roman" w:eastAsia="仿宋_GB2312" w:cs="Times New Roman"/>
          <w:color w:val="auto"/>
          <w:sz w:val="32"/>
          <w:szCs w:val="32"/>
          <w:highlight w:val="none"/>
          <w:lang w:val="zh-CN" w:eastAsia="zh-CN"/>
        </w:rPr>
        <w:t>财政拨款“三公”经费支出</w:t>
      </w:r>
      <w:r>
        <w:rPr>
          <w:rFonts w:hint="eastAsia" w:ascii="仿宋_GB2312" w:hAnsi="Times New Roman" w:eastAsia="仿宋_GB2312" w:cs="Times New Roman"/>
          <w:color w:val="auto"/>
          <w:sz w:val="32"/>
          <w:szCs w:val="32"/>
          <w:highlight w:val="none"/>
          <w:lang w:val="en-US" w:eastAsia="zh-CN"/>
        </w:rPr>
        <w:t>全年</w:t>
      </w:r>
      <w:r>
        <w:rPr>
          <w:rFonts w:hint="eastAsia" w:ascii="仿宋_GB2312" w:hAnsi="Times New Roman" w:eastAsia="仿宋_GB2312" w:cs="Times New Roman"/>
          <w:color w:val="auto"/>
          <w:sz w:val="32"/>
          <w:szCs w:val="32"/>
          <w:highlight w:val="none"/>
          <w:lang w:val="zh-CN" w:eastAsia="zh-CN"/>
        </w:rPr>
        <w:t>预算数1.74万元，决算数1.74万元，预决算差异率0.00%，主要原因是：</w:t>
      </w:r>
      <w:bookmarkStart w:id="21" w:name="OLE_LINK3"/>
      <w:r>
        <w:rPr>
          <w:rFonts w:hint="eastAsia" w:ascii="仿宋_GB2312" w:hAnsi="Times New Roman" w:eastAsia="仿宋_GB2312" w:cs="Times New Roman"/>
          <w:color w:val="auto"/>
          <w:sz w:val="32"/>
          <w:szCs w:val="32"/>
          <w:highlight w:val="none"/>
          <w:lang w:val="zh-CN" w:eastAsia="zh-CN"/>
        </w:rPr>
        <w:t>认真贯彻落实中央八项规定精神和厉行节约要求，从严控制“三公”经费开支，预决算无差异</w:t>
      </w:r>
      <w:bookmarkEnd w:id="21"/>
      <w:r>
        <w:rPr>
          <w:rFonts w:hint="eastAsia" w:ascii="仿宋_GB2312" w:hAnsi="Times New Roman" w:eastAsia="仿宋_GB2312" w:cs="Times New Roman"/>
          <w:color w:val="auto"/>
          <w:sz w:val="32"/>
          <w:szCs w:val="32"/>
          <w:highlight w:val="none"/>
          <w:lang w:val="zh-CN" w:eastAsia="zh-CN"/>
        </w:rPr>
        <w:t>。其中：因公出国（境）费</w:t>
      </w:r>
      <w:r>
        <w:rPr>
          <w:rFonts w:hint="eastAsia" w:ascii="仿宋_GB2312" w:hAnsi="Times New Roman" w:eastAsia="仿宋_GB2312" w:cs="Times New Roman"/>
          <w:color w:val="auto"/>
          <w:sz w:val="32"/>
          <w:szCs w:val="32"/>
          <w:highlight w:val="none"/>
          <w:lang w:val="en-US" w:eastAsia="zh-CN"/>
        </w:rPr>
        <w:t>全年预算数</w:t>
      </w:r>
      <w:r>
        <w:rPr>
          <w:rFonts w:hint="eastAsia" w:ascii="仿宋_GB2312" w:hAnsi="Times New Roman" w:eastAsia="仿宋_GB2312" w:cs="Times New Roman"/>
          <w:color w:val="auto"/>
          <w:sz w:val="32"/>
          <w:szCs w:val="32"/>
          <w:highlight w:val="none"/>
          <w:lang w:val="zh-CN" w:eastAsia="zh-CN"/>
        </w:rPr>
        <w:t>0.00万元，决算数0.00万元，预决算差异率0.00%，主要原因是：本年无因公出国（境）费支出，预决算无差异；公务用车购置费</w:t>
      </w:r>
      <w:r>
        <w:rPr>
          <w:rFonts w:hint="eastAsia" w:ascii="仿宋_GB2312" w:hAnsi="Times New Roman" w:eastAsia="仿宋_GB2312" w:cs="Times New Roman"/>
          <w:color w:val="auto"/>
          <w:sz w:val="32"/>
          <w:szCs w:val="32"/>
          <w:highlight w:val="none"/>
          <w:lang w:val="en-US" w:eastAsia="zh-CN"/>
        </w:rPr>
        <w:t>全年</w:t>
      </w:r>
      <w:r>
        <w:rPr>
          <w:rFonts w:hint="eastAsia" w:ascii="仿宋_GB2312" w:hAnsi="Times New Roman" w:eastAsia="仿宋_GB2312" w:cs="Times New Roman"/>
          <w:color w:val="auto"/>
          <w:sz w:val="32"/>
          <w:szCs w:val="32"/>
          <w:highlight w:val="none"/>
          <w:lang w:val="zh-CN" w:eastAsia="zh-CN"/>
        </w:rPr>
        <w:t>预算数0.00万元，决算数0.00万元，预决算差异率0.00%，主要原因是：本年无公务用车购置费支出，无开支内容；公务用车运行费</w:t>
      </w:r>
      <w:r>
        <w:rPr>
          <w:rFonts w:hint="eastAsia" w:ascii="仿宋_GB2312" w:hAnsi="Times New Roman" w:eastAsia="仿宋_GB2312" w:cs="Times New Roman"/>
          <w:color w:val="auto"/>
          <w:sz w:val="32"/>
          <w:szCs w:val="32"/>
          <w:highlight w:val="none"/>
          <w:lang w:val="en-US" w:eastAsia="zh-CN"/>
        </w:rPr>
        <w:t>全年</w:t>
      </w:r>
      <w:r>
        <w:rPr>
          <w:rFonts w:hint="eastAsia" w:ascii="仿宋_GB2312" w:hAnsi="Times New Roman" w:eastAsia="仿宋_GB2312" w:cs="Times New Roman"/>
          <w:color w:val="auto"/>
          <w:sz w:val="32"/>
          <w:szCs w:val="32"/>
          <w:highlight w:val="none"/>
          <w:lang w:val="zh-CN" w:eastAsia="zh-CN"/>
        </w:rPr>
        <w:t>预算数1.74万元，决算数1.74万元，预决算差异率0.00%，主要原因是：认真贯彻落实中央八项规定</w:t>
      </w:r>
      <w:bookmarkStart w:id="52" w:name="_GoBack"/>
      <w:bookmarkEnd w:id="52"/>
      <w:r>
        <w:rPr>
          <w:rFonts w:hint="eastAsia" w:ascii="仿宋_GB2312" w:hAnsi="Times New Roman" w:eastAsia="仿宋_GB2312" w:cs="Times New Roman"/>
          <w:color w:val="auto"/>
          <w:sz w:val="32"/>
          <w:szCs w:val="32"/>
          <w:highlight w:val="none"/>
          <w:lang w:val="zh-CN" w:eastAsia="zh-CN"/>
        </w:rPr>
        <w:t>精神和厉行节约要求，从严控制“三公”经费开支，预决算无差异；公务接待费</w:t>
      </w:r>
      <w:r>
        <w:rPr>
          <w:rFonts w:hint="eastAsia" w:ascii="仿宋_GB2312" w:hAnsi="Times New Roman" w:eastAsia="仿宋_GB2312" w:cs="Times New Roman"/>
          <w:color w:val="auto"/>
          <w:sz w:val="32"/>
          <w:szCs w:val="32"/>
          <w:highlight w:val="none"/>
          <w:lang w:val="en-US" w:eastAsia="zh-CN"/>
        </w:rPr>
        <w:t>全年</w:t>
      </w:r>
      <w:r>
        <w:rPr>
          <w:rFonts w:hint="eastAsia" w:ascii="仿宋_GB2312" w:hAnsi="Times New Roman" w:eastAsia="仿宋_GB2312" w:cs="Times New Roman"/>
          <w:color w:val="auto"/>
          <w:sz w:val="32"/>
          <w:szCs w:val="32"/>
          <w:highlight w:val="none"/>
          <w:lang w:val="zh-CN" w:eastAsia="zh-CN"/>
        </w:rPr>
        <w:t>预算数0.00万元，决算数0.00万元，预决算差异率0.00%，主要原因是：本年无公务接待费支出，无开支内容预决算无差异。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2" w:name="_Toc7927"/>
      <w:bookmarkStart w:id="23"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2023年度政府性基金预算</w:t>
      </w:r>
      <w:r>
        <w:rPr>
          <w:rFonts w:hint="eastAsia" w:ascii="Times New Roman" w:hAnsi="Times New Roman" w:eastAsia="仿宋_GB2312" w:cs="Times New Roman"/>
          <w:color w:val="auto"/>
          <w:sz w:val="32"/>
          <w:szCs w:val="32"/>
          <w:highlight w:val="none"/>
          <w:lang w:val="en-US" w:eastAsia="zh-CN"/>
        </w:rPr>
        <w:t>财政拨款</w:t>
      </w:r>
      <w:r>
        <w:rPr>
          <w:rFonts w:hint="eastAsia" w:ascii="Times New Roman" w:hAnsi="Times New Roman" w:eastAsia="仿宋_GB2312" w:cs="Times New Roman"/>
          <w:color w:val="auto"/>
          <w:sz w:val="32"/>
          <w:szCs w:val="32"/>
          <w:highlight w:val="none"/>
          <w:lang w:val="zh-CN" w:eastAsia="zh-CN"/>
        </w:rPr>
        <w:t>收入</w:t>
      </w:r>
      <w:r>
        <w:rPr>
          <w:rFonts w:hint="eastAsia" w:ascii="Times New Roman" w:hAnsi="Times New Roman" w:eastAsia="仿宋_GB2312" w:cs="Times New Roman"/>
          <w:color w:val="auto"/>
          <w:sz w:val="32"/>
          <w:szCs w:val="32"/>
          <w:highlight w:val="none"/>
          <w:lang w:val="en-US" w:eastAsia="zh-CN"/>
        </w:rPr>
        <w:t>总计14.00</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其中：年初结转和结余0.00</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本年收入14.00</w:t>
      </w:r>
      <w:r>
        <w:rPr>
          <w:rFonts w:hint="eastAsia" w:ascii="Times New Roman" w:hAnsi="Times New Roman" w:eastAsia="仿宋_GB2312" w:cs="Times New Roman"/>
          <w:color w:val="auto"/>
          <w:sz w:val="32"/>
          <w:szCs w:val="32"/>
          <w:highlight w:val="none"/>
          <w:lang w:val="zh-CN" w:eastAsia="zh-CN"/>
        </w:rPr>
        <w:t>万元。政府性基金预算财政拨款支出</w:t>
      </w:r>
      <w:r>
        <w:rPr>
          <w:rFonts w:hint="eastAsia" w:ascii="Times New Roman" w:hAnsi="Times New Roman" w:eastAsia="仿宋_GB2312" w:cs="Times New Roman"/>
          <w:color w:val="auto"/>
          <w:sz w:val="32"/>
          <w:szCs w:val="32"/>
          <w:highlight w:val="none"/>
          <w:lang w:val="en-US" w:eastAsia="zh-CN"/>
        </w:rPr>
        <w:t>总计14.00</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其中：年末结转和结余0.00</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本年支出14.00</w:t>
      </w:r>
      <w:r>
        <w:rPr>
          <w:rFonts w:hint="eastAsia" w:ascii="Times New Roman" w:hAnsi="Times New Roman" w:eastAsia="仿宋_GB2312" w:cs="Times New Roman"/>
          <w:color w:val="auto"/>
          <w:sz w:val="32"/>
          <w:szCs w:val="32"/>
          <w:highlight w:val="none"/>
          <w:lang w:val="zh-CN"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政府性基金预算财政拨款</w:t>
      </w:r>
      <w:r>
        <w:rPr>
          <w:rFonts w:hint="eastAsia" w:ascii="Times New Roman" w:hAnsi="Times New Roman" w:eastAsia="仿宋_GB2312" w:cs="Times New Roman"/>
          <w:color w:val="auto"/>
          <w:sz w:val="32"/>
          <w:szCs w:val="32"/>
          <w:highlight w:val="none"/>
          <w:lang w:val="en-US" w:eastAsia="zh-CN"/>
        </w:rPr>
        <w:t>收入支出</w:t>
      </w:r>
      <w:r>
        <w:rPr>
          <w:rFonts w:hint="eastAsia" w:ascii="Times New Roman" w:hAnsi="Times New Roman" w:eastAsia="仿宋_GB2312" w:cs="Times New Roman"/>
          <w:color w:val="auto"/>
          <w:sz w:val="32"/>
          <w:szCs w:val="32"/>
          <w:highlight w:val="none"/>
          <w:lang w:val="zh-CN" w:eastAsia="zh-CN"/>
        </w:rPr>
        <w:t>与上年相比，增加14.00万元，增长</w:t>
      </w:r>
      <w:r>
        <w:rPr>
          <w:rFonts w:hint="eastAsia" w:eastAsia="仿宋_GB2312" w:cs="Times New Roman"/>
          <w:color w:val="auto"/>
          <w:sz w:val="32"/>
          <w:szCs w:val="32"/>
          <w:highlight w:val="none"/>
          <w:lang w:val="en-US" w:eastAsia="zh-CN"/>
        </w:rPr>
        <w:t>100</w:t>
      </w:r>
      <w:r>
        <w:rPr>
          <w:rFonts w:hint="eastAsia" w:ascii="Times New Roman" w:hAnsi="Times New Roman" w:eastAsia="仿宋_GB2312" w:cs="Times New Roman"/>
          <w:color w:val="auto"/>
          <w:sz w:val="32"/>
          <w:szCs w:val="32"/>
          <w:highlight w:val="none"/>
          <w:lang w:val="zh-CN" w:eastAsia="zh-CN"/>
        </w:rPr>
        <w:t>.00%，主要原因是：本年度增加春节前农民工资项目。与年上年对比相比</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年初预算数</w:t>
      </w:r>
      <w:r>
        <w:rPr>
          <w:rFonts w:hint="eastAsia" w:ascii="Times New Roman" w:hAnsi="Times New Roman" w:eastAsia="仿宋_GB2312" w:cs="Times New Roman"/>
          <w:color w:val="auto"/>
          <w:sz w:val="32"/>
          <w:szCs w:val="32"/>
          <w:highlight w:val="none"/>
          <w:lang w:val="en-US" w:eastAsia="zh-CN"/>
        </w:rPr>
        <w:t>0.00</w:t>
      </w:r>
      <w:r>
        <w:rPr>
          <w:rFonts w:hint="eastAsia" w:ascii="Times New Roman" w:hAnsi="Times New Roman" w:eastAsia="仿宋_GB2312" w:cs="Times New Roman"/>
          <w:color w:val="auto"/>
          <w:sz w:val="32"/>
          <w:szCs w:val="32"/>
          <w:highlight w:val="none"/>
          <w:lang w:val="zh-CN" w:eastAsia="zh-CN"/>
        </w:rPr>
        <w:t>万元，决算数</w:t>
      </w:r>
      <w:r>
        <w:rPr>
          <w:rFonts w:hint="eastAsia" w:ascii="Times New Roman" w:hAnsi="Times New Roman" w:eastAsia="仿宋_GB2312" w:cs="Times New Roman"/>
          <w:color w:val="auto"/>
          <w:sz w:val="32"/>
          <w:szCs w:val="32"/>
          <w:highlight w:val="none"/>
          <w:lang w:val="en-US" w:eastAsia="zh-CN"/>
        </w:rPr>
        <w:t>14.00</w:t>
      </w:r>
      <w:r>
        <w:rPr>
          <w:rFonts w:hint="eastAsia" w:ascii="Times New Roman" w:hAnsi="Times New Roman" w:eastAsia="仿宋_GB2312" w:cs="Times New Roman"/>
          <w:color w:val="auto"/>
          <w:sz w:val="32"/>
          <w:szCs w:val="32"/>
          <w:highlight w:val="none"/>
          <w:lang w:val="zh-CN" w:eastAsia="zh-CN"/>
        </w:rPr>
        <w:t>万元，预决算差异率</w:t>
      </w:r>
      <w:r>
        <w:rPr>
          <w:rFonts w:hint="eastAsia"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val="zh-CN" w:eastAsia="zh-CN"/>
        </w:rPr>
        <w:t>0.00%，主要原因是：</w:t>
      </w:r>
      <w:r>
        <w:rPr>
          <w:rFonts w:hint="eastAsia" w:eastAsia="仿宋_GB2312" w:cs="Times New Roman"/>
          <w:color w:val="auto"/>
          <w:sz w:val="32"/>
          <w:szCs w:val="32"/>
          <w:highlight w:val="none"/>
          <w:lang w:val="zh-CN" w:eastAsia="zh-CN"/>
        </w:rPr>
        <w:t>上年度无此项预算安排，本年度安排此项预算，相关支出增加。</w:t>
      </w:r>
      <w:r>
        <w:rPr>
          <w:rFonts w:hint="eastAsia" w:ascii="Times New Roman" w:hAnsi="Times New Roman" w:eastAsia="仿宋_GB2312" w:cs="Times New Roman"/>
          <w:color w:val="auto"/>
          <w:sz w:val="32"/>
          <w:szCs w:val="32"/>
          <w:highlight w:val="none"/>
          <w:lang w:val="zh-CN" w:eastAsia="zh-CN"/>
        </w:rPr>
        <w:t>政府性基金预算财政拨款支出14.00万元。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1.城乡社区支出（类）国有土地使用权出让收入安排的支出（款）其他国有土地使用权出让收入安排的支出（项）:支出决算数为14.00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eastAsia="zh-CN"/>
        </w:rPr>
        <w:t>，比上年决算</w:t>
      </w:r>
      <w:r>
        <w:rPr>
          <w:rFonts w:hint="eastAsia" w:ascii="Times New Roman" w:hAnsi="Times New Roman" w:eastAsia="仿宋_GB2312" w:cs="Times New Roman"/>
          <w:color w:val="auto"/>
          <w:sz w:val="32"/>
          <w:szCs w:val="32"/>
          <w:highlight w:val="none"/>
          <w:lang w:val="en-US" w:eastAsia="zh-CN"/>
        </w:rPr>
        <w:t>增加</w:t>
      </w:r>
      <w:r>
        <w:rPr>
          <w:rFonts w:hint="eastAsia" w:ascii="Times New Roman" w:hAnsi="Times New Roman" w:eastAsia="仿宋_GB2312" w:cs="Times New Roman"/>
          <w:color w:val="auto"/>
          <w:sz w:val="32"/>
          <w:szCs w:val="32"/>
          <w:highlight w:val="none"/>
          <w:lang w:val="zh-CN" w:eastAsia="zh-CN"/>
        </w:rPr>
        <w:t>14.00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增长</w:t>
      </w:r>
      <w:r>
        <w:rPr>
          <w:rFonts w:hint="eastAsia" w:ascii="Times New Roman" w:hAnsi="Times New Roman" w:eastAsia="仿宋_GB2312" w:cs="Times New Roman"/>
          <w:color w:val="auto"/>
          <w:sz w:val="32"/>
          <w:szCs w:val="32"/>
          <w:highlight w:val="none"/>
          <w:lang w:val="zh-CN" w:eastAsia="zh-CN"/>
        </w:rPr>
        <w:t>100%，主要原因是：年初未预算此项目。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2023年度国有资本经营预算</w:t>
      </w:r>
      <w:r>
        <w:rPr>
          <w:rFonts w:hint="eastAsia" w:ascii="Times New Roman" w:hAnsi="Times New Roman" w:eastAsia="仿宋_GB2312" w:cs="Times New Roman"/>
          <w:color w:val="auto"/>
          <w:sz w:val="32"/>
          <w:szCs w:val="32"/>
          <w:highlight w:val="none"/>
          <w:lang w:val="en-US" w:eastAsia="zh-CN"/>
        </w:rPr>
        <w:t>财政拨款</w:t>
      </w:r>
      <w:r>
        <w:rPr>
          <w:rFonts w:hint="eastAsia" w:ascii="Times New Roman" w:hAnsi="Times New Roman" w:eastAsia="仿宋_GB2312" w:cs="Times New Roman"/>
          <w:color w:val="auto"/>
          <w:sz w:val="32"/>
          <w:szCs w:val="32"/>
          <w:highlight w:val="none"/>
          <w:lang w:val="zh-CN" w:eastAsia="zh-CN"/>
        </w:rPr>
        <w:t>收入</w:t>
      </w:r>
      <w:r>
        <w:rPr>
          <w:rFonts w:hint="eastAsia" w:ascii="Times New Roman" w:hAnsi="Times New Roman" w:eastAsia="仿宋_GB2312" w:cs="Times New Roman"/>
          <w:color w:val="auto"/>
          <w:sz w:val="32"/>
          <w:szCs w:val="32"/>
          <w:highlight w:val="none"/>
          <w:lang w:val="en-US" w:eastAsia="zh-CN"/>
        </w:rPr>
        <w:t>总计55.20</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其中：年初结转和结余</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en-US" w:eastAsia="zh-CN"/>
        </w:rPr>
        <w:t>本年收入</w:t>
      </w:r>
      <w:r>
        <w:rPr>
          <w:rFonts w:hint="eastAsia" w:ascii="Times New Roman" w:hAnsi="Times New Roman" w:eastAsia="仿宋_GB2312" w:cs="Times New Roman"/>
          <w:color w:val="auto"/>
          <w:sz w:val="32"/>
          <w:szCs w:val="32"/>
          <w:highlight w:val="none"/>
          <w:lang w:val="zh-CN" w:eastAsia="zh-CN"/>
        </w:rPr>
        <w:t>55.20万元。国有资本经营预算财政拨款支出</w:t>
      </w:r>
      <w:r>
        <w:rPr>
          <w:rFonts w:hint="eastAsia" w:ascii="Times New Roman" w:hAnsi="Times New Roman" w:eastAsia="仿宋_GB2312" w:cs="Times New Roman"/>
          <w:color w:val="auto"/>
          <w:sz w:val="32"/>
          <w:szCs w:val="32"/>
          <w:highlight w:val="none"/>
          <w:lang w:val="en-US" w:eastAsia="zh-CN"/>
        </w:rPr>
        <w:t>总计55.20</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其中：年末结转和结余</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en-US" w:eastAsia="zh-CN"/>
        </w:rPr>
        <w:t>本年支出</w:t>
      </w:r>
      <w:r>
        <w:rPr>
          <w:rFonts w:hint="eastAsia" w:ascii="Times New Roman" w:hAnsi="Times New Roman" w:eastAsia="仿宋_GB2312" w:cs="Times New Roman"/>
          <w:color w:val="auto"/>
          <w:sz w:val="32"/>
          <w:szCs w:val="32"/>
          <w:highlight w:val="none"/>
          <w:lang w:val="zh-CN" w:eastAsia="zh-CN"/>
        </w:rPr>
        <w:t>55.20万元。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国有资本经营预算财政拨款</w:t>
      </w:r>
      <w:r>
        <w:rPr>
          <w:rFonts w:hint="eastAsia" w:ascii="Times New Roman" w:hAnsi="Times New Roman" w:eastAsia="仿宋_GB2312" w:cs="Times New Roman"/>
          <w:color w:val="auto"/>
          <w:sz w:val="32"/>
          <w:szCs w:val="32"/>
          <w:highlight w:val="none"/>
          <w:lang w:val="en-US" w:eastAsia="zh-CN"/>
        </w:rPr>
        <w:t>收入支出</w:t>
      </w:r>
      <w:r>
        <w:rPr>
          <w:rFonts w:hint="eastAsia" w:ascii="Times New Roman" w:hAnsi="Times New Roman" w:eastAsia="仿宋_GB2312" w:cs="Times New Roman"/>
          <w:color w:val="auto"/>
          <w:sz w:val="32"/>
          <w:szCs w:val="32"/>
          <w:highlight w:val="none"/>
          <w:lang w:val="zh-CN" w:eastAsia="zh-CN"/>
        </w:rPr>
        <w:t>与上年相比，增加55.20万元，增长100.00%，主要原因是：</w:t>
      </w:r>
      <w:r>
        <w:rPr>
          <w:rFonts w:hint="default" w:ascii="Times New Roman" w:hAnsi="Times New Roman" w:eastAsia="仿宋_GB2312" w:cs="Times New Roman"/>
          <w:color w:val="auto"/>
          <w:sz w:val="32"/>
          <w:szCs w:val="32"/>
          <w:highlight w:val="none"/>
          <w:lang w:val="en-US" w:eastAsia="zh-CN"/>
        </w:rPr>
        <w:t>上年度未安排此科目预算</w:t>
      </w:r>
      <w:r>
        <w:rPr>
          <w:rFonts w:hint="eastAsia" w:ascii="Times New Roman" w:hAnsi="Times New Roman" w:eastAsia="仿宋_GB2312" w:cs="Times New Roman"/>
          <w:color w:val="auto"/>
          <w:sz w:val="32"/>
          <w:szCs w:val="32"/>
          <w:highlight w:val="none"/>
          <w:lang w:val="zh-CN" w:eastAsia="zh-CN"/>
        </w:rPr>
        <w:t>。与年初预算相比，年初预算数</w:t>
      </w:r>
      <w:r>
        <w:rPr>
          <w:rFonts w:hint="eastAsia" w:ascii="Times New Roman" w:hAnsi="Times New Roman" w:eastAsia="仿宋_GB2312" w:cs="Times New Roman"/>
          <w:color w:val="auto"/>
          <w:sz w:val="32"/>
          <w:szCs w:val="32"/>
          <w:highlight w:val="none"/>
          <w:lang w:val="en-US" w:eastAsia="zh-CN"/>
        </w:rPr>
        <w:t>28.73</w:t>
      </w:r>
      <w:r>
        <w:rPr>
          <w:rFonts w:hint="eastAsia" w:ascii="Times New Roman" w:hAnsi="Times New Roman" w:eastAsia="仿宋_GB2312" w:cs="Times New Roman"/>
          <w:color w:val="auto"/>
          <w:sz w:val="32"/>
          <w:szCs w:val="32"/>
          <w:highlight w:val="none"/>
          <w:lang w:val="zh-CN" w:eastAsia="zh-CN"/>
        </w:rPr>
        <w:t>万元，决算数</w:t>
      </w:r>
      <w:r>
        <w:rPr>
          <w:rFonts w:hint="eastAsia" w:ascii="Times New Roman" w:hAnsi="Times New Roman" w:eastAsia="仿宋_GB2312" w:cs="Times New Roman"/>
          <w:color w:val="auto"/>
          <w:sz w:val="32"/>
          <w:szCs w:val="32"/>
          <w:highlight w:val="none"/>
          <w:lang w:val="en-US" w:eastAsia="zh-CN"/>
        </w:rPr>
        <w:t>55.20</w:t>
      </w:r>
      <w:r>
        <w:rPr>
          <w:rFonts w:hint="eastAsia" w:ascii="Times New Roman" w:hAnsi="Times New Roman" w:eastAsia="仿宋_GB2312" w:cs="Times New Roman"/>
          <w:color w:val="auto"/>
          <w:sz w:val="32"/>
          <w:szCs w:val="32"/>
          <w:highlight w:val="none"/>
          <w:lang w:val="zh-CN" w:eastAsia="zh-CN"/>
        </w:rPr>
        <w:t>万元，预决算差异率92.</w:t>
      </w:r>
      <w:r>
        <w:rPr>
          <w:rFonts w:hint="eastAsia" w:eastAsia="仿宋_GB2312" w:cs="Times New Roman"/>
          <w:color w:val="auto"/>
          <w:sz w:val="32"/>
          <w:szCs w:val="32"/>
          <w:highlight w:val="none"/>
          <w:lang w:val="en-US" w:eastAsia="zh-CN"/>
        </w:rPr>
        <w:t>13</w:t>
      </w:r>
      <w:r>
        <w:rPr>
          <w:rFonts w:hint="eastAsia" w:ascii="Times New Roman" w:hAnsi="Times New Roman" w:eastAsia="仿宋_GB2312" w:cs="Times New Roman"/>
          <w:color w:val="auto"/>
          <w:sz w:val="32"/>
          <w:szCs w:val="32"/>
          <w:highlight w:val="none"/>
          <w:lang w:val="zh-CN" w:eastAsia="zh-CN"/>
        </w:rPr>
        <w:t>%，主要原因是：</w:t>
      </w:r>
      <w:r>
        <w:rPr>
          <w:rFonts w:hint="eastAsia" w:ascii="Times New Roman" w:hAnsi="Times New Roman" w:eastAsia="仿宋_GB2312" w:cs="Times New Roman"/>
          <w:color w:val="auto"/>
          <w:sz w:val="32"/>
          <w:szCs w:val="32"/>
          <w:highlight w:val="none"/>
          <w:lang w:val="en-US" w:eastAsia="zh-CN"/>
        </w:rPr>
        <w:t>此项支出含年中追加预算数。</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国有资本经营预算财政拨款支出</w:t>
      </w:r>
      <w:r>
        <w:rPr>
          <w:rFonts w:hint="eastAsia" w:ascii="Times New Roman" w:hAnsi="Times New Roman" w:eastAsia="仿宋_GB2312" w:cs="Times New Roman"/>
          <w:color w:val="auto"/>
          <w:sz w:val="32"/>
          <w:szCs w:val="32"/>
          <w:highlight w:val="none"/>
          <w:lang w:val="en-US" w:eastAsia="zh-CN"/>
        </w:rPr>
        <w:t>55.20</w:t>
      </w:r>
      <w:r>
        <w:rPr>
          <w:rFonts w:hint="eastAsia" w:ascii="Times New Roman" w:hAnsi="Times New Roman" w:eastAsia="仿宋_GB2312" w:cs="Times New Roman"/>
          <w:color w:val="auto"/>
          <w:sz w:val="32"/>
          <w:szCs w:val="32"/>
          <w:highlight w:val="none"/>
          <w:lang w:val="zh-CN"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1.国有资本经营预算支出（类）解决历史遗留问题及改革成本支出（款）国有企业退休人员社会化管理补助支出（项）:支出决算数为55.20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eastAsia="zh-CN"/>
        </w:rPr>
        <w:t>，比上年决算</w:t>
      </w:r>
      <w:r>
        <w:rPr>
          <w:rFonts w:hint="eastAsia" w:ascii="Times New Roman" w:hAnsi="Times New Roman" w:eastAsia="仿宋_GB2312" w:cs="Times New Roman"/>
          <w:color w:val="auto"/>
          <w:sz w:val="32"/>
          <w:szCs w:val="32"/>
          <w:highlight w:val="none"/>
          <w:lang w:val="en-US" w:eastAsia="zh-CN"/>
        </w:rPr>
        <w:t>增加</w:t>
      </w:r>
      <w:r>
        <w:rPr>
          <w:rFonts w:hint="eastAsia" w:ascii="Times New Roman" w:hAnsi="Times New Roman" w:eastAsia="仿宋_GB2312" w:cs="Times New Roman"/>
          <w:color w:val="auto"/>
          <w:sz w:val="32"/>
          <w:szCs w:val="32"/>
          <w:highlight w:val="none"/>
          <w:lang w:val="zh-CN" w:eastAsia="zh-CN"/>
        </w:rPr>
        <w:t>55.20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增长</w:t>
      </w:r>
      <w:r>
        <w:rPr>
          <w:rFonts w:hint="eastAsia" w:ascii="Times New Roman" w:hAnsi="Times New Roman" w:eastAsia="仿宋_GB2312" w:cs="Times New Roman"/>
          <w:color w:val="auto"/>
          <w:sz w:val="32"/>
          <w:szCs w:val="32"/>
          <w:highlight w:val="none"/>
          <w:lang w:val="zh-CN" w:eastAsia="zh-CN"/>
        </w:rPr>
        <w:t>100%，主</w:t>
      </w:r>
      <w:r>
        <w:rPr>
          <w:rFonts w:hint="eastAsia" w:ascii="Times New Roman" w:hAnsi="Times New Roman" w:eastAsia="仿宋_GB2312" w:cs="Times New Roman"/>
          <w:color w:val="auto"/>
          <w:sz w:val="32"/>
          <w:szCs w:val="32"/>
          <w:highlight w:val="none"/>
          <w:lang w:val="en-US" w:eastAsia="zh-CN"/>
        </w:rPr>
        <w:t>要原因是：</w:t>
      </w:r>
      <w:r>
        <w:rPr>
          <w:rFonts w:hint="eastAsia" w:eastAsia="仿宋_GB2312" w:cs="Times New Roman"/>
          <w:color w:val="auto"/>
          <w:sz w:val="32"/>
          <w:szCs w:val="32"/>
          <w:highlight w:val="none"/>
          <w:lang w:val="en-US" w:eastAsia="zh-CN"/>
        </w:rPr>
        <w:t>上年度无此项支出，本年新增支出国有企业退休人员举办活动、阵地运转等费用，相关支出增加。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4" w:name="_Toc1235"/>
      <w:bookmarkStart w:id="25"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6" w:name="_Toc13105"/>
      <w:bookmarkStart w:id="27"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6"/>
      <w:bookmarkEnd w:id="27"/>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8" w:name="_Toc26704"/>
      <w:bookmarkStart w:id="29"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库尔勒市朝阳街道办事处（行政单位和参照公务员法管理事业单位）机关运行经费支出32.09万元，比上年减少116.19万元，下降78.36%，主要原因是：</w:t>
      </w:r>
      <w:r>
        <w:rPr>
          <w:rFonts w:hint="eastAsia" w:ascii="Times New Roman" w:hAnsi="Times New Roman" w:eastAsia="仿宋_GB2312" w:cs="Times New Roman"/>
          <w:color w:val="auto"/>
          <w:sz w:val="32"/>
          <w:szCs w:val="32"/>
          <w:highlight w:val="none"/>
          <w:lang w:val="zh-CN" w:eastAsia="zh-CN"/>
        </w:rPr>
        <w:t>2022年因下半年疫情原因，支付疫情物资费用及疫情期间食堂费用，保障运转支出增加，</w:t>
      </w:r>
      <w:r>
        <w:rPr>
          <w:rFonts w:hint="eastAsia" w:ascii="Times New Roman" w:hAnsi="Times New Roman" w:eastAsia="仿宋_GB2312" w:cs="Times New Roman"/>
          <w:color w:val="auto"/>
          <w:sz w:val="32"/>
          <w:szCs w:val="32"/>
          <w:highlight w:val="none"/>
          <w:lang w:val="en-US" w:eastAsia="zh-CN"/>
        </w:rPr>
        <w:t>所以本年度机关运行经费支出比上年下降。</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2023年度政府采购支出总额21.03万元，其中：政府采购货物支出10.14万元、政府采购工程支出2.75万元、政府采购服务支出8.14万元。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授予中小企业合同金额20.53万元，占政府采购支出总额的97.62</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，其中：授予小微企业合同金额20.30万元，占政府采购支出总额的96.5</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30" w:name="_Toc4591"/>
      <w:bookmarkStart w:id="31" w:name="_Toc8391"/>
      <w:r>
        <w:rPr>
          <w:rFonts w:hint="eastAsia" w:ascii="Times New Roman" w:hAnsi="Times New Roman" w:eastAsia="黑体" w:cs="Times New Roman"/>
          <w:color w:val="auto"/>
          <w:sz w:val="32"/>
          <w:szCs w:val="30"/>
          <w:highlight w:val="none"/>
          <w:lang w:val="zh-CN" w:eastAsia="zh-CN"/>
        </w:rPr>
        <w:t>（三）国有资产占用情况说明</w:t>
      </w:r>
      <w:bookmarkEnd w:id="30"/>
      <w:bookmarkEnd w:id="3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972.86</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屋3616.0平方米，价值606.52万元。车辆5辆，价值45.04万元，其中：副部（省）级及以上领导用车0辆、主要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用车0辆、其他用车5辆，其他用车主要是：</w:t>
      </w:r>
      <w:r>
        <w:rPr>
          <w:rFonts w:hint="eastAsia" w:ascii="Times New Roman" w:hAnsi="Times New Roman" w:eastAsia="仿宋_GB2312" w:cs="Times New Roman"/>
          <w:color w:val="auto"/>
          <w:sz w:val="32"/>
          <w:szCs w:val="32"/>
          <w:highlight w:val="none"/>
          <w:lang w:val="en-US" w:eastAsia="zh-CN"/>
        </w:rPr>
        <w:t>1辆巡逻车、1辆皮卡车</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3辆轿车。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32" w:name="_Toc11283"/>
      <w:bookmarkStart w:id="33"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32"/>
      <w:bookmarkEnd w:id="33"/>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Times New Roman" w:eastAsia="仿宋_GB2312" w:cs="Times New Roman"/>
          <w:color w:val="auto"/>
          <w:sz w:val="32"/>
          <w:szCs w:val="32"/>
          <w:highlight w:val="none"/>
          <w:lang w:val="en-US" w:eastAsia="zh-CN"/>
        </w:rPr>
      </w:pPr>
      <w:r>
        <w:rPr>
          <w:rFonts w:hint="eastAsia" w:ascii="仿宋_GB2312" w:eastAsia="仿宋_GB2312"/>
          <w:color w:val="auto"/>
          <w:sz w:val="32"/>
          <w:szCs w:val="32"/>
          <w:highlight w:val="none"/>
          <w:lang w:val="en-US" w:eastAsia="zh-CN"/>
        </w:rPr>
        <w:t>根据预算绩效管理要求，我部门2023年度预算绩效管理整体支出绩效自评表1个，全年预算总额1965.24万元，实际执行总额1965.24万元；预算绩效评价项目7个，全年预算数65.26万元，全年执行数60.70万元。预算绩效管理取得的成效：一是各项资金的有效使用，对改善基层设施条件，加快构建现代化服务体系，为居民提供良好的生活环境，更好的长期开展基层综合治理工作起到了关键作用；二是为民办好事、办实事，提升了居民满意度。发现的问题及原因：</w:t>
      </w:r>
      <w:r>
        <w:rPr>
          <w:rFonts w:hint="eastAsia" w:ascii="仿宋_GB2312" w:hAnsi="Times New Roman" w:eastAsia="仿宋_GB2312" w:cs="Times New Roman"/>
          <w:color w:val="auto"/>
          <w:sz w:val="32"/>
          <w:szCs w:val="32"/>
          <w:highlight w:val="none"/>
          <w:lang w:val="en-US" w:eastAsia="zh-CN"/>
        </w:rPr>
        <w:t>一是项目资金执行率存在加强与上升空间，需要有关部门加强工作效率，在重点工作的完成率和完成度上都需要进一步提升。二是项目资金执行力度需进一步加强。下一步改进措施：一是细化预算编制工作，严格按照预算编制的相关制度和要求做好预算的编制，进一步加强预算管理意识；全面编制预算项目，优先保障固定的、相对刚性的费用支出项目，尽量压缩变动的、有控制空间的费用项目，进一步提高预算编制的科学性、严谨性和可控性；二是加强财务管理，严格财务审批。在费用保障支付时，按照预算规定的费用项目和用途进行资金使用、审核、列报支付，财务核算杜绝超预算支付的发生。三是加强项目实时监控，严格按照相关要求对相关项目的资金进行使用，确保资金专款专用及时有效。具体项目自评情况附绩效自评表及自评报告。</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bookmarkStart w:id="34" w:name="_Toc3250"/>
      <w:bookmarkStart w:id="35" w:name="_Toc24143"/>
      <w:r>
        <w:rPr>
          <w:rFonts w:hint="eastAsia" w:ascii="仿宋_GB2312" w:hAnsi="仿宋_GB2312" w:eastAsia="仿宋_GB2312" w:cs="仿宋_GB2312"/>
          <w:color w:val="auto"/>
          <w:kern w:val="0"/>
          <w:sz w:val="32"/>
          <w:szCs w:val="32"/>
          <w:highlight w:val="none"/>
          <w:lang w:val="en-US" w:eastAsia="zh-CN"/>
        </w:rPr>
        <w:t>本部门无其他需说明事项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2240" w:firstLineChars="700"/>
        <w:jc w:val="both"/>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4"/>
      <w:bookmarkEnd w:id="35"/>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6062"/>
      <w:bookmarkStart w:id="37" w:name="_Toc2183"/>
      <w:r>
        <w:rPr>
          <w:rFonts w:hint="eastAsia" w:ascii="黑体" w:hAnsi="黑体" w:eastAsia="仿宋_GB2312" w:cs="宋体"/>
          <w:bCs/>
          <w:color w:val="auto"/>
          <w:kern w:val="0"/>
          <w:sz w:val="32"/>
          <w:szCs w:val="32"/>
          <w:highlight w:val="none"/>
        </w:rPr>
        <w:t>一、《收入支出决算总表》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30364"/>
      <w:bookmarkStart w:id="39" w:name="_Toc24532"/>
      <w:r>
        <w:rPr>
          <w:rFonts w:hint="eastAsia" w:ascii="黑体" w:hAnsi="黑体" w:eastAsia="仿宋_GB2312" w:cs="宋体"/>
          <w:bCs/>
          <w:color w:val="auto"/>
          <w:kern w:val="0"/>
          <w:sz w:val="32"/>
          <w:szCs w:val="32"/>
          <w:highlight w:val="none"/>
        </w:rPr>
        <w:t>二、《收入决算表》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21304"/>
      <w:bookmarkStart w:id="41" w:name="_Toc32434"/>
      <w:r>
        <w:rPr>
          <w:rFonts w:hint="eastAsia" w:ascii="黑体" w:hAnsi="黑体" w:eastAsia="仿宋_GB2312" w:cs="宋体"/>
          <w:bCs/>
          <w:color w:val="auto"/>
          <w:kern w:val="0"/>
          <w:sz w:val="32"/>
          <w:szCs w:val="32"/>
          <w:highlight w:val="none"/>
        </w:rPr>
        <w:t>三、《支出决算表》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28786"/>
      <w:bookmarkStart w:id="43" w:name="_Toc14238"/>
      <w:r>
        <w:rPr>
          <w:rFonts w:hint="eastAsia" w:ascii="黑体" w:hAnsi="黑体" w:eastAsia="仿宋_GB2312" w:cs="宋体"/>
          <w:bCs/>
          <w:color w:val="auto"/>
          <w:kern w:val="0"/>
          <w:sz w:val="32"/>
          <w:szCs w:val="32"/>
          <w:highlight w:val="none"/>
        </w:rPr>
        <w:t>四、《财政拨款收入支出决算总表》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4" w:name="_Toc14869"/>
      <w:bookmarkStart w:id="45" w:name="_Toc10347"/>
      <w:r>
        <w:rPr>
          <w:rFonts w:hint="eastAsia" w:ascii="黑体" w:hAnsi="黑体" w:eastAsia="仿宋_GB2312" w:cs="宋体"/>
          <w:bCs/>
          <w:color w:val="auto"/>
          <w:kern w:val="0"/>
          <w:sz w:val="32"/>
          <w:szCs w:val="32"/>
          <w:highlight w:val="none"/>
        </w:rPr>
        <w:t>五、《一般公共预算财政拨款支出决算表》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8884"/>
      <w:bookmarkStart w:id="47" w:name="_Toc5626"/>
      <w:r>
        <w:rPr>
          <w:rFonts w:hint="eastAsia" w:ascii="黑体" w:hAnsi="黑体" w:eastAsia="仿宋_GB2312" w:cs="宋体"/>
          <w:bCs/>
          <w:color w:val="auto"/>
          <w:kern w:val="0"/>
          <w:sz w:val="32"/>
          <w:szCs w:val="32"/>
          <w:highlight w:val="none"/>
        </w:rPr>
        <w:t>六、《一般公共预算财政拨款基本支出决算表》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8" w:name="_Toc32663"/>
      <w:bookmarkStart w:id="49" w:name="_Toc29106"/>
      <w:r>
        <w:rPr>
          <w:rFonts w:hint="eastAsia" w:ascii="黑体" w:hAnsi="黑体" w:eastAsia="仿宋_GB2312" w:cs="宋体"/>
          <w:bCs/>
          <w:color w:val="auto"/>
          <w:kern w:val="0"/>
          <w:sz w:val="32"/>
          <w:szCs w:val="32"/>
          <w:highlight w:val="none"/>
        </w:rPr>
        <w:t>《财政拨款“三公”经费支出决算表》</w:t>
      </w:r>
      <w:bookmarkEnd w:id="48"/>
      <w:bookmarkEnd w:id="4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50" w:name="_Toc7643"/>
      <w:bookmarkStart w:id="51" w:name="_Toc5453"/>
      <w:r>
        <w:rPr>
          <w:rFonts w:hint="eastAsia" w:ascii="黑体" w:hAnsi="黑体" w:eastAsia="仿宋_GB2312" w:cs="宋体"/>
          <w:bCs/>
          <w:color w:val="auto"/>
          <w:kern w:val="0"/>
          <w:sz w:val="32"/>
          <w:szCs w:val="32"/>
          <w:highlight w:val="none"/>
        </w:rPr>
        <w:t>八、《政府性基金预算财政拨款收入支出决算表》</w:t>
      </w:r>
      <w:bookmarkEnd w:id="50"/>
      <w:bookmarkEnd w:id="5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br w:type="page"/>
      </w:r>
    </w:p>
    <w:p>
      <w:pPr>
        <w:pStyle w:val="3"/>
        <w:rPr>
          <w:rFonts w:hint="eastAsia"/>
        </w:rPr>
      </w:pPr>
    </w:p>
    <w:p>
      <w:pPr>
        <w:keepNext w:val="0"/>
        <w:keepLines w:val="0"/>
        <w:pageBreakBefore w:val="0"/>
        <w:widowControl w:val="0"/>
        <w:kinsoku/>
        <w:wordWrap/>
        <w:overflowPunct/>
        <w:topLinePunct w:val="0"/>
        <w:bidi w:val="0"/>
        <w:adjustRightInd/>
        <w:snapToGrid/>
        <w:spacing w:line="240" w:lineRule="auto"/>
        <w:ind w:firstLine="420" w:firstLineChars="200"/>
        <w:textAlignment w:val="auto"/>
        <w:rPr>
          <w:rFonts w:hint="eastAsia" w:ascii="仿宋_GB2312" w:eastAsia="仿宋_GB2312"/>
          <w:color w:val="auto"/>
          <w:sz w:val="32"/>
          <w:szCs w:val="32"/>
          <w:highlight w:val="none"/>
        </w:rPr>
      </w:pPr>
      <w:r>
        <w:drawing>
          <wp:inline distT="0" distB="0" distL="114300" distR="114300">
            <wp:extent cx="5267325" cy="6408420"/>
            <wp:effectExtent l="0" t="0" r="9525" b="1143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5"/>
                    <a:stretch>
                      <a:fillRect/>
                    </a:stretch>
                  </pic:blipFill>
                  <pic:spPr>
                    <a:xfrm>
                      <a:off x="0" y="0"/>
                      <a:ext cx="5267325" cy="640842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pStyle w:val="3"/>
        <w:rPr>
          <w:rFonts w:hint="eastAsia" w:ascii="黑体" w:hAnsi="黑体" w:eastAsia="黑体" w:cs="宋体"/>
          <w:bCs/>
          <w:color w:val="auto"/>
          <w:kern w:val="0"/>
          <w:sz w:val="32"/>
          <w:szCs w:val="32"/>
          <w:highlight w:val="none"/>
          <w:lang w:eastAsia="zh-CN"/>
        </w:rPr>
      </w:pPr>
    </w:p>
    <w:p>
      <w:pPr>
        <w:rPr>
          <w:rFonts w:hint="eastAsia" w:ascii="黑体" w:hAnsi="黑体" w:eastAsia="黑体" w:cs="宋体"/>
          <w:bCs/>
          <w:color w:val="auto"/>
          <w:kern w:val="0"/>
          <w:sz w:val="32"/>
          <w:szCs w:val="32"/>
          <w:highlight w:val="none"/>
          <w:lang w:eastAsia="zh-CN"/>
        </w:rPr>
      </w:pPr>
    </w:p>
    <w:p>
      <w:pPr>
        <w:pStyle w:val="3"/>
        <w:rPr>
          <w:rFonts w:hint="eastAsia" w:ascii="黑体" w:hAnsi="黑体" w:eastAsia="黑体" w:cs="宋体"/>
          <w:bCs/>
          <w:color w:val="auto"/>
          <w:kern w:val="0"/>
          <w:sz w:val="32"/>
          <w:szCs w:val="32"/>
          <w:highlight w:val="none"/>
          <w:lang w:eastAsia="zh-CN"/>
        </w:rPr>
      </w:pPr>
    </w:p>
    <w:p>
      <w:pPr>
        <w:rPr>
          <w:rFonts w:hint="eastAsia" w:ascii="黑体" w:hAnsi="黑体" w:eastAsia="黑体" w:cs="宋体"/>
          <w:bCs/>
          <w:color w:val="auto"/>
          <w:kern w:val="0"/>
          <w:sz w:val="32"/>
          <w:szCs w:val="32"/>
          <w:highlight w:val="none"/>
          <w:lang w:eastAsia="zh-CN"/>
        </w:rPr>
      </w:pPr>
      <w:r>
        <w:drawing>
          <wp:inline distT="0" distB="0" distL="114300" distR="114300">
            <wp:extent cx="5271770" cy="6524625"/>
            <wp:effectExtent l="0" t="0" r="5080" b="9525"/>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6"/>
                    <a:stretch>
                      <a:fillRect/>
                    </a:stretch>
                  </pic:blipFill>
                  <pic:spPr>
                    <a:xfrm>
                      <a:off x="0" y="0"/>
                      <a:ext cx="5271770" cy="6524625"/>
                    </a:xfrm>
                    <a:prstGeom prst="rect">
                      <a:avLst/>
                    </a:prstGeom>
                    <a:noFill/>
                    <a:ln>
                      <a:noFill/>
                    </a:ln>
                  </pic:spPr>
                </pic:pic>
              </a:graphicData>
            </a:graphic>
          </wp:inline>
        </w:drawing>
      </w:r>
    </w:p>
    <w:p>
      <w:pPr>
        <w:pStyle w:val="3"/>
        <w:rPr>
          <w:rFonts w:hint="eastAsia" w:ascii="黑体" w:hAnsi="黑体" w:eastAsia="黑体" w:cs="宋体"/>
          <w:bCs/>
          <w:color w:val="auto"/>
          <w:kern w:val="0"/>
          <w:sz w:val="32"/>
          <w:szCs w:val="32"/>
          <w:highlight w:val="none"/>
          <w:lang w:eastAsia="zh-CN"/>
        </w:rPr>
      </w:pPr>
    </w:p>
    <w:p>
      <w:pPr>
        <w:rPr>
          <w:rFonts w:hint="eastAsia" w:ascii="黑体" w:hAnsi="黑体" w:eastAsia="黑体" w:cs="宋体"/>
          <w:bCs/>
          <w:color w:val="auto"/>
          <w:kern w:val="0"/>
          <w:sz w:val="32"/>
          <w:szCs w:val="32"/>
          <w:highlight w:val="none"/>
          <w:lang w:eastAsia="zh-CN"/>
        </w:rPr>
      </w:pPr>
    </w:p>
    <w:p>
      <w:pPr>
        <w:pStyle w:val="3"/>
        <w:rPr>
          <w:rFonts w:hint="eastAsia" w:ascii="黑体" w:hAnsi="黑体" w:eastAsia="黑体" w:cs="宋体"/>
          <w:bCs/>
          <w:color w:val="auto"/>
          <w:kern w:val="0"/>
          <w:sz w:val="32"/>
          <w:szCs w:val="32"/>
          <w:highlight w:val="none"/>
          <w:lang w:eastAsia="zh-CN"/>
        </w:rPr>
      </w:pPr>
      <w:r>
        <w:drawing>
          <wp:inline distT="0" distB="0" distL="114300" distR="114300">
            <wp:extent cx="5273040" cy="7208520"/>
            <wp:effectExtent l="0" t="0" r="3810" b="1143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7"/>
                    <a:stretch>
                      <a:fillRect/>
                    </a:stretch>
                  </pic:blipFill>
                  <pic:spPr>
                    <a:xfrm>
                      <a:off x="0" y="0"/>
                      <a:ext cx="5273040" cy="7208520"/>
                    </a:xfrm>
                    <a:prstGeom prst="rect">
                      <a:avLst/>
                    </a:prstGeom>
                    <a:noFill/>
                    <a:ln>
                      <a:noFill/>
                    </a:ln>
                  </pic:spPr>
                </pic:pic>
              </a:graphicData>
            </a:graphic>
          </wp:inline>
        </w:drawing>
      </w:r>
    </w:p>
    <w:p/>
    <w:p>
      <w:r>
        <w:br w:type="page"/>
      </w:r>
    </w:p>
    <w:p>
      <w:pPr>
        <w:pStyle w:val="3"/>
      </w:pPr>
      <w:r>
        <w:drawing>
          <wp:inline distT="0" distB="0" distL="114300" distR="114300">
            <wp:extent cx="5265420" cy="6576060"/>
            <wp:effectExtent l="0" t="0" r="11430" b="15240"/>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8"/>
                    <a:stretch>
                      <a:fillRect/>
                    </a:stretch>
                  </pic:blipFill>
                  <pic:spPr>
                    <a:xfrm>
                      <a:off x="0" y="0"/>
                      <a:ext cx="5265420" cy="6576060"/>
                    </a:xfrm>
                    <a:prstGeom prst="rect">
                      <a:avLst/>
                    </a:prstGeom>
                    <a:noFill/>
                    <a:ln>
                      <a:noFill/>
                    </a:ln>
                  </pic:spPr>
                </pic:pic>
              </a:graphicData>
            </a:graphic>
          </wp:inline>
        </w:drawing>
      </w:r>
    </w:p>
    <w:p>
      <w:r>
        <w:br w:type="page"/>
      </w:r>
    </w:p>
    <w:p/>
    <w:p>
      <w:r>
        <w:drawing>
          <wp:inline distT="0" distB="0" distL="114300" distR="114300">
            <wp:extent cx="5271135" cy="6668770"/>
            <wp:effectExtent l="0" t="0" r="5715" b="17780"/>
            <wp:docPr id="1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pic:cNvPicPr>
                      <a:picLocks noChangeAspect="1"/>
                    </pic:cNvPicPr>
                  </pic:nvPicPr>
                  <pic:blipFill>
                    <a:blip r:embed="rId9"/>
                    <a:stretch>
                      <a:fillRect/>
                    </a:stretch>
                  </pic:blipFill>
                  <pic:spPr>
                    <a:xfrm>
                      <a:off x="0" y="0"/>
                      <a:ext cx="5271135" cy="6668770"/>
                    </a:xfrm>
                    <a:prstGeom prst="rect">
                      <a:avLst/>
                    </a:prstGeom>
                    <a:noFill/>
                    <a:ln>
                      <a:noFill/>
                    </a:ln>
                  </pic:spPr>
                </pic:pic>
              </a:graphicData>
            </a:graphic>
          </wp:inline>
        </w:drawing>
      </w:r>
      <w:r>
        <w:br w:type="page"/>
      </w:r>
    </w:p>
    <w:p>
      <w:pPr>
        <w:pStyle w:val="3"/>
      </w:pPr>
    </w:p>
    <w:p>
      <w:r>
        <w:drawing>
          <wp:inline distT="0" distB="0" distL="114300" distR="114300">
            <wp:extent cx="5442585" cy="7219315"/>
            <wp:effectExtent l="0" t="0" r="5715" b="63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5442585" cy="7219315"/>
                    </a:xfrm>
                    <a:prstGeom prst="rect">
                      <a:avLst/>
                    </a:prstGeom>
                    <a:noFill/>
                    <a:ln>
                      <a:noFill/>
                    </a:ln>
                  </pic:spPr>
                </pic:pic>
              </a:graphicData>
            </a:graphic>
          </wp:inline>
        </w:drawing>
      </w:r>
      <w:r>
        <w:br w:type="page"/>
      </w:r>
    </w:p>
    <w:p>
      <w:r>
        <w:drawing>
          <wp:inline distT="0" distB="0" distL="114300" distR="114300">
            <wp:extent cx="5271135" cy="2186305"/>
            <wp:effectExtent l="0" t="0" r="5715" b="4445"/>
            <wp:docPr id="2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pic:cNvPicPr>
                      <a:picLocks noChangeAspect="1"/>
                    </pic:cNvPicPr>
                  </pic:nvPicPr>
                  <pic:blipFill>
                    <a:blip r:embed="rId11"/>
                    <a:stretch>
                      <a:fillRect/>
                    </a:stretch>
                  </pic:blipFill>
                  <pic:spPr>
                    <a:xfrm>
                      <a:off x="0" y="0"/>
                      <a:ext cx="5271135" cy="2186305"/>
                    </a:xfrm>
                    <a:prstGeom prst="rect">
                      <a:avLst/>
                    </a:prstGeom>
                    <a:noFill/>
                    <a:ln>
                      <a:noFill/>
                    </a:ln>
                  </pic:spPr>
                </pic:pic>
              </a:graphicData>
            </a:graphic>
          </wp:inline>
        </w:drawing>
      </w:r>
    </w:p>
    <w:p>
      <w:r>
        <w:br w:type="page"/>
      </w:r>
    </w:p>
    <w:p>
      <w:pPr>
        <w:pStyle w:val="3"/>
      </w:pPr>
      <w:r>
        <w:drawing>
          <wp:inline distT="0" distB="0" distL="114300" distR="114300">
            <wp:extent cx="5266690" cy="3208020"/>
            <wp:effectExtent l="0" t="0" r="10160" b="11430"/>
            <wp:docPr id="2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pic:cNvPicPr>
                      <a:picLocks noChangeAspect="1"/>
                    </pic:cNvPicPr>
                  </pic:nvPicPr>
                  <pic:blipFill>
                    <a:blip r:embed="rId12"/>
                    <a:stretch>
                      <a:fillRect/>
                    </a:stretch>
                  </pic:blipFill>
                  <pic:spPr>
                    <a:xfrm>
                      <a:off x="0" y="0"/>
                      <a:ext cx="5266690" cy="3208020"/>
                    </a:xfrm>
                    <a:prstGeom prst="rect">
                      <a:avLst/>
                    </a:prstGeom>
                    <a:noFill/>
                    <a:ln>
                      <a:noFill/>
                    </a:ln>
                  </pic:spPr>
                </pic:pic>
              </a:graphicData>
            </a:graphic>
          </wp:inline>
        </w:drawing>
      </w:r>
    </w:p>
    <w:p>
      <w:r>
        <w:br w:type="page"/>
      </w:r>
    </w:p>
    <w:p>
      <w:pPr>
        <w:rPr>
          <w:rFonts w:hint="eastAsia"/>
          <w:lang w:eastAsia="zh-CN"/>
        </w:rPr>
      </w:pPr>
      <w:r>
        <w:drawing>
          <wp:inline distT="0" distB="0" distL="114300" distR="114300">
            <wp:extent cx="5272405" cy="3038475"/>
            <wp:effectExtent l="0" t="0" r="4445" b="9525"/>
            <wp:docPr id="2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1"/>
                    <pic:cNvPicPr>
                      <a:picLocks noChangeAspect="1"/>
                    </pic:cNvPicPr>
                  </pic:nvPicPr>
                  <pic:blipFill>
                    <a:blip r:embed="rId13"/>
                    <a:stretch>
                      <a:fillRect/>
                    </a:stretch>
                  </pic:blipFill>
                  <pic:spPr>
                    <a:xfrm>
                      <a:off x="0" y="0"/>
                      <a:ext cx="5272405" cy="3038475"/>
                    </a:xfrm>
                    <a:prstGeom prst="rect">
                      <a:avLst/>
                    </a:prstGeom>
                    <a:noFill/>
                    <a:ln>
                      <a:noFill/>
                    </a:ln>
                  </pic:spPr>
                </pic:pic>
              </a:graphicData>
            </a:graphic>
          </wp:inline>
        </w:drawing>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C16A94"/>
    <w:rsid w:val="00F52A8D"/>
    <w:rsid w:val="015F1341"/>
    <w:rsid w:val="019404F8"/>
    <w:rsid w:val="01C2259F"/>
    <w:rsid w:val="02BD3108"/>
    <w:rsid w:val="02C55995"/>
    <w:rsid w:val="02F73D26"/>
    <w:rsid w:val="03133D09"/>
    <w:rsid w:val="034D4FEF"/>
    <w:rsid w:val="035D1785"/>
    <w:rsid w:val="039F47CE"/>
    <w:rsid w:val="03CF0387"/>
    <w:rsid w:val="03E05CE8"/>
    <w:rsid w:val="03F973EE"/>
    <w:rsid w:val="04307EF5"/>
    <w:rsid w:val="04381E22"/>
    <w:rsid w:val="043E5B56"/>
    <w:rsid w:val="04C04386"/>
    <w:rsid w:val="04D274F6"/>
    <w:rsid w:val="04FA68C4"/>
    <w:rsid w:val="053F5AE6"/>
    <w:rsid w:val="054F1078"/>
    <w:rsid w:val="057C0B0F"/>
    <w:rsid w:val="05B2216E"/>
    <w:rsid w:val="05D049D5"/>
    <w:rsid w:val="05EF4B48"/>
    <w:rsid w:val="05F76ECA"/>
    <w:rsid w:val="0647264E"/>
    <w:rsid w:val="06792773"/>
    <w:rsid w:val="07093795"/>
    <w:rsid w:val="071240B6"/>
    <w:rsid w:val="07465F77"/>
    <w:rsid w:val="07804730"/>
    <w:rsid w:val="079052BE"/>
    <w:rsid w:val="08145C21"/>
    <w:rsid w:val="08422688"/>
    <w:rsid w:val="08464F18"/>
    <w:rsid w:val="08511684"/>
    <w:rsid w:val="085854ED"/>
    <w:rsid w:val="0879188F"/>
    <w:rsid w:val="08A0354D"/>
    <w:rsid w:val="08C50A8D"/>
    <w:rsid w:val="08CD4C49"/>
    <w:rsid w:val="09114954"/>
    <w:rsid w:val="095A5B83"/>
    <w:rsid w:val="096466E3"/>
    <w:rsid w:val="0968304D"/>
    <w:rsid w:val="097E5639"/>
    <w:rsid w:val="09AF3D17"/>
    <w:rsid w:val="0A7809B7"/>
    <w:rsid w:val="0A7B4867"/>
    <w:rsid w:val="0A840954"/>
    <w:rsid w:val="0A9928ED"/>
    <w:rsid w:val="0A9E6626"/>
    <w:rsid w:val="0B61769D"/>
    <w:rsid w:val="0B746884"/>
    <w:rsid w:val="0B8C3ECC"/>
    <w:rsid w:val="0B9C639D"/>
    <w:rsid w:val="0BB052B2"/>
    <w:rsid w:val="0BD33FFC"/>
    <w:rsid w:val="0BE97AC1"/>
    <w:rsid w:val="0C0E5290"/>
    <w:rsid w:val="0C187324"/>
    <w:rsid w:val="0C1C4780"/>
    <w:rsid w:val="0C3613A3"/>
    <w:rsid w:val="0C5E519C"/>
    <w:rsid w:val="0C7227A7"/>
    <w:rsid w:val="0CA52EE8"/>
    <w:rsid w:val="0CBD6988"/>
    <w:rsid w:val="0CD208AC"/>
    <w:rsid w:val="0CFC36D0"/>
    <w:rsid w:val="0D4903E8"/>
    <w:rsid w:val="0D7A4A46"/>
    <w:rsid w:val="0DD80D9F"/>
    <w:rsid w:val="0E2E3042"/>
    <w:rsid w:val="0E44434B"/>
    <w:rsid w:val="0E4D215A"/>
    <w:rsid w:val="0E640559"/>
    <w:rsid w:val="0EB846DA"/>
    <w:rsid w:val="0F1113DA"/>
    <w:rsid w:val="0F477CA5"/>
    <w:rsid w:val="0F78534A"/>
    <w:rsid w:val="0F89358A"/>
    <w:rsid w:val="0F8A6C0E"/>
    <w:rsid w:val="0F8C6D51"/>
    <w:rsid w:val="0FCF7E65"/>
    <w:rsid w:val="105B0B5E"/>
    <w:rsid w:val="107F7FC9"/>
    <w:rsid w:val="110418F3"/>
    <w:rsid w:val="112E58D0"/>
    <w:rsid w:val="11731CAC"/>
    <w:rsid w:val="119500A0"/>
    <w:rsid w:val="11C0733B"/>
    <w:rsid w:val="11C41A5A"/>
    <w:rsid w:val="11D50D17"/>
    <w:rsid w:val="120E0809"/>
    <w:rsid w:val="12294B82"/>
    <w:rsid w:val="12346EEC"/>
    <w:rsid w:val="127F665A"/>
    <w:rsid w:val="12F7068C"/>
    <w:rsid w:val="12FF624A"/>
    <w:rsid w:val="13057DCA"/>
    <w:rsid w:val="139C0A65"/>
    <w:rsid w:val="13BB1481"/>
    <w:rsid w:val="13E14FE2"/>
    <w:rsid w:val="14207DC0"/>
    <w:rsid w:val="14666663"/>
    <w:rsid w:val="14B932DA"/>
    <w:rsid w:val="150A66AF"/>
    <w:rsid w:val="1518344F"/>
    <w:rsid w:val="154C1139"/>
    <w:rsid w:val="158C5B77"/>
    <w:rsid w:val="15AF2009"/>
    <w:rsid w:val="15DC7881"/>
    <w:rsid w:val="160C4EB2"/>
    <w:rsid w:val="160D1149"/>
    <w:rsid w:val="163563C0"/>
    <w:rsid w:val="164315EF"/>
    <w:rsid w:val="16557DFE"/>
    <w:rsid w:val="167268FB"/>
    <w:rsid w:val="16D50C50"/>
    <w:rsid w:val="16E120E1"/>
    <w:rsid w:val="17385A05"/>
    <w:rsid w:val="173B3901"/>
    <w:rsid w:val="1754585B"/>
    <w:rsid w:val="176747F9"/>
    <w:rsid w:val="177B166E"/>
    <w:rsid w:val="17954A6E"/>
    <w:rsid w:val="1800019A"/>
    <w:rsid w:val="180059E9"/>
    <w:rsid w:val="184510FD"/>
    <w:rsid w:val="18EC4AA9"/>
    <w:rsid w:val="190648B0"/>
    <w:rsid w:val="19071D6C"/>
    <w:rsid w:val="199E795C"/>
    <w:rsid w:val="19D26CD4"/>
    <w:rsid w:val="19E60D19"/>
    <w:rsid w:val="19ED0C08"/>
    <w:rsid w:val="1A3E3450"/>
    <w:rsid w:val="1A9F1261"/>
    <w:rsid w:val="1ABF3673"/>
    <w:rsid w:val="1AD807E5"/>
    <w:rsid w:val="1B39345B"/>
    <w:rsid w:val="1BFB2A1F"/>
    <w:rsid w:val="1C015D4A"/>
    <w:rsid w:val="1C290ED5"/>
    <w:rsid w:val="1C317E4F"/>
    <w:rsid w:val="1C472464"/>
    <w:rsid w:val="1C6A4C18"/>
    <w:rsid w:val="1C7A62C8"/>
    <w:rsid w:val="1CD55886"/>
    <w:rsid w:val="1D22799A"/>
    <w:rsid w:val="1D5C1A72"/>
    <w:rsid w:val="1DAB224A"/>
    <w:rsid w:val="1DAF458D"/>
    <w:rsid w:val="1DB50A07"/>
    <w:rsid w:val="1DB90460"/>
    <w:rsid w:val="1E086ACE"/>
    <w:rsid w:val="1E301CC7"/>
    <w:rsid w:val="1E62130A"/>
    <w:rsid w:val="1E97358B"/>
    <w:rsid w:val="1EAA4A5F"/>
    <w:rsid w:val="1EE869A7"/>
    <w:rsid w:val="1FA15E62"/>
    <w:rsid w:val="1FB528E8"/>
    <w:rsid w:val="1FED69B6"/>
    <w:rsid w:val="200F7EB5"/>
    <w:rsid w:val="205C65BB"/>
    <w:rsid w:val="2064678E"/>
    <w:rsid w:val="209D5039"/>
    <w:rsid w:val="20A822E7"/>
    <w:rsid w:val="20DC1AB9"/>
    <w:rsid w:val="20DD6197"/>
    <w:rsid w:val="212631E0"/>
    <w:rsid w:val="21A53757"/>
    <w:rsid w:val="21C258D1"/>
    <w:rsid w:val="221236C6"/>
    <w:rsid w:val="22D7662C"/>
    <w:rsid w:val="23326B7F"/>
    <w:rsid w:val="23796370"/>
    <w:rsid w:val="2380045B"/>
    <w:rsid w:val="23BC04D2"/>
    <w:rsid w:val="23EF1892"/>
    <w:rsid w:val="241C308E"/>
    <w:rsid w:val="2483647E"/>
    <w:rsid w:val="24A32D55"/>
    <w:rsid w:val="25292727"/>
    <w:rsid w:val="252E5CA9"/>
    <w:rsid w:val="256F7692"/>
    <w:rsid w:val="258A7889"/>
    <w:rsid w:val="25BA2154"/>
    <w:rsid w:val="25C8773F"/>
    <w:rsid w:val="264A7253"/>
    <w:rsid w:val="26F0170C"/>
    <w:rsid w:val="27201D62"/>
    <w:rsid w:val="27286E73"/>
    <w:rsid w:val="27332B01"/>
    <w:rsid w:val="274A48D3"/>
    <w:rsid w:val="279E383F"/>
    <w:rsid w:val="27CF2642"/>
    <w:rsid w:val="27E777F5"/>
    <w:rsid w:val="27EA1D4C"/>
    <w:rsid w:val="27EA2E41"/>
    <w:rsid w:val="282459E2"/>
    <w:rsid w:val="283A7FE5"/>
    <w:rsid w:val="283E3E35"/>
    <w:rsid w:val="285F51FF"/>
    <w:rsid w:val="288B2465"/>
    <w:rsid w:val="28DF2665"/>
    <w:rsid w:val="29072599"/>
    <w:rsid w:val="291029F3"/>
    <w:rsid w:val="292125C4"/>
    <w:rsid w:val="29473194"/>
    <w:rsid w:val="29CB58F0"/>
    <w:rsid w:val="2A053397"/>
    <w:rsid w:val="2A145E96"/>
    <w:rsid w:val="2A2625BB"/>
    <w:rsid w:val="2A26530E"/>
    <w:rsid w:val="2AF5378F"/>
    <w:rsid w:val="2B4A4448"/>
    <w:rsid w:val="2BB94DBF"/>
    <w:rsid w:val="2BC116A8"/>
    <w:rsid w:val="2BDC5044"/>
    <w:rsid w:val="2C2F5572"/>
    <w:rsid w:val="2C367B0B"/>
    <w:rsid w:val="2C6D069A"/>
    <w:rsid w:val="2C6F314E"/>
    <w:rsid w:val="2C8F686D"/>
    <w:rsid w:val="2CC206BE"/>
    <w:rsid w:val="2CE07D94"/>
    <w:rsid w:val="2D1136DF"/>
    <w:rsid w:val="2D20606D"/>
    <w:rsid w:val="2D5C786C"/>
    <w:rsid w:val="2D7474A1"/>
    <w:rsid w:val="2DB64930"/>
    <w:rsid w:val="2DB87198"/>
    <w:rsid w:val="2DB93C54"/>
    <w:rsid w:val="2E275773"/>
    <w:rsid w:val="2E3D144C"/>
    <w:rsid w:val="2E805CF3"/>
    <w:rsid w:val="2E891204"/>
    <w:rsid w:val="2EF172F2"/>
    <w:rsid w:val="2F3F0A28"/>
    <w:rsid w:val="2F7A1245"/>
    <w:rsid w:val="2FBF7029"/>
    <w:rsid w:val="2FD0187F"/>
    <w:rsid w:val="2FD27414"/>
    <w:rsid w:val="2FFE4BB0"/>
    <w:rsid w:val="300E7B60"/>
    <w:rsid w:val="300F6E18"/>
    <w:rsid w:val="30532A81"/>
    <w:rsid w:val="308576A3"/>
    <w:rsid w:val="30862F5F"/>
    <w:rsid w:val="314029C9"/>
    <w:rsid w:val="31713686"/>
    <w:rsid w:val="31C63837"/>
    <w:rsid w:val="31C82E39"/>
    <w:rsid w:val="31CA6940"/>
    <w:rsid w:val="321F13F5"/>
    <w:rsid w:val="32601BAD"/>
    <w:rsid w:val="329F6389"/>
    <w:rsid w:val="3389023A"/>
    <w:rsid w:val="33CB74FA"/>
    <w:rsid w:val="33ED1956"/>
    <w:rsid w:val="343642F2"/>
    <w:rsid w:val="343F3010"/>
    <w:rsid w:val="345D0A00"/>
    <w:rsid w:val="34713BFD"/>
    <w:rsid w:val="34C13589"/>
    <w:rsid w:val="353369E3"/>
    <w:rsid w:val="35933A46"/>
    <w:rsid w:val="35E00D72"/>
    <w:rsid w:val="35ED7B84"/>
    <w:rsid w:val="35F908B2"/>
    <w:rsid w:val="362B3EE4"/>
    <w:rsid w:val="36965B9D"/>
    <w:rsid w:val="36A37840"/>
    <w:rsid w:val="36A378A1"/>
    <w:rsid w:val="36C549FD"/>
    <w:rsid w:val="36D36FEB"/>
    <w:rsid w:val="36E146EE"/>
    <w:rsid w:val="36F11120"/>
    <w:rsid w:val="372F0F01"/>
    <w:rsid w:val="37410F64"/>
    <w:rsid w:val="375A514F"/>
    <w:rsid w:val="37A755DD"/>
    <w:rsid w:val="37F94FA0"/>
    <w:rsid w:val="380D3381"/>
    <w:rsid w:val="38115B1F"/>
    <w:rsid w:val="385E3AC3"/>
    <w:rsid w:val="387D6B9E"/>
    <w:rsid w:val="38B466E9"/>
    <w:rsid w:val="38B75FF0"/>
    <w:rsid w:val="38C57590"/>
    <w:rsid w:val="38D45016"/>
    <w:rsid w:val="38D90432"/>
    <w:rsid w:val="3914510A"/>
    <w:rsid w:val="3926770B"/>
    <w:rsid w:val="393B558E"/>
    <w:rsid w:val="395C1309"/>
    <w:rsid w:val="397D4CD9"/>
    <w:rsid w:val="397E61E2"/>
    <w:rsid w:val="398D3668"/>
    <w:rsid w:val="39B62C34"/>
    <w:rsid w:val="39DA0497"/>
    <w:rsid w:val="3A893816"/>
    <w:rsid w:val="3A893B6D"/>
    <w:rsid w:val="3AD1763A"/>
    <w:rsid w:val="3B264551"/>
    <w:rsid w:val="3B6716E3"/>
    <w:rsid w:val="3B6C6B2D"/>
    <w:rsid w:val="3BE703E3"/>
    <w:rsid w:val="3BE73C77"/>
    <w:rsid w:val="3C242659"/>
    <w:rsid w:val="3C96719C"/>
    <w:rsid w:val="3CA72BE8"/>
    <w:rsid w:val="3CF37F8C"/>
    <w:rsid w:val="3D137554"/>
    <w:rsid w:val="3D2E6811"/>
    <w:rsid w:val="3D5275AC"/>
    <w:rsid w:val="3DCC2473"/>
    <w:rsid w:val="3DEB0883"/>
    <w:rsid w:val="3E2527BF"/>
    <w:rsid w:val="3E395C69"/>
    <w:rsid w:val="3E731662"/>
    <w:rsid w:val="3E8168DD"/>
    <w:rsid w:val="3EA7725F"/>
    <w:rsid w:val="3EB03713"/>
    <w:rsid w:val="3EBF1A11"/>
    <w:rsid w:val="3EC52607"/>
    <w:rsid w:val="3EDE26FC"/>
    <w:rsid w:val="3EEC6CEF"/>
    <w:rsid w:val="3F183429"/>
    <w:rsid w:val="3F2A7E5D"/>
    <w:rsid w:val="3F3F6785"/>
    <w:rsid w:val="3F3F73FA"/>
    <w:rsid w:val="3FAF3399"/>
    <w:rsid w:val="3FB77A1D"/>
    <w:rsid w:val="3FCB03FB"/>
    <w:rsid w:val="3FDC3674"/>
    <w:rsid w:val="3FED7F8A"/>
    <w:rsid w:val="40094AEF"/>
    <w:rsid w:val="401A19B1"/>
    <w:rsid w:val="403C1C64"/>
    <w:rsid w:val="405470BD"/>
    <w:rsid w:val="40794A29"/>
    <w:rsid w:val="407E0D34"/>
    <w:rsid w:val="40834692"/>
    <w:rsid w:val="40923ECB"/>
    <w:rsid w:val="41431AD5"/>
    <w:rsid w:val="414B3C0F"/>
    <w:rsid w:val="417C1CE7"/>
    <w:rsid w:val="41900018"/>
    <w:rsid w:val="41944406"/>
    <w:rsid w:val="41CE128F"/>
    <w:rsid w:val="41DA6F12"/>
    <w:rsid w:val="41F53FBB"/>
    <w:rsid w:val="42171FB1"/>
    <w:rsid w:val="425D1A40"/>
    <w:rsid w:val="429F663F"/>
    <w:rsid w:val="42AF49A3"/>
    <w:rsid w:val="42B35182"/>
    <w:rsid w:val="42D246AC"/>
    <w:rsid w:val="434E6957"/>
    <w:rsid w:val="435B70D1"/>
    <w:rsid w:val="436E517E"/>
    <w:rsid w:val="43BA0E31"/>
    <w:rsid w:val="43C15147"/>
    <w:rsid w:val="43E14DD2"/>
    <w:rsid w:val="43F800E9"/>
    <w:rsid w:val="443A7E4B"/>
    <w:rsid w:val="44DC7476"/>
    <w:rsid w:val="45267A40"/>
    <w:rsid w:val="452F5B3A"/>
    <w:rsid w:val="454E7FD2"/>
    <w:rsid w:val="459912D1"/>
    <w:rsid w:val="46061BDC"/>
    <w:rsid w:val="461404F8"/>
    <w:rsid w:val="46382F3A"/>
    <w:rsid w:val="46413018"/>
    <w:rsid w:val="464B7E04"/>
    <w:rsid w:val="468041AA"/>
    <w:rsid w:val="468123C6"/>
    <w:rsid w:val="46901EEE"/>
    <w:rsid w:val="469C74D2"/>
    <w:rsid w:val="46AF289C"/>
    <w:rsid w:val="47445515"/>
    <w:rsid w:val="474B4782"/>
    <w:rsid w:val="478D18E3"/>
    <w:rsid w:val="47D90D14"/>
    <w:rsid w:val="48387FB0"/>
    <w:rsid w:val="483A6114"/>
    <w:rsid w:val="48735BC2"/>
    <w:rsid w:val="488727DB"/>
    <w:rsid w:val="48B82268"/>
    <w:rsid w:val="48C354B3"/>
    <w:rsid w:val="48D16416"/>
    <w:rsid w:val="48D30635"/>
    <w:rsid w:val="493D58B5"/>
    <w:rsid w:val="494A7A04"/>
    <w:rsid w:val="49BA5AED"/>
    <w:rsid w:val="4A057F69"/>
    <w:rsid w:val="4A0A26D2"/>
    <w:rsid w:val="4A2019A5"/>
    <w:rsid w:val="4A241A0B"/>
    <w:rsid w:val="4A7604C7"/>
    <w:rsid w:val="4A7B2875"/>
    <w:rsid w:val="4A934476"/>
    <w:rsid w:val="4AAA220A"/>
    <w:rsid w:val="4AE12E67"/>
    <w:rsid w:val="4B2422F3"/>
    <w:rsid w:val="4B4C0111"/>
    <w:rsid w:val="4B8553A9"/>
    <w:rsid w:val="4B9611C8"/>
    <w:rsid w:val="4BD2739A"/>
    <w:rsid w:val="4BD660F5"/>
    <w:rsid w:val="4BDB3730"/>
    <w:rsid w:val="4C03387D"/>
    <w:rsid w:val="4C1E1739"/>
    <w:rsid w:val="4C200F7A"/>
    <w:rsid w:val="4CBE53A4"/>
    <w:rsid w:val="4CEE3180"/>
    <w:rsid w:val="4D0F4AF6"/>
    <w:rsid w:val="4D3D0D6E"/>
    <w:rsid w:val="4D9E6373"/>
    <w:rsid w:val="4DB677C4"/>
    <w:rsid w:val="4DF94F37"/>
    <w:rsid w:val="4E0A1DD5"/>
    <w:rsid w:val="4E1750B3"/>
    <w:rsid w:val="4E3160E5"/>
    <w:rsid w:val="4E4D37AF"/>
    <w:rsid w:val="4E6F0EB7"/>
    <w:rsid w:val="4E8C6496"/>
    <w:rsid w:val="4E983FA6"/>
    <w:rsid w:val="4EA23204"/>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E02124"/>
    <w:rsid w:val="52F647F7"/>
    <w:rsid w:val="52F92565"/>
    <w:rsid w:val="53086D8C"/>
    <w:rsid w:val="53877BD4"/>
    <w:rsid w:val="53D03877"/>
    <w:rsid w:val="542F73CA"/>
    <w:rsid w:val="5430786D"/>
    <w:rsid w:val="54C811C0"/>
    <w:rsid w:val="54DA6927"/>
    <w:rsid w:val="556A442D"/>
    <w:rsid w:val="558C6DD1"/>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051E93"/>
    <w:rsid w:val="591B41B2"/>
    <w:rsid w:val="59254A26"/>
    <w:rsid w:val="59326325"/>
    <w:rsid w:val="5952586F"/>
    <w:rsid w:val="595C277F"/>
    <w:rsid w:val="595C505B"/>
    <w:rsid w:val="595E55C3"/>
    <w:rsid w:val="596D6326"/>
    <w:rsid w:val="596E7E20"/>
    <w:rsid w:val="59750976"/>
    <w:rsid w:val="59E44651"/>
    <w:rsid w:val="5A510B62"/>
    <w:rsid w:val="5A60780B"/>
    <w:rsid w:val="5A7325FD"/>
    <w:rsid w:val="5A760E5F"/>
    <w:rsid w:val="5A7D6F2F"/>
    <w:rsid w:val="5A9A6666"/>
    <w:rsid w:val="5AB34579"/>
    <w:rsid w:val="5AFC6609"/>
    <w:rsid w:val="5B113480"/>
    <w:rsid w:val="5BBA3C98"/>
    <w:rsid w:val="5BD456CE"/>
    <w:rsid w:val="5C0D1F49"/>
    <w:rsid w:val="5C1E53F1"/>
    <w:rsid w:val="5CBB0CE2"/>
    <w:rsid w:val="5CC17177"/>
    <w:rsid w:val="5CCF4DEB"/>
    <w:rsid w:val="5CD41C73"/>
    <w:rsid w:val="5CF306BC"/>
    <w:rsid w:val="5D3F3D64"/>
    <w:rsid w:val="5D833043"/>
    <w:rsid w:val="5DC36567"/>
    <w:rsid w:val="5DD92690"/>
    <w:rsid w:val="5DDB1CFD"/>
    <w:rsid w:val="5DFB3444"/>
    <w:rsid w:val="5E340AD8"/>
    <w:rsid w:val="5E3A2C88"/>
    <w:rsid w:val="5E7E6D93"/>
    <w:rsid w:val="5EAB661D"/>
    <w:rsid w:val="5EB22E28"/>
    <w:rsid w:val="5ED44800"/>
    <w:rsid w:val="5F350BDE"/>
    <w:rsid w:val="5F61632C"/>
    <w:rsid w:val="5F645666"/>
    <w:rsid w:val="5F8151AA"/>
    <w:rsid w:val="5FA17648"/>
    <w:rsid w:val="5FD676EB"/>
    <w:rsid w:val="5FE705CB"/>
    <w:rsid w:val="600915F8"/>
    <w:rsid w:val="60335FFE"/>
    <w:rsid w:val="603D5080"/>
    <w:rsid w:val="603F4679"/>
    <w:rsid w:val="60D0261B"/>
    <w:rsid w:val="61210D23"/>
    <w:rsid w:val="61621436"/>
    <w:rsid w:val="618E3791"/>
    <w:rsid w:val="61947DCA"/>
    <w:rsid w:val="61A46A97"/>
    <w:rsid w:val="61AA42B0"/>
    <w:rsid w:val="61D1382F"/>
    <w:rsid w:val="61F114A2"/>
    <w:rsid w:val="624777AE"/>
    <w:rsid w:val="624B16CD"/>
    <w:rsid w:val="62512BB4"/>
    <w:rsid w:val="625D7D1A"/>
    <w:rsid w:val="62DD7D21"/>
    <w:rsid w:val="62FF29FC"/>
    <w:rsid w:val="63762A33"/>
    <w:rsid w:val="637D586B"/>
    <w:rsid w:val="63A13139"/>
    <w:rsid w:val="63A5560B"/>
    <w:rsid w:val="63AA06EF"/>
    <w:rsid w:val="63E9091F"/>
    <w:rsid w:val="64061A7D"/>
    <w:rsid w:val="64322AF9"/>
    <w:rsid w:val="64D6010D"/>
    <w:rsid w:val="64D82665"/>
    <w:rsid w:val="64E47C96"/>
    <w:rsid w:val="64F322C4"/>
    <w:rsid w:val="651E5741"/>
    <w:rsid w:val="656C6491"/>
    <w:rsid w:val="658A4877"/>
    <w:rsid w:val="65A00902"/>
    <w:rsid w:val="65AC6EDD"/>
    <w:rsid w:val="65D97752"/>
    <w:rsid w:val="65E6030C"/>
    <w:rsid w:val="65F6739E"/>
    <w:rsid w:val="66085536"/>
    <w:rsid w:val="66105BF7"/>
    <w:rsid w:val="66150023"/>
    <w:rsid w:val="6628010D"/>
    <w:rsid w:val="662F3530"/>
    <w:rsid w:val="669B4528"/>
    <w:rsid w:val="66CA2E54"/>
    <w:rsid w:val="66CC12D7"/>
    <w:rsid w:val="67134CEF"/>
    <w:rsid w:val="671F1ABD"/>
    <w:rsid w:val="67521A59"/>
    <w:rsid w:val="676B3171"/>
    <w:rsid w:val="678F7DEE"/>
    <w:rsid w:val="67C304AB"/>
    <w:rsid w:val="681C184A"/>
    <w:rsid w:val="683F0658"/>
    <w:rsid w:val="689A0885"/>
    <w:rsid w:val="689C6793"/>
    <w:rsid w:val="68DB0208"/>
    <w:rsid w:val="68FB170C"/>
    <w:rsid w:val="691B3D98"/>
    <w:rsid w:val="693748F0"/>
    <w:rsid w:val="69615CD5"/>
    <w:rsid w:val="69846A0E"/>
    <w:rsid w:val="69AD798C"/>
    <w:rsid w:val="69D005C0"/>
    <w:rsid w:val="69D80B96"/>
    <w:rsid w:val="69F96AF6"/>
    <w:rsid w:val="6A2E5316"/>
    <w:rsid w:val="6B4F217F"/>
    <w:rsid w:val="6B68175F"/>
    <w:rsid w:val="6BE80A40"/>
    <w:rsid w:val="6BFD799F"/>
    <w:rsid w:val="6C1B4A7C"/>
    <w:rsid w:val="6C362DFC"/>
    <w:rsid w:val="6C4A2E5A"/>
    <w:rsid w:val="6C5C3F46"/>
    <w:rsid w:val="6C8138D0"/>
    <w:rsid w:val="6CEF0725"/>
    <w:rsid w:val="6CF27C78"/>
    <w:rsid w:val="6D012393"/>
    <w:rsid w:val="6D4B2604"/>
    <w:rsid w:val="6D8030E4"/>
    <w:rsid w:val="6E0E35C4"/>
    <w:rsid w:val="6E0F7A08"/>
    <w:rsid w:val="6E3947F5"/>
    <w:rsid w:val="6E9C74ED"/>
    <w:rsid w:val="6EF72976"/>
    <w:rsid w:val="6EFD38FF"/>
    <w:rsid w:val="6F3331E8"/>
    <w:rsid w:val="6F795A80"/>
    <w:rsid w:val="6F7A5B4D"/>
    <w:rsid w:val="6F7C1D2E"/>
    <w:rsid w:val="6F8E0407"/>
    <w:rsid w:val="6F9E6213"/>
    <w:rsid w:val="6FA85704"/>
    <w:rsid w:val="6FDD069F"/>
    <w:rsid w:val="702B4D16"/>
    <w:rsid w:val="705B478E"/>
    <w:rsid w:val="70AA6621"/>
    <w:rsid w:val="710A5312"/>
    <w:rsid w:val="7111480F"/>
    <w:rsid w:val="71261F49"/>
    <w:rsid w:val="712E6956"/>
    <w:rsid w:val="713F7DDD"/>
    <w:rsid w:val="71473612"/>
    <w:rsid w:val="71504F32"/>
    <w:rsid w:val="7152309F"/>
    <w:rsid w:val="718F7F65"/>
    <w:rsid w:val="71A60B0D"/>
    <w:rsid w:val="727B234E"/>
    <w:rsid w:val="72D068C7"/>
    <w:rsid w:val="72E42ED8"/>
    <w:rsid w:val="735F4CB9"/>
    <w:rsid w:val="73674C62"/>
    <w:rsid w:val="737E2171"/>
    <w:rsid w:val="73845865"/>
    <w:rsid w:val="739B6D9E"/>
    <w:rsid w:val="73BC1D76"/>
    <w:rsid w:val="73FB6630"/>
    <w:rsid w:val="748D790E"/>
    <w:rsid w:val="749820CC"/>
    <w:rsid w:val="74A67417"/>
    <w:rsid w:val="74CE04EC"/>
    <w:rsid w:val="74E76DCD"/>
    <w:rsid w:val="751D7C0A"/>
    <w:rsid w:val="75722D56"/>
    <w:rsid w:val="75DB5477"/>
    <w:rsid w:val="75F41E0F"/>
    <w:rsid w:val="75FC6AC3"/>
    <w:rsid w:val="7616619B"/>
    <w:rsid w:val="76660D7C"/>
    <w:rsid w:val="766C5968"/>
    <w:rsid w:val="76BE0C8F"/>
    <w:rsid w:val="76CD53B2"/>
    <w:rsid w:val="770719AC"/>
    <w:rsid w:val="776526CC"/>
    <w:rsid w:val="777C1B9E"/>
    <w:rsid w:val="778344EB"/>
    <w:rsid w:val="77A262E1"/>
    <w:rsid w:val="77B13C33"/>
    <w:rsid w:val="77ED6F44"/>
    <w:rsid w:val="77F45548"/>
    <w:rsid w:val="78195840"/>
    <w:rsid w:val="784E7CA6"/>
    <w:rsid w:val="78574801"/>
    <w:rsid w:val="7873527F"/>
    <w:rsid w:val="790A6425"/>
    <w:rsid w:val="790B2AC2"/>
    <w:rsid w:val="790E2D96"/>
    <w:rsid w:val="791B54B2"/>
    <w:rsid w:val="795A0A34"/>
    <w:rsid w:val="797339C3"/>
    <w:rsid w:val="799F7F3A"/>
    <w:rsid w:val="79BF3540"/>
    <w:rsid w:val="79D57D57"/>
    <w:rsid w:val="79F00650"/>
    <w:rsid w:val="7A140F9F"/>
    <w:rsid w:val="7A6242BF"/>
    <w:rsid w:val="7A794513"/>
    <w:rsid w:val="7AE952D2"/>
    <w:rsid w:val="7B081CCB"/>
    <w:rsid w:val="7B104EE9"/>
    <w:rsid w:val="7C327497"/>
    <w:rsid w:val="7C4436E7"/>
    <w:rsid w:val="7C4A3445"/>
    <w:rsid w:val="7C6F0AA0"/>
    <w:rsid w:val="7C976D69"/>
    <w:rsid w:val="7CD752DA"/>
    <w:rsid w:val="7CDE40AB"/>
    <w:rsid w:val="7CF057E2"/>
    <w:rsid w:val="7D1548B5"/>
    <w:rsid w:val="7D2E5815"/>
    <w:rsid w:val="7D8E624A"/>
    <w:rsid w:val="7DC134EB"/>
    <w:rsid w:val="7DD74E80"/>
    <w:rsid w:val="7DD768D9"/>
    <w:rsid w:val="7DF84014"/>
    <w:rsid w:val="7E207949"/>
    <w:rsid w:val="7E44063E"/>
    <w:rsid w:val="7E5C0A47"/>
    <w:rsid w:val="7E670C75"/>
    <w:rsid w:val="7E6D73A4"/>
    <w:rsid w:val="7EA32C6E"/>
    <w:rsid w:val="7EB9653A"/>
    <w:rsid w:val="7EDC0598"/>
    <w:rsid w:val="7EE24272"/>
    <w:rsid w:val="7EEA6053"/>
    <w:rsid w:val="7F487C04"/>
    <w:rsid w:val="7FB45F21"/>
    <w:rsid w:val="7FE57088"/>
    <w:rsid w:val="7FF37FA3"/>
    <w:rsid w:val="7FFC3A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widowControl/>
      <w:spacing w:before="240" w:after="60"/>
      <w:jc w:val="left"/>
      <w:outlineLvl w:val="0"/>
    </w:pPr>
    <w:rPr>
      <w:rFonts w:ascii="Cambria" w:hAnsi="Cambria" w:eastAsia="宋体" w:cs="Times New Roman"/>
      <w:b/>
      <w:bCs/>
      <w:kern w:val="32"/>
      <w:sz w:val="32"/>
      <w:szCs w:val="32"/>
    </w:rPr>
  </w:style>
  <w:style w:type="paragraph" w:styleId="3">
    <w:name w:val="heading 3"/>
    <w:basedOn w:val="1"/>
    <w:next w:val="1"/>
    <w:qFormat/>
    <w:uiPriority w:val="0"/>
    <w:pPr>
      <w:keepNext/>
      <w:keepLines/>
      <w:widowControl w:val="0"/>
      <w:spacing w:before="260" w:beforeAutospacing="0" w:after="260" w:afterAutospacing="0" w:line="412" w:lineRule="auto"/>
      <w:outlineLvl w:val="2"/>
    </w:pPr>
    <w:rPr>
      <w:b/>
      <w:sz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3">
    <w:name w:val="Strong"/>
    <w:basedOn w:val="12"/>
    <w:qFormat/>
    <w:uiPriority w:val="0"/>
    <w:rPr>
      <w:b/>
    </w:rPr>
  </w:style>
  <w:style w:type="paragraph" w:customStyle="1" w:styleId="14">
    <w:name w:val="WPSOffice手动目录 3"/>
    <w:qFormat/>
    <w:uiPriority w:val="0"/>
    <w:pPr>
      <w:ind w:leftChars="40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 w:type="paragraph" w:customStyle="1" w:styleId="16">
    <w:name w:val="WPSOffice手动目录 1"/>
    <w:qFormat/>
    <w:uiPriority w:val="0"/>
    <w:pPr>
      <w:ind w:leftChars="0"/>
    </w:pPr>
    <w:rPr>
      <w:rFonts w:ascii="Times New Roman" w:hAnsi="Times New Roman" w:eastAsia="宋体" w:cs="Times New Roman"/>
      <w:sz w:val="20"/>
      <w:szCs w:val="20"/>
    </w:rPr>
  </w:style>
  <w:style w:type="paragraph" w:customStyle="1" w:styleId="17">
    <w:name w:val="Char"/>
    <w:basedOn w:val="1"/>
    <w:qFormat/>
    <w:uiPriority w:val="99"/>
    <w:pPr>
      <w:widowControl w:val="0"/>
      <w:jc w:val="both"/>
    </w:pPr>
    <w:rPr>
      <w:rFonts w:ascii="仿宋_GB2312" w:cs="仿宋_GB2312"/>
      <w:color w:val="000000"/>
      <w:kern w:val="16"/>
      <w:szCs w:val="3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6483</Words>
  <Characters>20828</Characters>
  <Lines>0</Lines>
  <Paragraphs>0</Paragraphs>
  <TotalTime>12</TotalTime>
  <ScaleCrop>false</ScaleCrop>
  <LinksUpToDate>false</LinksUpToDate>
  <CharactersWithSpaces>20940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2024-12-19T11:08:53Z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D624B15633CD43C8BF9435464A96BF70</vt:lpwstr>
  </property>
</Properties>
</file>