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库尔勒市普惠乡人民政府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val="en-US"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val="en-US"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both"/>
        <w:textAlignment w:val="auto"/>
        <w:outlineLvl w:val="1"/>
        <w:rPr>
          <w:rFonts w:hint="eastAsia" w:ascii="仿宋_GB2312" w:eastAsia="仿宋_GB2312"/>
          <w:color w:val="auto"/>
          <w:sz w:val="32"/>
          <w:szCs w:val="32"/>
        </w:rPr>
      </w:pPr>
      <w:bookmarkStart w:id="4" w:name="_Toc31238"/>
      <w:bookmarkStart w:id="5" w:name="_Toc2151"/>
      <w:r>
        <w:rPr>
          <w:rFonts w:hint="eastAsia" w:ascii="Times New Roman" w:hAnsi="Times New Roman" w:eastAsia="仿宋_GB2312"/>
          <w:color w:val="auto"/>
          <w:sz w:val="31"/>
          <w:szCs w:val="32"/>
          <w:lang w:val="en-US" w:eastAsia="zh-CN"/>
        </w:rPr>
        <w:t>1</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宣传、执行党的路线、方针、政策和国家法律、法规，保证上级党委政府决议、决定的落实，对居民进行思想政治教育和社会主义法治宣传。</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both"/>
        <w:textAlignment w:val="auto"/>
        <w:outlineLvl w:val="1"/>
        <w:rPr>
          <w:rFonts w:hint="eastAsia" w:ascii="仿宋_GB2312" w:eastAsia="仿宋_GB2312"/>
          <w:color w:val="auto"/>
          <w:sz w:val="32"/>
          <w:szCs w:val="32"/>
        </w:rPr>
      </w:pPr>
      <w:r>
        <w:rPr>
          <w:rFonts w:hint="eastAsia" w:ascii="Times New Roman" w:hAnsi="Times New Roman" w:eastAsia="仿宋_GB2312"/>
          <w:color w:val="auto"/>
          <w:sz w:val="31"/>
          <w:szCs w:val="32"/>
        </w:rPr>
        <w:t>2</w:t>
      </w:r>
      <w:r>
        <w:rPr>
          <w:rFonts w:hint="eastAsia" w:ascii="仿宋_GB2312" w:eastAsia="仿宋_GB2312"/>
          <w:color w:val="auto"/>
          <w:sz w:val="32"/>
          <w:szCs w:val="32"/>
        </w:rPr>
        <w:t>、组织领导乡区域经济工作，制定乡经济发展规划，检查、督促各经济组织开展工作，负责乡财政预算和收支管理。</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both"/>
        <w:textAlignment w:val="auto"/>
        <w:outlineLvl w:val="1"/>
        <w:rPr>
          <w:rFonts w:hint="eastAsia" w:ascii="仿宋_GB2312" w:eastAsia="仿宋_GB2312"/>
          <w:color w:val="auto"/>
          <w:sz w:val="32"/>
          <w:szCs w:val="32"/>
        </w:rPr>
      </w:pPr>
      <w:r>
        <w:rPr>
          <w:rFonts w:hint="eastAsia" w:ascii="Times New Roman" w:hAnsi="Times New Roman" w:eastAsia="仿宋_GB2312"/>
          <w:color w:val="auto"/>
          <w:sz w:val="31"/>
          <w:szCs w:val="32"/>
        </w:rPr>
        <w:t>3</w:t>
      </w:r>
      <w:r>
        <w:rPr>
          <w:rFonts w:hint="eastAsia" w:ascii="仿宋_GB2312" w:eastAsia="仿宋_GB2312"/>
          <w:color w:val="auto"/>
          <w:sz w:val="32"/>
          <w:szCs w:val="32"/>
        </w:rPr>
        <w:t>、加强外来人口管理，开展民事调解，保护老人、儿童、妇女、残疾人和青少年的合法权益，保障辖区内政治稳定和社会安定。</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both"/>
        <w:textAlignment w:val="auto"/>
        <w:outlineLvl w:val="1"/>
        <w:rPr>
          <w:rFonts w:hint="eastAsia" w:ascii="仿宋_GB2312" w:eastAsia="仿宋_GB2312"/>
          <w:color w:val="auto"/>
          <w:sz w:val="32"/>
          <w:szCs w:val="32"/>
        </w:rPr>
      </w:pPr>
      <w:r>
        <w:rPr>
          <w:rFonts w:hint="eastAsia" w:ascii="Times New Roman" w:hAnsi="Times New Roman" w:eastAsia="仿宋_GB2312"/>
          <w:color w:val="auto"/>
          <w:sz w:val="31"/>
          <w:szCs w:val="32"/>
        </w:rPr>
        <w:t>4</w:t>
      </w:r>
      <w:r>
        <w:rPr>
          <w:rFonts w:hint="eastAsia" w:ascii="仿宋_GB2312" w:eastAsia="仿宋_GB2312"/>
          <w:color w:val="auto"/>
          <w:sz w:val="32"/>
          <w:szCs w:val="32"/>
        </w:rPr>
        <w:t>、开展党的建设、群众文化、科普、精神文明、爱国卫生、计划生育、环境卫生、绿化美化、民政、社会保障、健康教育等工作，配合有关部门做好防控、防汛防震、抢险救灾、交通管理等工作。</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both"/>
        <w:textAlignment w:val="auto"/>
        <w:outlineLvl w:val="1"/>
        <w:rPr>
          <w:rFonts w:hint="eastAsia" w:ascii="仿宋_GB2312" w:eastAsia="仿宋_GB2312"/>
          <w:color w:val="auto"/>
          <w:sz w:val="32"/>
          <w:szCs w:val="32"/>
        </w:rPr>
      </w:pPr>
      <w:r>
        <w:rPr>
          <w:rFonts w:hint="eastAsia" w:ascii="Times New Roman" w:hAnsi="Times New Roman" w:eastAsia="仿宋_GB2312"/>
          <w:color w:val="auto"/>
          <w:sz w:val="31"/>
          <w:szCs w:val="32"/>
        </w:rPr>
        <w:t>5</w:t>
      </w:r>
      <w:r>
        <w:rPr>
          <w:rFonts w:hint="eastAsia" w:ascii="仿宋_GB2312" w:eastAsia="仿宋_GB2312"/>
          <w:color w:val="auto"/>
          <w:sz w:val="32"/>
          <w:szCs w:val="32"/>
        </w:rPr>
        <w:t>、向上级政府反映群众的意见和要求，办理人民群众来信来访事项，做好为居民群众服务工作。</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both"/>
        <w:textAlignment w:val="auto"/>
        <w:outlineLvl w:val="1"/>
        <w:rPr>
          <w:rFonts w:hint="eastAsia" w:ascii="仿宋_GB2312" w:eastAsia="仿宋_GB2312"/>
          <w:color w:val="auto"/>
          <w:sz w:val="32"/>
          <w:szCs w:val="32"/>
        </w:rPr>
      </w:pPr>
      <w:r>
        <w:rPr>
          <w:rFonts w:hint="eastAsia" w:ascii="Times New Roman" w:hAnsi="Times New Roman" w:eastAsia="仿宋_GB2312"/>
          <w:color w:val="auto"/>
          <w:sz w:val="31"/>
          <w:szCs w:val="32"/>
        </w:rPr>
        <w:t>6</w:t>
      </w:r>
      <w:r>
        <w:rPr>
          <w:rFonts w:hint="eastAsia" w:ascii="仿宋_GB2312" w:eastAsia="仿宋_GB2312"/>
          <w:color w:val="auto"/>
          <w:sz w:val="32"/>
          <w:szCs w:val="32"/>
        </w:rPr>
        <w:t>、完成上级政府交办的其他事项。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库尔勒市普惠乡人民政府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rPr>
      </w:pPr>
      <w:bookmarkStart w:id="48" w:name="_GoBack"/>
      <w:bookmarkEnd w:id="48"/>
      <w:r>
        <w:rPr>
          <w:rFonts w:hint="eastAsia" w:ascii="仿宋_GB2312" w:hAnsi="黑体" w:eastAsia="仿宋_GB2312" w:cs="宋体"/>
          <w:bCs/>
          <w:color w:val="auto"/>
          <w:kern w:val="0"/>
          <w:sz w:val="32"/>
          <w:szCs w:val="32"/>
        </w:rPr>
        <w:t>单位无下属预算单位，下设</w:t>
      </w:r>
      <w:r>
        <w:rPr>
          <w:rFonts w:hint="eastAsia" w:ascii="Times New Roman" w:hAnsi="Times New Roman" w:eastAsia="仿宋_GB2312"/>
          <w:color w:val="auto"/>
          <w:sz w:val="31"/>
          <w:szCs w:val="32"/>
          <w:lang w:val="en-US" w:eastAsia="zh-CN"/>
        </w:rPr>
        <w:t>6</w:t>
      </w:r>
      <w:r>
        <w:rPr>
          <w:rFonts w:hint="eastAsia" w:ascii="仿宋_GB2312" w:hAnsi="黑体" w:eastAsia="仿宋_GB2312" w:cs="宋体"/>
          <w:bCs/>
          <w:color w:val="auto"/>
          <w:kern w:val="0"/>
          <w:sz w:val="32"/>
          <w:szCs w:val="32"/>
        </w:rPr>
        <w:t>个处室，分别是：</w:t>
      </w:r>
      <w:r>
        <w:rPr>
          <w:rFonts w:hint="eastAsia" w:ascii="仿宋_GB2312" w:eastAsia="仿宋_GB2312"/>
          <w:color w:val="auto"/>
          <w:sz w:val="32"/>
          <w:szCs w:val="32"/>
        </w:rPr>
        <w:t>农业（畜牧业）发展中心，文化体育广播电视服务中心，社会保障（民政）服务中心，财政所（农村合作经济经营管理服务站），村镇规划建设发展服务中心（环境保护工作站），人口和计划生育生殖健康服务站</w:t>
      </w:r>
      <w:r>
        <w:rPr>
          <w:rFonts w:hint="eastAsia" w:ascii="仿宋_GB2312" w:hAnsi="宋体" w:eastAsia="仿宋_GB2312" w:cs="宋体"/>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14,134.60万元，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14,134.60万元，使用非财政拨款结余0.00万元，年初结转和结余0.00万元。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14,134.60万元，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14,134.60万元，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增加11,705.61万元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增长481.91%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本年增加棉花目标价格补贴等惠民补贴资金列入为2023年部门决算</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14,134.60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14,134.60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本年支出14,134.60万元，其中：基本支出2,302.40万元，占16.29%；项目支出11,832.20万元，占83.71%；上缴上级支出0.00万元，占0.00%；经营支出0.00万元，占0.00%；对附属单位补助支出0.00万元，占0.00%。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14,134.60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14,134.60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14,134.60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14,134.60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增加11,705.61万元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增长481.91%，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本年增加棉花目标价格补贴等惠民补贴资金列入为2023年部门决算</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2,053.28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14,134.60</w:t>
      </w:r>
      <w:r>
        <w:rPr>
          <w:rFonts w:hint="eastAsia" w:ascii="仿宋_GB2312" w:eastAsia="仿宋_GB2312"/>
          <w:color w:val="auto"/>
          <w:spacing w:val="0"/>
          <w:sz w:val="32"/>
          <w:szCs w:val="32"/>
          <w:highlight w:val="none"/>
          <w:lang w:eastAsia="zh-CN"/>
        </w:rPr>
        <w:t>万元，预决算差异率588.39%，主要原因是：</w:t>
      </w:r>
      <w:r>
        <w:rPr>
          <w:rFonts w:hint="eastAsia" w:ascii="仿宋_GB2312" w:eastAsia="仿宋_GB2312"/>
          <w:color w:val="auto"/>
          <w:spacing w:val="0"/>
          <w:sz w:val="32"/>
          <w:szCs w:val="32"/>
          <w:highlight w:val="none"/>
          <w:lang w:val="en-US" w:eastAsia="zh-CN"/>
        </w:rPr>
        <w:t>本年增加棉花目标价格补贴等惠民补贴资金列入为2023年部门决算，本年年中追加中央基建建设和乡村振兴等项目资金。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2023年度一般公共预算财政拨款支出14,116.60万元，占本年支出合计的</w:t>
      </w:r>
      <w:r>
        <w:rPr>
          <w:rFonts w:hint="eastAsia" w:ascii="仿宋_GB2312" w:eastAsia="仿宋_GB2312"/>
          <w:color w:val="auto"/>
          <w:spacing w:val="0"/>
          <w:sz w:val="32"/>
          <w:szCs w:val="32"/>
          <w:highlight w:val="none"/>
          <w:lang w:val="zh-CN" w:eastAsia="zh-CN"/>
        </w:rPr>
        <w:t>99.87%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增加11,687.61万元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增长481.17%，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本年增加棉花目标价格补贴等惠民补贴资金列入为2023年部门决算</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2,053.28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14,116.60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587.52%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本年增加棉花目标价格补贴等惠民补贴资金列入为2023年部门决算，本年年中追加中央基建建设和乡村振兴等项目资金。</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1,722.63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12.20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3.25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5.19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202.49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103.49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0.73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11,880.97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84.16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7</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79.93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0.57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8</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118.65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0.84</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.一般公共服务支出（类）人大事务（款）代表工作（项）:支出决算数为3.48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本年增加人大代表开会及培训，因此增加相应的经费支出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.一般公共服务支出（类）政府办公厅（室）及相关机构事务（款）行政运行（项）:支出决算数为1,559.35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921.02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144.29%，主要原因是：</w:t>
      </w:r>
      <w:r>
        <w:rPr>
          <w:rFonts w:hint="eastAsia" w:ascii="仿宋_GB2312" w:hAnsi="仿宋_GB2312" w:eastAsia="仿宋_GB2312" w:cs="仿宋_GB2312"/>
          <w:color w:val="auto"/>
          <w:kern w:val="0"/>
          <w:sz w:val="32"/>
          <w:szCs w:val="32"/>
          <w:lang w:val="en-US" w:eastAsia="zh-CN"/>
        </w:rPr>
        <w:t>增加</w:t>
      </w:r>
      <w:r>
        <w:rPr>
          <w:rFonts w:hint="eastAsia" w:ascii="仿宋_GB2312" w:eastAsia="仿宋_GB2312"/>
          <w:color w:val="auto"/>
          <w:sz w:val="32"/>
          <w:szCs w:val="32"/>
        </w:rPr>
        <w:t>相应的</w:t>
      </w:r>
      <w:r>
        <w:rPr>
          <w:rFonts w:hint="eastAsia" w:ascii="仿宋_GB2312" w:eastAsia="仿宋_GB2312"/>
          <w:color w:val="auto"/>
          <w:sz w:val="32"/>
          <w:szCs w:val="32"/>
          <w:lang w:val="en-US" w:eastAsia="zh-CN"/>
        </w:rPr>
        <w:t>机关</w:t>
      </w:r>
      <w:r>
        <w:rPr>
          <w:rFonts w:hint="eastAsia" w:ascii="仿宋_GB2312" w:eastAsia="仿宋_GB2312"/>
          <w:color w:val="auto"/>
          <w:sz w:val="32"/>
          <w:szCs w:val="32"/>
        </w:rPr>
        <w:t>运行经费及人员工资</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增加相应的项目支出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.一般公共服务支出（类）政府办公厅（室）及相关机构事务（款）其他政府办公厅（室）及相关机构事务支出（项）:支出决算数为73.03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23.79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24.57%，主要原因是：</w:t>
      </w:r>
      <w:r>
        <w:rPr>
          <w:rFonts w:hint="eastAsia" w:eastAsia="仿宋_GB2312" w:cs="Times New Roman"/>
          <w:color w:val="auto"/>
          <w:kern w:val="2"/>
          <w:sz w:val="32"/>
          <w:szCs w:val="32"/>
          <w:highlight w:val="none"/>
          <w:lang w:val="en-US" w:eastAsia="zh-CN" w:bidi="ar-SA"/>
        </w:rPr>
        <w:t>本年减少</w:t>
      </w:r>
      <w:r>
        <w:rPr>
          <w:rFonts w:hint="eastAsia" w:ascii="仿宋_GB2312" w:eastAsia="仿宋_GB2312"/>
          <w:color w:val="auto"/>
          <w:sz w:val="32"/>
          <w:szCs w:val="32"/>
        </w:rPr>
        <w:t>相应的</w:t>
      </w:r>
      <w:r>
        <w:rPr>
          <w:rFonts w:hint="eastAsia" w:ascii="仿宋_GB2312" w:eastAsia="仿宋_GB2312"/>
          <w:color w:val="auto"/>
          <w:sz w:val="32"/>
          <w:szCs w:val="32"/>
          <w:lang w:val="en-US" w:eastAsia="zh-CN"/>
        </w:rPr>
        <w:t>机关</w:t>
      </w:r>
      <w:r>
        <w:rPr>
          <w:rFonts w:hint="eastAsia" w:ascii="仿宋_GB2312" w:eastAsia="仿宋_GB2312"/>
          <w:color w:val="auto"/>
          <w:sz w:val="32"/>
          <w:szCs w:val="32"/>
        </w:rPr>
        <w:t>运行经费</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减少相应的项目支出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.一般公共服务支出（类）纪检监察事务（款）其他纪检监察事务支出（项）:支出决算数为1.85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184.62%，主要原因是：</w:t>
      </w:r>
      <w:r>
        <w:rPr>
          <w:rFonts w:hint="eastAsia" w:eastAsia="仿宋_GB2312" w:cs="Times New Roman"/>
          <w:color w:val="auto"/>
          <w:kern w:val="2"/>
          <w:sz w:val="32"/>
          <w:szCs w:val="32"/>
          <w:highlight w:val="none"/>
          <w:lang w:val="en-US" w:eastAsia="zh-CN" w:bidi="ar-SA"/>
        </w:rPr>
        <w:t>本年对</w:t>
      </w:r>
      <w:r>
        <w:rPr>
          <w:rFonts w:hint="eastAsia" w:ascii="Times New Roman" w:hAnsi="Times New Roman" w:eastAsia="仿宋_GB2312" w:cs="Times New Roman"/>
          <w:color w:val="auto"/>
          <w:kern w:val="2"/>
          <w:sz w:val="32"/>
          <w:szCs w:val="32"/>
          <w:highlight w:val="none"/>
          <w:lang w:val="en-US" w:eastAsia="zh-CN" w:bidi="ar-SA"/>
        </w:rPr>
        <w:t>纪检监察事务支出</w:t>
      </w:r>
      <w:r>
        <w:rPr>
          <w:rFonts w:hint="eastAsia" w:eastAsia="仿宋_GB2312" w:cs="Times New Roman"/>
          <w:color w:val="auto"/>
          <w:kern w:val="2"/>
          <w:sz w:val="32"/>
          <w:szCs w:val="32"/>
          <w:highlight w:val="none"/>
          <w:lang w:val="en-US" w:eastAsia="zh-CN" w:bidi="ar-SA"/>
        </w:rPr>
        <w:t>的投入增加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.一般公共服务支出（类）组织事务（款）其他组织事务支出（项）:支出决算数为80.92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69.74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46.29%，主要原因是：</w:t>
      </w:r>
      <w:r>
        <w:rPr>
          <w:rFonts w:hint="eastAsia" w:eastAsia="仿宋_GB2312" w:cs="Times New Roman"/>
          <w:color w:val="auto"/>
          <w:kern w:val="2"/>
          <w:sz w:val="32"/>
          <w:szCs w:val="32"/>
          <w:highlight w:val="none"/>
          <w:lang w:val="en-US" w:eastAsia="zh-CN" w:bidi="ar-SA"/>
        </w:rPr>
        <w:t>本年</w:t>
      </w:r>
      <w:r>
        <w:rPr>
          <w:rFonts w:hint="eastAsia" w:ascii="仿宋_GB2312" w:hAnsi="仿宋_GB2312" w:eastAsia="仿宋_GB2312" w:cs="仿宋_GB2312"/>
          <w:color w:val="auto"/>
          <w:kern w:val="0"/>
          <w:sz w:val="32"/>
          <w:szCs w:val="32"/>
          <w:lang w:val="en-US" w:eastAsia="zh-CN"/>
        </w:rPr>
        <w:t>减少</w:t>
      </w:r>
      <w:r>
        <w:rPr>
          <w:rFonts w:hint="eastAsia" w:ascii="仿宋_GB2312" w:eastAsia="仿宋_GB2312"/>
          <w:color w:val="auto"/>
          <w:sz w:val="32"/>
          <w:szCs w:val="32"/>
          <w:lang w:val="en-US" w:eastAsia="zh-CN"/>
        </w:rPr>
        <w:t>机关及社区</w:t>
      </w:r>
      <w:r>
        <w:rPr>
          <w:rFonts w:hint="eastAsia" w:ascii="仿宋_GB2312" w:eastAsia="仿宋_GB2312"/>
          <w:color w:val="auto"/>
          <w:sz w:val="32"/>
          <w:szCs w:val="32"/>
        </w:rPr>
        <w:t>运行</w:t>
      </w:r>
      <w:r>
        <w:rPr>
          <w:rFonts w:hint="eastAsia" w:ascii="仿宋_GB2312" w:eastAsia="仿宋_GB2312"/>
          <w:color w:val="auto"/>
          <w:sz w:val="32"/>
          <w:szCs w:val="32"/>
          <w:lang w:val="en-US" w:eastAsia="zh-CN"/>
        </w:rPr>
        <w:t>费用</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因此减少相应的经费支出。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.一般公共服务支出（类）统战事务（款）宗教事务（项）:支出决算数为4.00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w:t>
      </w:r>
      <w:r>
        <w:rPr>
          <w:rFonts w:hint="eastAsia" w:ascii="Times New Roman" w:hAnsi="Times New Roman" w:eastAsia="仿宋_GB2312" w:cs="Times New Roman"/>
          <w:color w:val="auto"/>
          <w:kern w:val="2"/>
          <w:sz w:val="32"/>
          <w:szCs w:val="32"/>
          <w:highlight w:val="none"/>
          <w:lang w:val="en-US" w:eastAsia="zh-CN" w:bidi="ar-SA"/>
        </w:rPr>
        <w:t>宗教事务</w:t>
      </w:r>
      <w:r>
        <w:rPr>
          <w:rFonts w:hint="eastAsia" w:eastAsia="仿宋_GB2312" w:cs="Times New Roman"/>
          <w:color w:val="auto"/>
          <w:kern w:val="2"/>
          <w:sz w:val="32"/>
          <w:szCs w:val="32"/>
          <w:highlight w:val="none"/>
          <w:lang w:val="en-US" w:eastAsia="zh-CN" w:bidi="ar-SA"/>
        </w:rPr>
        <w:t>开支，因此增加相应的经费支出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.一般公共服务支出（类）统战事务（款）其他统战事务支出（项）:支出决算数为0.00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19.94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本年未安排此项经费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.国防支出（类）国防动员（款）民兵（项）:支出决算数为0.00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本年未安排此项经费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.教育支出（类）进修及培训（款）培训支出（项）:支出决算数为3.25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增长537.25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本年人员参加培训次数增加，因此增加相应的培训支出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.文化旅游体育与传媒支出（类）文化和旅游（款）其他文化和旅游支出（项）:支出决算数为5.19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77.45%，主要原因是：</w:t>
      </w:r>
      <w:r>
        <w:rPr>
          <w:rFonts w:hint="eastAsia" w:eastAsia="仿宋_GB2312" w:cs="Times New Roman"/>
          <w:color w:val="auto"/>
          <w:kern w:val="2"/>
          <w:sz w:val="32"/>
          <w:szCs w:val="32"/>
          <w:highlight w:val="none"/>
          <w:lang w:val="en-US" w:eastAsia="zh-CN" w:bidi="ar-SA"/>
        </w:rPr>
        <w:t>本年减少文化活动次数，因此减少相应的文化活动经费支出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.文化旅游体育与传媒支出（类）其他文化旅游体育与传媒支出（款）其他文化旅游体育与传媒支出（项）:支出决算数为0.00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本年未安排此项经费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12</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.社会保障和就业支出（类）行政事业单位养老支出（款）行政单位离退休（项）:支出决算数为30.71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28.92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w:t>
      </w:r>
      <w:r>
        <w:rPr>
          <w:rFonts w:hint="eastAsia" w:eastAsia="仿宋_GB2312" w:cs="Times New Roman"/>
          <w:color w:val="auto"/>
          <w:kern w:val="2"/>
          <w:sz w:val="32"/>
          <w:szCs w:val="32"/>
          <w:highlight w:val="none"/>
          <w:lang w:val="en-US" w:eastAsia="zh-CN" w:bidi="ar-SA"/>
        </w:rPr>
        <w:t>15.64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本年增加退休人员抚恤金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.社会保障和就业支出（类）行政事业单位养老支出（款）机关事业单位基本养老保险缴费支出（项）:支出决算数为111.22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3.76%，主要原因是：</w:t>
      </w:r>
      <w:r>
        <w:rPr>
          <w:rFonts w:hint="eastAsia" w:eastAsia="仿宋_GB2312" w:cs="Times New Roman"/>
          <w:color w:val="auto"/>
          <w:kern w:val="2"/>
          <w:sz w:val="32"/>
          <w:szCs w:val="32"/>
          <w:highlight w:val="none"/>
          <w:lang w:val="en-US" w:eastAsia="zh-CN" w:bidi="ar-SA"/>
        </w:rPr>
        <w:t>本年在职人员工资增加，因此增加相应的</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14</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.社会保障和就业支出（类）行政事业单位养老支出（款）机关事业单位职业年金缴费支出（项）:支出决算数为17.22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130.5</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本年新增3名退休人员，因此增加相应的</w:t>
      </w:r>
      <w:r>
        <w:rPr>
          <w:rFonts w:hint="eastAsia" w:ascii="Times New Roman" w:hAnsi="Times New Roman" w:eastAsia="仿宋_GB2312" w:cs="Times New Roman"/>
          <w:color w:val="auto"/>
          <w:kern w:val="2"/>
          <w:sz w:val="32"/>
          <w:szCs w:val="32"/>
          <w:highlight w:val="none"/>
          <w:lang w:val="en-US" w:eastAsia="zh-CN" w:bidi="ar-SA"/>
        </w:rPr>
        <w:t>机关事业单位职业年金缴费支出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.社会保障和就业支出（类）就业补助（款）公益性岗位补贴（项）:支出决算数为36.95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638.48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94.53%，主要原因是：</w:t>
      </w:r>
      <w:r>
        <w:rPr>
          <w:rFonts w:hint="eastAsia" w:eastAsia="仿宋_GB2312" w:cs="Times New Roman"/>
          <w:color w:val="auto"/>
          <w:kern w:val="2"/>
          <w:sz w:val="32"/>
          <w:szCs w:val="32"/>
          <w:highlight w:val="none"/>
          <w:lang w:val="en-US" w:eastAsia="zh-CN" w:bidi="ar-SA"/>
        </w:rPr>
        <w:t>本年社区事业岗人员工资支出列入</w:t>
      </w:r>
      <w:r>
        <w:rPr>
          <w:rFonts w:hint="eastAsia" w:ascii="Times New Roman" w:hAnsi="Times New Roman" w:eastAsia="仿宋_GB2312" w:cs="Times New Roman"/>
          <w:color w:val="auto"/>
          <w:kern w:val="2"/>
          <w:sz w:val="32"/>
          <w:szCs w:val="32"/>
          <w:highlight w:val="none"/>
          <w:lang w:val="en-US" w:eastAsia="zh-CN" w:bidi="ar-SA"/>
        </w:rPr>
        <w:t>行政运行</w:t>
      </w:r>
      <w:r>
        <w:rPr>
          <w:rFonts w:hint="eastAsia" w:eastAsia="仿宋_GB2312" w:cs="Times New Roman"/>
          <w:color w:val="auto"/>
          <w:kern w:val="2"/>
          <w:sz w:val="32"/>
          <w:szCs w:val="32"/>
          <w:highlight w:val="none"/>
          <w:lang w:val="en-US" w:eastAsia="zh-CN" w:bidi="ar-SA"/>
        </w:rPr>
        <w:t>科目中反映，因此减少相应的人员类支出。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.社会保障和就业支出（类）抚恤（款）死亡抚恤（项）:支出决算数为6.40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本年新增退休死亡人员抚恤金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17</w:t>
      </w:r>
      <w:r>
        <w:rPr>
          <w:rFonts w:hint="eastAsia" w:ascii="Times New Roman" w:hAnsi="Times New Roman" w:eastAsia="仿宋_GB2312" w:cs="Times New Roman"/>
          <w:color w:val="auto"/>
          <w:kern w:val="2"/>
          <w:sz w:val="32"/>
          <w:szCs w:val="32"/>
          <w:highlight w:val="none"/>
          <w:lang w:val="en-US" w:eastAsia="zh-CN" w:bidi="ar-SA"/>
        </w:rPr>
        <w:t>.卫生健康支出（类）公共卫生（款）突发公共卫生事件应急处理（项）:支出决算数为44.41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10.28%，主要原因是：</w:t>
      </w:r>
      <w:r>
        <w:rPr>
          <w:rFonts w:hint="eastAsia" w:eastAsia="仿宋_GB2312" w:cs="Times New Roman"/>
          <w:color w:val="auto"/>
          <w:kern w:val="2"/>
          <w:sz w:val="32"/>
          <w:szCs w:val="32"/>
          <w:highlight w:val="none"/>
          <w:lang w:val="en-US" w:eastAsia="zh-CN" w:bidi="ar-SA"/>
        </w:rPr>
        <w:t>本年</w:t>
      </w:r>
      <w:r>
        <w:rPr>
          <w:rFonts w:hint="eastAsia" w:ascii="仿宋_GB2312" w:hAnsi="仿宋_GB2312" w:eastAsia="仿宋_GB2312" w:cs="仿宋_GB2312"/>
          <w:color w:val="auto"/>
          <w:kern w:val="0"/>
          <w:sz w:val="32"/>
          <w:szCs w:val="32"/>
          <w:lang w:val="en-US" w:eastAsia="zh-CN"/>
        </w:rPr>
        <w:t>减少</w:t>
      </w:r>
      <w:r>
        <w:rPr>
          <w:rFonts w:hint="eastAsia" w:ascii="仿宋_GB2312" w:hAnsi="仿宋_GB2312" w:eastAsia="仿宋_GB2312" w:cs="仿宋_GB2312"/>
          <w:color w:val="auto"/>
          <w:kern w:val="0"/>
          <w:sz w:val="32"/>
          <w:szCs w:val="32"/>
        </w:rPr>
        <w:t>突发公共卫生事件</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因此减少相应的经费支出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18</w:t>
      </w:r>
      <w:r>
        <w:rPr>
          <w:rFonts w:hint="eastAsia" w:ascii="Times New Roman" w:hAnsi="Times New Roman" w:eastAsia="仿宋_GB2312" w:cs="Times New Roman"/>
          <w:color w:val="auto"/>
          <w:kern w:val="2"/>
          <w:sz w:val="32"/>
          <w:szCs w:val="32"/>
          <w:highlight w:val="none"/>
          <w:lang w:val="en-US" w:eastAsia="zh-CN" w:bidi="ar-SA"/>
        </w:rPr>
        <w:t>.卫生健康支出（类）计划生育事务（款）其他计划生育事务支出（项）:支出决算数为0.00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23.22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本年未安排此项经费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.卫生健康支出（类）行政事业单位医疗（款）行政单位医疗（项）:支出决算数为51.54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12.8</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本年在职人员工资增加，因此增加相应的</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.卫生健康支出（类）行政事业单位医疗（款）公务员医疗补助（项）:支出决算数为7.54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14.9</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本年减少在职公务员数量，因此减少相应的</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w:t>
      </w: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.节能环保支出（类）环境保护管理事务（款）其他环境保护管理事务支出（项）:支出决算数为0.00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118.38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本年未安排此项经费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.农林水支出（类）农业农村（款）事业运行（项）:支出决算数为0.00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222.12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本年未安排此项经费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23</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.农林水支出（类）巩固脱贫攻坚成果衔接乡村振兴（款）生产发展（项）:支出决算数为385.48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325.58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543.54%，主要原因是：</w:t>
      </w:r>
      <w:r>
        <w:rPr>
          <w:rFonts w:hint="eastAsia" w:eastAsia="仿宋_GB2312" w:cs="Times New Roman"/>
          <w:color w:val="auto"/>
          <w:kern w:val="2"/>
          <w:sz w:val="32"/>
          <w:szCs w:val="32"/>
          <w:highlight w:val="none"/>
          <w:lang w:val="en-US" w:eastAsia="zh-CN" w:bidi="ar-SA"/>
        </w:rPr>
        <w:t>本年新增人居环境整治等乡村振兴项目，因此增加相应的项目支出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24</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.农林水支出（类）巩固脱贫攻坚成果衔接乡村振兴（款）其他巩固脱贫攻坚成果衔接乡村振兴支出（项）:支出决算数为25.38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本年增加“雨露计划”、特设岗及乡村振兴工作人员生活补助等乡村振兴项目资金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25</w:t>
      </w:r>
      <w:r>
        <w:rPr>
          <w:rFonts w:hint="eastAsia" w:ascii="Times New Roman" w:hAnsi="Times New Roman" w:eastAsia="仿宋_GB2312" w:cs="Times New Roman"/>
          <w:color w:val="auto"/>
          <w:kern w:val="2"/>
          <w:sz w:val="32"/>
          <w:szCs w:val="32"/>
          <w:highlight w:val="none"/>
          <w:lang w:val="en-US" w:eastAsia="zh-CN" w:bidi="ar-SA"/>
        </w:rPr>
        <w:t>.农林水支出（类）农村综合改革（款）对村级公益事业建设的补助（项）:支出决算数为0.00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本年未安排此项经费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26</w:t>
      </w:r>
      <w:r>
        <w:rPr>
          <w:rFonts w:hint="eastAsia" w:ascii="Times New Roman" w:hAnsi="Times New Roman" w:eastAsia="仿宋_GB2312" w:cs="Times New Roman"/>
          <w:color w:val="auto"/>
          <w:kern w:val="2"/>
          <w:sz w:val="32"/>
          <w:szCs w:val="32"/>
          <w:highlight w:val="none"/>
          <w:lang w:val="en-US" w:eastAsia="zh-CN" w:bidi="ar-SA"/>
        </w:rPr>
        <w:t>.农林水支出（类）农村综合改革（款）对村民委员会和村党支部的补助（项）:支出决算数为142.04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113.74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401.</w:t>
      </w:r>
      <w:r>
        <w:rPr>
          <w:rFonts w:hint="eastAsia" w:eastAsia="仿宋_GB2312" w:cs="Times New Roman"/>
          <w:color w:val="auto"/>
          <w:kern w:val="2"/>
          <w:sz w:val="32"/>
          <w:szCs w:val="32"/>
          <w:highlight w:val="none"/>
          <w:lang w:val="en-US" w:eastAsia="zh-CN" w:bidi="ar-SA"/>
        </w:rPr>
        <w:t>91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本年增加村两委及小组长工资及增加村委会相应的经费支出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27</w:t>
      </w:r>
      <w:r>
        <w:rPr>
          <w:rFonts w:hint="eastAsia" w:ascii="Times New Roman" w:hAnsi="Times New Roman" w:eastAsia="仿宋_GB2312" w:cs="Times New Roman"/>
          <w:color w:val="auto"/>
          <w:kern w:val="2"/>
          <w:sz w:val="32"/>
          <w:szCs w:val="32"/>
          <w:highlight w:val="none"/>
          <w:lang w:val="en-US" w:eastAsia="zh-CN" w:bidi="ar-SA"/>
        </w:rPr>
        <w:t>.农林水支出（类）农村综合改革（款）对村集体经济组织的补助（项）:支出决算数为0.00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本年未安排此项经费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28</w:t>
      </w:r>
      <w:r>
        <w:rPr>
          <w:rFonts w:hint="eastAsia" w:ascii="Times New Roman" w:hAnsi="Times New Roman" w:eastAsia="仿宋_GB2312" w:cs="Times New Roman"/>
          <w:color w:val="auto"/>
          <w:kern w:val="2"/>
          <w:sz w:val="32"/>
          <w:szCs w:val="32"/>
          <w:highlight w:val="none"/>
          <w:lang w:val="en-US" w:eastAsia="zh-CN" w:bidi="ar-SA"/>
        </w:rPr>
        <w:t>.农林水支出（类）目标价格补贴（款）棉花目标价格补贴（项）:支出决算数为11,328.07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11,328.07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本年新增棉花目标价格补贴，因此增加相应的补贴资金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29</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.住房保障支出（类）住房改革支出（款）住房公积金（项）:支出决算数为79.93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1.82%，主要原因是：</w:t>
      </w:r>
      <w:r>
        <w:rPr>
          <w:rFonts w:hint="eastAsia" w:eastAsia="仿宋_GB2312" w:cs="Times New Roman"/>
          <w:color w:val="auto"/>
          <w:kern w:val="2"/>
          <w:sz w:val="32"/>
          <w:szCs w:val="32"/>
          <w:highlight w:val="none"/>
          <w:lang w:val="en-US" w:eastAsia="zh-CN" w:bidi="ar-SA"/>
        </w:rPr>
        <w:t>本年在职人员工资增加，因此增加相应的</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30</w:t>
      </w:r>
      <w:r>
        <w:rPr>
          <w:rFonts w:hint="eastAsia" w:ascii="Times New Roman" w:hAnsi="Times New Roman" w:eastAsia="仿宋_GB2312" w:cs="Times New Roman"/>
          <w:color w:val="auto"/>
          <w:kern w:val="2"/>
          <w:sz w:val="32"/>
          <w:szCs w:val="32"/>
          <w:highlight w:val="none"/>
          <w:lang w:val="en-US" w:eastAsia="zh-CN" w:bidi="ar-SA"/>
        </w:rPr>
        <w:t>.其他支出（类）其他支出（款）其他支出（项）:支出决算数为118.65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118.65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w:t>
      </w:r>
      <w:r>
        <w:rPr>
          <w:rFonts w:hint="eastAsia" w:ascii="仿宋_GB2312" w:eastAsia="仿宋_GB2312"/>
          <w:color w:val="auto"/>
          <w:spacing w:val="0"/>
          <w:sz w:val="32"/>
          <w:szCs w:val="32"/>
          <w:highlight w:val="none"/>
          <w:lang w:val="en-US" w:eastAsia="zh-CN"/>
        </w:rPr>
        <w:t>中央基建建设项目资金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2,284.40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1,546.11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医疗费、其他工资福利支出、退休费、抚恤金、生活补助、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738.29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办公费、印刷费、水费、电费、邮电费、取暖费、差旅费、维修（护）费、培训费、劳务费、工会经费、福利费、公务用车运行维护费。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“三公”经费支出15.44万元，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增加7.54万元，增长95.</w:t>
      </w:r>
      <w:r>
        <w:rPr>
          <w:rFonts w:hint="eastAsia" w:ascii="仿宋_GB2312" w:eastAsia="仿宋_GB2312"/>
          <w:color w:val="auto"/>
          <w:sz w:val="32"/>
          <w:szCs w:val="32"/>
          <w:highlight w:val="none"/>
          <w:lang w:val="en-US" w:eastAsia="zh-CN"/>
        </w:rPr>
        <w:t>44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公务车辆老化、车辆维修次数频繁，因此增加相应的公务车辆支出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；公务用车购置及运行维护费支出15.44万元，占100.00%，比上年增加7.54万元，增长95.</w:t>
      </w:r>
      <w:r>
        <w:rPr>
          <w:rFonts w:hint="eastAsia" w:ascii="仿宋_GB2312" w:eastAsia="仿宋_GB2312"/>
          <w:color w:val="auto"/>
          <w:sz w:val="32"/>
          <w:szCs w:val="32"/>
          <w:highlight w:val="none"/>
          <w:lang w:val="en-US" w:eastAsia="zh-CN"/>
        </w:rPr>
        <w:t>44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公务车辆老化、车辆维修次数频繁，因此增加相应的公务车辆支出</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公务用车购置及运行维护费15.44万元，其中：公务用车购置费0.00万元，公务用车运行维护费15.44万元。公务用车运行维护费开支内容包括</w:t>
      </w:r>
      <w:r>
        <w:rPr>
          <w:rFonts w:hint="eastAsia" w:ascii="仿宋_GB2312" w:eastAsia="仿宋_GB2312"/>
          <w:color w:val="auto"/>
          <w:sz w:val="32"/>
          <w:szCs w:val="32"/>
          <w:highlight w:val="none"/>
          <w:lang w:val="en-US" w:eastAsia="zh-CN"/>
        </w:rPr>
        <w:t>公务车辆燃油费及公务车辆维修费</w:t>
      </w:r>
      <w:r>
        <w:rPr>
          <w:rFonts w:hint="eastAsia" w:ascii="仿宋_GB2312" w:eastAsia="仿宋_GB2312"/>
          <w:color w:val="auto"/>
          <w:sz w:val="32"/>
          <w:szCs w:val="32"/>
          <w:highlight w:val="none"/>
          <w:lang w:val="zh-CN" w:eastAsia="zh-CN"/>
        </w:rPr>
        <w:t>。公务用车购置数0辆，公务用车保有量7辆。国有资产占用情况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16辆，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其余9辆车包括编外车辆和巡逻车，部分车辆机关事务管理局收回</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预算数15.44万元，决算数15.44万元，预决算差异率0.00%，主要原因是：</w:t>
      </w:r>
      <w:r>
        <w:rPr>
          <w:rFonts w:hint="eastAsia" w:ascii="仿宋_GB2312" w:eastAsia="仿宋_GB2312"/>
          <w:color w:val="auto"/>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预算数15.44万元，决算数15.44万元，预决算差异率0.00%，主要原因是：</w:t>
      </w:r>
      <w:r>
        <w:rPr>
          <w:rFonts w:hint="eastAsia" w:ascii="仿宋_GB2312" w:eastAsia="仿宋_GB2312"/>
          <w:color w:val="auto"/>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总计18.00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本年收入18.00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总计18.00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本年支出18.00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与上年相比，增加18.00万元，增长</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zh-CN"/>
        </w:rPr>
        <w:t>.00%，</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Times New Roman"/>
          <w:color w:val="auto"/>
          <w:sz w:val="32"/>
          <w:szCs w:val="32"/>
          <w:highlight w:val="none"/>
          <w:lang w:val="en-US" w:eastAsia="zh-CN"/>
        </w:rPr>
        <w:t>本年安排</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收入用于偿还单位历年欠款，因此增加相应的</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18.00</w:t>
      </w:r>
      <w:r>
        <w:rPr>
          <w:rFonts w:hint="eastAsia" w:ascii="Times New Roman" w:hAnsi="Times New Roman" w:eastAsia="仿宋_GB2312" w:cs="Times New Roman"/>
          <w:color w:val="auto"/>
          <w:sz w:val="32"/>
          <w:szCs w:val="32"/>
          <w:highlight w:val="none"/>
          <w:lang w:val="zh-CN"/>
        </w:rPr>
        <w:t>万元，预决算差异率</w:t>
      </w:r>
      <w:r>
        <w:rPr>
          <w:rFonts w:hint="eastAsia"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val="zh-CN" w:eastAsia="zh-CN"/>
        </w:rPr>
        <w:t>0.00%，主要原因是：</w:t>
      </w:r>
      <w:r>
        <w:rPr>
          <w:rFonts w:hint="eastAsia" w:eastAsia="仿宋_GB2312" w:cs="Times New Roman"/>
          <w:color w:val="auto"/>
          <w:sz w:val="32"/>
          <w:szCs w:val="32"/>
          <w:highlight w:val="none"/>
          <w:lang w:val="en-US" w:eastAsia="zh-CN"/>
        </w:rPr>
        <w:t>本年安排</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收入用于偿还单位历年欠款，因此增加相应的</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18.00</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1.城乡社区支出（类）国有土地使用权出让收入安排的支出（款）其他国有土地使用权出让收入安排的支出（项）:支出决算数为18.00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18.00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en-US" w:eastAsia="zh-CN"/>
        </w:rPr>
        <w:t>本年安排</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收入用于偿还单位历年欠款，因此增加相应的</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库尔勒市普惠乡人民政府（行政单位和参照公务员法管理事业单位）机关运行经费支出756.29万元，比上年增加22.82万元，增长3.11%,主要原因是：</w:t>
      </w:r>
      <w:r>
        <w:rPr>
          <w:rFonts w:hint="eastAsia" w:eastAsia="仿宋_GB2312" w:cs="Times New Roman"/>
          <w:color w:val="auto"/>
          <w:sz w:val="32"/>
          <w:szCs w:val="32"/>
          <w:highlight w:val="none"/>
          <w:lang w:val="en-US" w:eastAsia="zh-CN"/>
        </w:rPr>
        <w:t>本年增加相应的</w:t>
      </w:r>
      <w:r>
        <w:rPr>
          <w:rFonts w:hint="eastAsia" w:ascii="Times New Roman" w:hAnsi="Times New Roman" w:eastAsia="仿宋_GB2312" w:cs="Times New Roman"/>
          <w:color w:val="auto"/>
          <w:sz w:val="32"/>
          <w:szCs w:val="32"/>
          <w:highlight w:val="none"/>
          <w:lang w:val="en-US" w:eastAsia="zh-CN"/>
        </w:rPr>
        <w:t>机关运行经费支出。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683.27万元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其中：政府采购货物支出8.55万元、政府采购工程支出640.36万元、政府采购服务支出34.36万元。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授予中小企业合同金额683.27万元，占政府采购支出总额的100.00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，其中：授予小微企业合同金额682.76万元，占政府采购支出总额的99.92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2,103.54</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屋8758.0平方米，价值1,605.47万元。车辆16辆，价值154.60万元，其中：副部（省）级及以上领导用车0辆、主要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用车0辆、机要通信用车0辆、应急保障用车0辆、执法执勤用车3辆、特种专业技术用车1辆、离退休干部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用车0辆、其他用车12辆，其他用车主要是：</w:t>
      </w:r>
      <w:r>
        <w:rPr>
          <w:rFonts w:hint="eastAsia" w:ascii="仿宋_GB2312" w:eastAsia="仿宋_GB2312"/>
          <w:color w:val="auto"/>
          <w:sz w:val="32"/>
          <w:szCs w:val="32"/>
        </w:rPr>
        <w:t>乡党委、乡政府、财政所、农机站、畜牧兽医站</w:t>
      </w:r>
      <w:r>
        <w:rPr>
          <w:rFonts w:hint="eastAsia" w:ascii="仿宋_GB2312" w:eastAsia="仿宋_GB2312"/>
          <w:color w:val="auto"/>
          <w:sz w:val="32"/>
          <w:szCs w:val="32"/>
          <w:lang w:val="en-US" w:eastAsia="zh-CN"/>
        </w:rPr>
        <w:t>车辆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14,134.60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14,134.60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全年预算数11,663.39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全年执行数11,460.91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rPr>
        <w:t>一是</w:t>
      </w:r>
      <w:r>
        <w:rPr>
          <w:rFonts w:hint="eastAsia" w:ascii="仿宋_GB2312" w:eastAsia="仿宋_GB2312"/>
          <w:color w:val="auto"/>
          <w:sz w:val="32"/>
          <w:szCs w:val="32"/>
          <w:lang w:val="en-US" w:eastAsia="zh-CN"/>
        </w:rPr>
        <w:t>提高了绩效目标的科学性、规范性、使用性</w:t>
      </w:r>
      <w:r>
        <w:rPr>
          <w:rFonts w:hint="eastAsia" w:ascii="仿宋_GB2312" w:eastAsia="仿宋_GB2312"/>
          <w:color w:val="auto"/>
          <w:sz w:val="32"/>
          <w:szCs w:val="32"/>
        </w:rPr>
        <w:t>；二是</w:t>
      </w:r>
      <w:r>
        <w:rPr>
          <w:rFonts w:hint="eastAsia" w:ascii="仿宋_GB2312" w:eastAsia="仿宋_GB2312"/>
          <w:color w:val="auto"/>
          <w:sz w:val="32"/>
          <w:szCs w:val="32"/>
          <w:lang w:val="en-US" w:eastAsia="zh-CN"/>
        </w:rPr>
        <w:t>开展绩效自评提升了自评质量</w:t>
      </w:r>
      <w:r>
        <w:rPr>
          <w:rFonts w:hint="eastAsia" w:ascii="仿宋_GB2312" w:eastAsia="仿宋_GB2312"/>
          <w:color w:val="auto"/>
          <w:sz w:val="32"/>
          <w:szCs w:val="32"/>
        </w:rPr>
        <w:t>。发现的问题及原因：一是预算绩效观念不深入</w:t>
      </w:r>
      <w:r>
        <w:rPr>
          <w:rFonts w:hint="eastAsia" w:ascii="仿宋_GB2312" w:eastAsia="仿宋_GB2312"/>
          <w:color w:val="auto"/>
          <w:sz w:val="32"/>
          <w:szCs w:val="32"/>
          <w:lang w:eastAsia="zh-CN"/>
        </w:rPr>
        <w:t>：</w:t>
      </w:r>
      <w:r>
        <w:rPr>
          <w:rFonts w:hint="eastAsia" w:ascii="仿宋_GB2312" w:eastAsia="仿宋_GB2312"/>
          <w:color w:val="auto"/>
          <w:sz w:val="32"/>
          <w:szCs w:val="32"/>
        </w:rPr>
        <w:t>在日常绩效监控工作中存在着一定程度的“重分配、轻管理、重支出、轻绩效”的情况，造成该问题的主要原因是自身绩效理念较薄弱，单位绩效目标编制仍有缺失；二是预算绩效规范管理有盲点</w:t>
      </w:r>
      <w:r>
        <w:rPr>
          <w:rFonts w:hint="eastAsia" w:ascii="仿宋_GB2312" w:eastAsia="仿宋_GB2312"/>
          <w:color w:val="auto"/>
          <w:sz w:val="32"/>
          <w:szCs w:val="32"/>
          <w:lang w:eastAsia="zh-CN"/>
        </w:rPr>
        <w:t>：</w:t>
      </w:r>
      <w:r>
        <w:rPr>
          <w:rFonts w:hint="eastAsia" w:ascii="仿宋_GB2312" w:eastAsia="仿宋_GB2312"/>
          <w:color w:val="auto"/>
          <w:sz w:val="32"/>
          <w:szCs w:val="32"/>
        </w:rPr>
        <w:t>财务人员面对当前绩效管理工作既没有现成的经验可供借鉴，又缺乏专业性很强的技能储备</w:t>
      </w:r>
      <w:r>
        <w:rPr>
          <w:rFonts w:hint="eastAsia" w:ascii="仿宋_GB2312" w:eastAsia="仿宋_GB2312"/>
          <w:color w:val="auto"/>
          <w:sz w:val="32"/>
          <w:szCs w:val="32"/>
          <w:lang w:eastAsia="zh-CN"/>
        </w:rPr>
        <w:t>。</w:t>
      </w:r>
      <w:r>
        <w:rPr>
          <w:rFonts w:hint="eastAsia" w:ascii="仿宋_GB2312" w:eastAsia="仿宋_GB2312"/>
          <w:color w:val="auto"/>
          <w:sz w:val="32"/>
          <w:szCs w:val="32"/>
        </w:rPr>
        <w:t>下一步改进措施：一是需要进一步加强对资金绩效管理的重视程度；二是</w:t>
      </w:r>
      <w:r>
        <w:rPr>
          <w:rFonts w:hint="eastAsia" w:ascii="仿宋_GB2312" w:eastAsia="仿宋_GB2312"/>
          <w:color w:val="auto"/>
          <w:sz w:val="32"/>
          <w:szCs w:val="32"/>
          <w:lang w:val="en-US" w:eastAsia="zh-CN"/>
        </w:rPr>
        <w:t>不断</w:t>
      </w:r>
      <w:r>
        <w:rPr>
          <w:rFonts w:hint="eastAsia" w:ascii="仿宋_GB2312" w:eastAsia="仿宋_GB2312"/>
          <w:color w:val="auto"/>
          <w:sz w:val="32"/>
          <w:szCs w:val="32"/>
        </w:rPr>
        <w:t>边工作、边学习、边积累，短期内</w:t>
      </w:r>
      <w:r>
        <w:rPr>
          <w:rFonts w:hint="eastAsia" w:ascii="仿宋_GB2312" w:eastAsia="仿宋_GB2312"/>
          <w:color w:val="auto"/>
          <w:sz w:val="32"/>
          <w:szCs w:val="32"/>
          <w:lang w:val="en-US" w:eastAsia="zh-CN"/>
        </w:rPr>
        <w:t>提高自身业务水平</w:t>
      </w:r>
      <w:r>
        <w:rPr>
          <w:rFonts w:hint="eastAsia" w:ascii="仿宋_GB2312" w:eastAsia="仿宋_GB2312"/>
          <w:color w:val="auto"/>
          <w:sz w:val="32"/>
          <w:szCs w:val="32"/>
        </w:rPr>
        <w:t>，做到程序规范、管理科学，满足当前绩效管理要求。</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rPr>
        <w:t>本部门无其他需说明事项</w:t>
      </w: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r>
        <w:drawing>
          <wp:anchor distT="0" distB="0" distL="114300" distR="114300" simplePos="0" relativeHeight="251659264" behindDoc="0" locked="0" layoutInCell="1" allowOverlap="1">
            <wp:simplePos x="0" y="0"/>
            <wp:positionH relativeFrom="column">
              <wp:posOffset>-436880</wp:posOffset>
            </wp:positionH>
            <wp:positionV relativeFrom="paragraph">
              <wp:posOffset>15240</wp:posOffset>
            </wp:positionV>
            <wp:extent cx="6186805" cy="8869045"/>
            <wp:effectExtent l="0" t="0" r="4445" b="8255"/>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6186805" cy="8869045"/>
                    </a:xfrm>
                    <a:prstGeom prst="rect">
                      <a:avLst/>
                    </a:prstGeom>
                    <a:noFill/>
                    <a:ln>
                      <a:noFill/>
                    </a:ln>
                  </pic:spPr>
                </pic:pic>
              </a:graphicData>
            </a:graphic>
          </wp:anchor>
        </w:drawing>
      </w:r>
      <w:r>
        <w:rPr>
          <w:rFonts w:hint="eastAsia" w:ascii="黑体" w:hAnsi="黑体" w:eastAsia="黑体" w:cs="宋体"/>
          <w:bCs/>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r>
        <w:drawing>
          <wp:anchor distT="0" distB="0" distL="114300" distR="114300" simplePos="0" relativeHeight="251660288" behindDoc="0" locked="0" layoutInCell="1" allowOverlap="1">
            <wp:simplePos x="0" y="0"/>
            <wp:positionH relativeFrom="column">
              <wp:posOffset>-539750</wp:posOffset>
            </wp:positionH>
            <wp:positionV relativeFrom="paragraph">
              <wp:posOffset>76200</wp:posOffset>
            </wp:positionV>
            <wp:extent cx="6351270" cy="8745220"/>
            <wp:effectExtent l="0" t="0" r="11430" b="17780"/>
            <wp:wrapNone/>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6351270" cy="8745220"/>
                    </a:xfrm>
                    <a:prstGeom prst="rect">
                      <a:avLst/>
                    </a:prstGeom>
                    <a:noFill/>
                    <a:ln>
                      <a:noFill/>
                    </a:ln>
                  </pic:spPr>
                </pic:pic>
              </a:graphicData>
            </a:graphic>
          </wp:anchor>
        </w:drawing>
      </w:r>
      <w:r>
        <w:rPr>
          <w:rFonts w:hint="eastAsia" w:ascii="黑体" w:hAnsi="黑体" w:eastAsia="黑体" w:cs="宋体"/>
          <w:bCs/>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r>
        <w:drawing>
          <wp:anchor distT="0" distB="0" distL="114300" distR="114300" simplePos="0" relativeHeight="251661312" behindDoc="0" locked="0" layoutInCell="1" allowOverlap="1">
            <wp:simplePos x="0" y="0"/>
            <wp:positionH relativeFrom="column">
              <wp:posOffset>-532130</wp:posOffset>
            </wp:positionH>
            <wp:positionV relativeFrom="paragraph">
              <wp:posOffset>66675</wp:posOffset>
            </wp:positionV>
            <wp:extent cx="6331585" cy="8707120"/>
            <wp:effectExtent l="0" t="0" r="12065" b="17780"/>
            <wp:wrapNone/>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6331585" cy="8707120"/>
                    </a:xfrm>
                    <a:prstGeom prst="rect">
                      <a:avLst/>
                    </a:prstGeom>
                    <a:noFill/>
                    <a:ln>
                      <a:noFill/>
                    </a:ln>
                  </pic:spPr>
                </pic:pic>
              </a:graphicData>
            </a:graphic>
          </wp:anchor>
        </w:drawing>
      </w:r>
      <w:r>
        <w:rPr>
          <w:rFonts w:hint="eastAsia" w:ascii="黑体" w:hAnsi="黑体" w:eastAsia="黑体" w:cs="宋体"/>
          <w:bCs/>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r>
        <w:drawing>
          <wp:anchor distT="0" distB="0" distL="114300" distR="114300" simplePos="0" relativeHeight="251662336" behindDoc="0" locked="0" layoutInCell="1" allowOverlap="1">
            <wp:simplePos x="0" y="0"/>
            <wp:positionH relativeFrom="column">
              <wp:posOffset>-467995</wp:posOffset>
            </wp:positionH>
            <wp:positionV relativeFrom="paragraph">
              <wp:posOffset>-84455</wp:posOffset>
            </wp:positionV>
            <wp:extent cx="6214110" cy="8819515"/>
            <wp:effectExtent l="0" t="0" r="15240" b="635"/>
            <wp:wrapNone/>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6214110" cy="8819515"/>
                    </a:xfrm>
                    <a:prstGeom prst="rect">
                      <a:avLst/>
                    </a:prstGeom>
                    <a:noFill/>
                    <a:ln>
                      <a:noFill/>
                    </a:ln>
                  </pic:spPr>
                </pic:pic>
              </a:graphicData>
            </a:graphic>
          </wp:anchor>
        </w:drawing>
      </w:r>
      <w:r>
        <w:rPr>
          <w:rFonts w:hint="eastAsia" w:ascii="黑体" w:hAnsi="黑体" w:eastAsia="黑体" w:cs="宋体"/>
          <w:bCs/>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r>
        <w:drawing>
          <wp:anchor distT="0" distB="0" distL="114300" distR="114300" simplePos="0" relativeHeight="251663360" behindDoc="0" locked="0" layoutInCell="1" allowOverlap="1">
            <wp:simplePos x="0" y="0"/>
            <wp:positionH relativeFrom="column">
              <wp:posOffset>-436245</wp:posOffset>
            </wp:positionH>
            <wp:positionV relativeFrom="paragraph">
              <wp:posOffset>60960</wp:posOffset>
            </wp:positionV>
            <wp:extent cx="6212205" cy="8808720"/>
            <wp:effectExtent l="0" t="0" r="17145" b="11430"/>
            <wp:wrapNone/>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9"/>
                    <a:stretch>
                      <a:fillRect/>
                    </a:stretch>
                  </pic:blipFill>
                  <pic:spPr>
                    <a:xfrm>
                      <a:off x="0" y="0"/>
                      <a:ext cx="6212205" cy="8808720"/>
                    </a:xfrm>
                    <a:prstGeom prst="rect">
                      <a:avLst/>
                    </a:prstGeom>
                    <a:noFill/>
                    <a:ln>
                      <a:noFill/>
                    </a:ln>
                  </pic:spPr>
                </pic:pic>
              </a:graphicData>
            </a:graphic>
          </wp:anchor>
        </w:drawing>
      </w:r>
      <w:r>
        <w:rPr>
          <w:rFonts w:hint="eastAsia" w:ascii="黑体" w:hAnsi="黑体" w:eastAsia="黑体" w:cs="宋体"/>
          <w:bCs/>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r>
        <w:drawing>
          <wp:anchor distT="0" distB="0" distL="114300" distR="114300" simplePos="0" relativeHeight="251667456" behindDoc="0" locked="0" layoutInCell="1" allowOverlap="1">
            <wp:simplePos x="0" y="0"/>
            <wp:positionH relativeFrom="column">
              <wp:posOffset>-467995</wp:posOffset>
            </wp:positionH>
            <wp:positionV relativeFrom="paragraph">
              <wp:posOffset>-175260</wp:posOffset>
            </wp:positionV>
            <wp:extent cx="6257925" cy="9018270"/>
            <wp:effectExtent l="0" t="0" r="9525" b="1143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6257925" cy="9018270"/>
                    </a:xfrm>
                    <a:prstGeom prst="rect">
                      <a:avLst/>
                    </a:prstGeom>
                    <a:noFill/>
                    <a:ln>
                      <a:noFill/>
                    </a:ln>
                  </pic:spPr>
                </pic:pic>
              </a:graphicData>
            </a:graphic>
          </wp:anchor>
        </w:drawing>
      </w:r>
      <w:r>
        <w:rPr>
          <w:rFonts w:hint="eastAsia" w:ascii="黑体" w:hAnsi="黑体" w:eastAsia="黑体" w:cs="宋体"/>
          <w:bCs/>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r>
        <w:drawing>
          <wp:anchor distT="0" distB="0" distL="114300" distR="114300" simplePos="0" relativeHeight="251664384" behindDoc="0" locked="0" layoutInCell="1" allowOverlap="1">
            <wp:simplePos x="0" y="0"/>
            <wp:positionH relativeFrom="column">
              <wp:posOffset>-610870</wp:posOffset>
            </wp:positionH>
            <wp:positionV relativeFrom="paragraph">
              <wp:posOffset>70485</wp:posOffset>
            </wp:positionV>
            <wp:extent cx="6485255" cy="2075180"/>
            <wp:effectExtent l="0" t="0" r="10795" b="1270"/>
            <wp:wrapNone/>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1"/>
                    <a:stretch>
                      <a:fillRect/>
                    </a:stretch>
                  </pic:blipFill>
                  <pic:spPr>
                    <a:xfrm>
                      <a:off x="0" y="0"/>
                      <a:ext cx="6485255" cy="2075180"/>
                    </a:xfrm>
                    <a:prstGeom prst="rect">
                      <a:avLst/>
                    </a:prstGeom>
                    <a:noFill/>
                    <a:ln>
                      <a:noFill/>
                    </a:ln>
                  </pic:spPr>
                </pic:pic>
              </a:graphicData>
            </a:graphic>
          </wp:anchor>
        </w:drawing>
      </w:r>
      <w:r>
        <w:rPr>
          <w:rFonts w:hint="eastAsia" w:ascii="黑体" w:hAnsi="黑体" w:eastAsia="黑体" w:cs="宋体"/>
          <w:bCs/>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r>
        <w:drawing>
          <wp:anchor distT="0" distB="0" distL="114300" distR="114300" simplePos="0" relativeHeight="251665408" behindDoc="0" locked="0" layoutInCell="1" allowOverlap="1">
            <wp:simplePos x="0" y="0"/>
            <wp:positionH relativeFrom="column">
              <wp:posOffset>-594995</wp:posOffset>
            </wp:positionH>
            <wp:positionV relativeFrom="paragraph">
              <wp:posOffset>85725</wp:posOffset>
            </wp:positionV>
            <wp:extent cx="6356350" cy="2686050"/>
            <wp:effectExtent l="0" t="0" r="6350" b="0"/>
            <wp:wrapNone/>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6356350" cy="2686050"/>
                    </a:xfrm>
                    <a:prstGeom prst="rect">
                      <a:avLst/>
                    </a:prstGeom>
                    <a:noFill/>
                    <a:ln>
                      <a:noFill/>
                    </a:ln>
                  </pic:spPr>
                </pic:pic>
              </a:graphicData>
            </a:graphic>
          </wp:anchor>
        </w:drawing>
      </w:r>
      <w:r>
        <w:rPr>
          <w:rFonts w:hint="eastAsia" w:ascii="黑体" w:hAnsi="黑体" w:eastAsia="黑体" w:cs="宋体"/>
          <w:bCs/>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default" w:ascii="黑体" w:hAnsi="黑体" w:eastAsia="黑体" w:cs="宋体"/>
          <w:bCs/>
          <w:color w:val="auto"/>
          <w:kern w:val="0"/>
          <w:sz w:val="32"/>
          <w:szCs w:val="32"/>
          <w:highlight w:val="none"/>
          <w:lang w:val="en-US" w:eastAsia="zh-CN"/>
        </w:rPr>
      </w:pPr>
      <w:r>
        <w:drawing>
          <wp:anchor distT="0" distB="0" distL="114300" distR="114300" simplePos="0" relativeHeight="251666432" behindDoc="0" locked="0" layoutInCell="1" allowOverlap="1">
            <wp:simplePos x="0" y="0"/>
            <wp:positionH relativeFrom="column">
              <wp:posOffset>-476250</wp:posOffset>
            </wp:positionH>
            <wp:positionV relativeFrom="paragraph">
              <wp:posOffset>66675</wp:posOffset>
            </wp:positionV>
            <wp:extent cx="6245225" cy="2774950"/>
            <wp:effectExtent l="0" t="0" r="3175" b="6350"/>
            <wp:wrapNone/>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6245225" cy="2774950"/>
                    </a:xfrm>
                    <a:prstGeom prst="rect">
                      <a:avLst/>
                    </a:prstGeom>
                    <a:noFill/>
                    <a:ln>
                      <a:noFill/>
                    </a:ln>
                  </pic:spPr>
                </pic:pic>
              </a:graphicData>
            </a:graphic>
          </wp:anchor>
        </w:drawing>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jZDkzNDQ4NTc2YzZkMWRmMjYwMjhkYzI4NjdmYTYifQ=="/>
    <w:docVar w:name="KSO_WPS_MARK_KEY" w:val="41ee2a61-2d54-4f93-83be-afdb9a40d732"/>
  </w:docVars>
  <w:rsids>
    <w:rsidRoot w:val="00000000"/>
    <w:rsid w:val="00213C59"/>
    <w:rsid w:val="003210CE"/>
    <w:rsid w:val="00B70D59"/>
    <w:rsid w:val="00F52A8D"/>
    <w:rsid w:val="014E126A"/>
    <w:rsid w:val="019404F8"/>
    <w:rsid w:val="02421AA7"/>
    <w:rsid w:val="02BD3108"/>
    <w:rsid w:val="02F73D26"/>
    <w:rsid w:val="03266DBB"/>
    <w:rsid w:val="034D4FEF"/>
    <w:rsid w:val="035D1785"/>
    <w:rsid w:val="039F47CE"/>
    <w:rsid w:val="03E05CE8"/>
    <w:rsid w:val="03F973EE"/>
    <w:rsid w:val="043E5B56"/>
    <w:rsid w:val="04C04386"/>
    <w:rsid w:val="04FA68C4"/>
    <w:rsid w:val="053F5AE6"/>
    <w:rsid w:val="057C0B0F"/>
    <w:rsid w:val="05EF4B48"/>
    <w:rsid w:val="05F76ECA"/>
    <w:rsid w:val="06792773"/>
    <w:rsid w:val="07093795"/>
    <w:rsid w:val="075844C9"/>
    <w:rsid w:val="07804730"/>
    <w:rsid w:val="079052BE"/>
    <w:rsid w:val="08145C21"/>
    <w:rsid w:val="083661FC"/>
    <w:rsid w:val="08422688"/>
    <w:rsid w:val="085854ED"/>
    <w:rsid w:val="086222F8"/>
    <w:rsid w:val="0879188F"/>
    <w:rsid w:val="08A0354D"/>
    <w:rsid w:val="08CD4C49"/>
    <w:rsid w:val="09114954"/>
    <w:rsid w:val="095A5B83"/>
    <w:rsid w:val="096466E3"/>
    <w:rsid w:val="0968304D"/>
    <w:rsid w:val="09822CC6"/>
    <w:rsid w:val="09AF3D17"/>
    <w:rsid w:val="0A7809B7"/>
    <w:rsid w:val="0A7B4867"/>
    <w:rsid w:val="0A840954"/>
    <w:rsid w:val="0A977CDA"/>
    <w:rsid w:val="0A9928ED"/>
    <w:rsid w:val="0B61769D"/>
    <w:rsid w:val="0B8C3ECC"/>
    <w:rsid w:val="0B9C639D"/>
    <w:rsid w:val="0B9D1B95"/>
    <w:rsid w:val="0BB052B2"/>
    <w:rsid w:val="0BC55C5B"/>
    <w:rsid w:val="0BCF03DE"/>
    <w:rsid w:val="0BD33FFC"/>
    <w:rsid w:val="0BE97AC1"/>
    <w:rsid w:val="0C1C4780"/>
    <w:rsid w:val="0C3613A3"/>
    <w:rsid w:val="0C5E519C"/>
    <w:rsid w:val="0C7227A7"/>
    <w:rsid w:val="0CA52EE8"/>
    <w:rsid w:val="0CBD6988"/>
    <w:rsid w:val="0CD208AC"/>
    <w:rsid w:val="0D4903E8"/>
    <w:rsid w:val="0D7A4A46"/>
    <w:rsid w:val="0E640559"/>
    <w:rsid w:val="0F0A68A2"/>
    <w:rsid w:val="0F1113DA"/>
    <w:rsid w:val="0F78534A"/>
    <w:rsid w:val="0F89358A"/>
    <w:rsid w:val="0F8C6D51"/>
    <w:rsid w:val="0F967B49"/>
    <w:rsid w:val="0F9D08E9"/>
    <w:rsid w:val="105B0B5E"/>
    <w:rsid w:val="112E58D0"/>
    <w:rsid w:val="11731CAC"/>
    <w:rsid w:val="119500A0"/>
    <w:rsid w:val="11C0733B"/>
    <w:rsid w:val="11D50D17"/>
    <w:rsid w:val="120E0809"/>
    <w:rsid w:val="12583633"/>
    <w:rsid w:val="127F665A"/>
    <w:rsid w:val="12A8342A"/>
    <w:rsid w:val="12C71950"/>
    <w:rsid w:val="12F7068C"/>
    <w:rsid w:val="139C5149"/>
    <w:rsid w:val="141E78CC"/>
    <w:rsid w:val="14207DC0"/>
    <w:rsid w:val="145502FE"/>
    <w:rsid w:val="14B333F0"/>
    <w:rsid w:val="14B932DA"/>
    <w:rsid w:val="14E0712A"/>
    <w:rsid w:val="150A66AF"/>
    <w:rsid w:val="154C1139"/>
    <w:rsid w:val="158C5B77"/>
    <w:rsid w:val="15F70AE8"/>
    <w:rsid w:val="160D1149"/>
    <w:rsid w:val="16152FD1"/>
    <w:rsid w:val="163563C0"/>
    <w:rsid w:val="164315EF"/>
    <w:rsid w:val="16557DFE"/>
    <w:rsid w:val="167268FB"/>
    <w:rsid w:val="167E1F51"/>
    <w:rsid w:val="16D50C50"/>
    <w:rsid w:val="16E120E1"/>
    <w:rsid w:val="17385A05"/>
    <w:rsid w:val="173B3901"/>
    <w:rsid w:val="17561A62"/>
    <w:rsid w:val="176747F9"/>
    <w:rsid w:val="17954A6E"/>
    <w:rsid w:val="180059E9"/>
    <w:rsid w:val="184510FD"/>
    <w:rsid w:val="190648B0"/>
    <w:rsid w:val="19071D6C"/>
    <w:rsid w:val="194331BE"/>
    <w:rsid w:val="19D26CD4"/>
    <w:rsid w:val="19E60D19"/>
    <w:rsid w:val="1A1B3912"/>
    <w:rsid w:val="1A3E3450"/>
    <w:rsid w:val="1AD807E5"/>
    <w:rsid w:val="1AE07652"/>
    <w:rsid w:val="1B39345B"/>
    <w:rsid w:val="1BE443A3"/>
    <w:rsid w:val="1BFB2A1F"/>
    <w:rsid w:val="1C015D4A"/>
    <w:rsid w:val="1C290ED5"/>
    <w:rsid w:val="1C317E4F"/>
    <w:rsid w:val="1C472464"/>
    <w:rsid w:val="1C7648CD"/>
    <w:rsid w:val="1CCF7907"/>
    <w:rsid w:val="1D1B7B40"/>
    <w:rsid w:val="1D22799A"/>
    <w:rsid w:val="1D5C1A72"/>
    <w:rsid w:val="1D6E28B1"/>
    <w:rsid w:val="1DAF458D"/>
    <w:rsid w:val="1E086ACE"/>
    <w:rsid w:val="1E62130A"/>
    <w:rsid w:val="1E97358B"/>
    <w:rsid w:val="1EAA4A5F"/>
    <w:rsid w:val="1EE869A7"/>
    <w:rsid w:val="1F900829"/>
    <w:rsid w:val="1FA15E62"/>
    <w:rsid w:val="1FED69B6"/>
    <w:rsid w:val="200F3548"/>
    <w:rsid w:val="2064678E"/>
    <w:rsid w:val="20B4566E"/>
    <w:rsid w:val="20DC1AB9"/>
    <w:rsid w:val="20DD6197"/>
    <w:rsid w:val="212631E0"/>
    <w:rsid w:val="2127381D"/>
    <w:rsid w:val="21A53757"/>
    <w:rsid w:val="221236C6"/>
    <w:rsid w:val="22A57118"/>
    <w:rsid w:val="22D7662C"/>
    <w:rsid w:val="230C5437"/>
    <w:rsid w:val="23326B7F"/>
    <w:rsid w:val="2380045B"/>
    <w:rsid w:val="239010D3"/>
    <w:rsid w:val="23BC04D2"/>
    <w:rsid w:val="23EF1892"/>
    <w:rsid w:val="24213832"/>
    <w:rsid w:val="2483647E"/>
    <w:rsid w:val="24A32D55"/>
    <w:rsid w:val="25292727"/>
    <w:rsid w:val="252E5CA9"/>
    <w:rsid w:val="252F7BA2"/>
    <w:rsid w:val="256F7692"/>
    <w:rsid w:val="25BA2154"/>
    <w:rsid w:val="25C8773F"/>
    <w:rsid w:val="264A7253"/>
    <w:rsid w:val="26F0170C"/>
    <w:rsid w:val="27201D62"/>
    <w:rsid w:val="27286E73"/>
    <w:rsid w:val="27CF2642"/>
    <w:rsid w:val="27E777F5"/>
    <w:rsid w:val="27EA1D4C"/>
    <w:rsid w:val="27EA2E41"/>
    <w:rsid w:val="282459E2"/>
    <w:rsid w:val="283A7FE5"/>
    <w:rsid w:val="285C4E7B"/>
    <w:rsid w:val="285F51FF"/>
    <w:rsid w:val="28DF2665"/>
    <w:rsid w:val="29072599"/>
    <w:rsid w:val="291029F3"/>
    <w:rsid w:val="29AA4FA6"/>
    <w:rsid w:val="29CB58F0"/>
    <w:rsid w:val="2A053397"/>
    <w:rsid w:val="2A122993"/>
    <w:rsid w:val="2A145E96"/>
    <w:rsid w:val="2A2375BB"/>
    <w:rsid w:val="2AF5378F"/>
    <w:rsid w:val="2BB94DBF"/>
    <w:rsid w:val="2C646022"/>
    <w:rsid w:val="2C6F314E"/>
    <w:rsid w:val="2C9371BA"/>
    <w:rsid w:val="2CC206BE"/>
    <w:rsid w:val="2D1136DF"/>
    <w:rsid w:val="2D20606D"/>
    <w:rsid w:val="2DB87198"/>
    <w:rsid w:val="2DB93C54"/>
    <w:rsid w:val="2E266F24"/>
    <w:rsid w:val="2E3D144C"/>
    <w:rsid w:val="2E891204"/>
    <w:rsid w:val="2F175AD7"/>
    <w:rsid w:val="2F3A6DD6"/>
    <w:rsid w:val="2F3F0A28"/>
    <w:rsid w:val="2FBF7029"/>
    <w:rsid w:val="2FD0187F"/>
    <w:rsid w:val="2FD27414"/>
    <w:rsid w:val="2FFE4BB0"/>
    <w:rsid w:val="300E7B60"/>
    <w:rsid w:val="300F6E18"/>
    <w:rsid w:val="305B0722"/>
    <w:rsid w:val="307860EA"/>
    <w:rsid w:val="30862F5F"/>
    <w:rsid w:val="314029C9"/>
    <w:rsid w:val="31C63837"/>
    <w:rsid w:val="31C82E39"/>
    <w:rsid w:val="32601BAD"/>
    <w:rsid w:val="329F6389"/>
    <w:rsid w:val="32D86E15"/>
    <w:rsid w:val="3389023A"/>
    <w:rsid w:val="33CB74FA"/>
    <w:rsid w:val="343642F2"/>
    <w:rsid w:val="343F3010"/>
    <w:rsid w:val="345D0A00"/>
    <w:rsid w:val="34713BFD"/>
    <w:rsid w:val="34C13589"/>
    <w:rsid w:val="34E648E9"/>
    <w:rsid w:val="353369E3"/>
    <w:rsid w:val="35E00D72"/>
    <w:rsid w:val="36965B9D"/>
    <w:rsid w:val="36C549FD"/>
    <w:rsid w:val="3727621C"/>
    <w:rsid w:val="37A755DD"/>
    <w:rsid w:val="37F94FA0"/>
    <w:rsid w:val="380D3381"/>
    <w:rsid w:val="38115B1F"/>
    <w:rsid w:val="382713F7"/>
    <w:rsid w:val="385E3AC3"/>
    <w:rsid w:val="387D6B9E"/>
    <w:rsid w:val="38B75FF0"/>
    <w:rsid w:val="38D45016"/>
    <w:rsid w:val="38D90432"/>
    <w:rsid w:val="3914510A"/>
    <w:rsid w:val="3926770B"/>
    <w:rsid w:val="398D3668"/>
    <w:rsid w:val="39DA0497"/>
    <w:rsid w:val="3A57240A"/>
    <w:rsid w:val="3A7E0E22"/>
    <w:rsid w:val="3A893816"/>
    <w:rsid w:val="3A893B6D"/>
    <w:rsid w:val="3AD1763A"/>
    <w:rsid w:val="3B092982"/>
    <w:rsid w:val="3B6716E3"/>
    <w:rsid w:val="3B6C6B2D"/>
    <w:rsid w:val="3C242659"/>
    <w:rsid w:val="3C475446"/>
    <w:rsid w:val="3C96719C"/>
    <w:rsid w:val="3CA72BE8"/>
    <w:rsid w:val="3CF37F8C"/>
    <w:rsid w:val="3D137554"/>
    <w:rsid w:val="3D2D7B7D"/>
    <w:rsid w:val="3D5275AC"/>
    <w:rsid w:val="3DCC2473"/>
    <w:rsid w:val="3DEB0883"/>
    <w:rsid w:val="3E2527BF"/>
    <w:rsid w:val="3E731662"/>
    <w:rsid w:val="3E8168DD"/>
    <w:rsid w:val="3EA7725F"/>
    <w:rsid w:val="3EB03713"/>
    <w:rsid w:val="3EBF1A11"/>
    <w:rsid w:val="3EC52607"/>
    <w:rsid w:val="3EDD2FF1"/>
    <w:rsid w:val="3EEC6CEF"/>
    <w:rsid w:val="3F183429"/>
    <w:rsid w:val="3F975F45"/>
    <w:rsid w:val="3FB77A1D"/>
    <w:rsid w:val="3FDC3674"/>
    <w:rsid w:val="3FED7F8A"/>
    <w:rsid w:val="40094AEF"/>
    <w:rsid w:val="405470BD"/>
    <w:rsid w:val="40794A29"/>
    <w:rsid w:val="40834692"/>
    <w:rsid w:val="40B67B6F"/>
    <w:rsid w:val="41431AD5"/>
    <w:rsid w:val="414B3C0F"/>
    <w:rsid w:val="417C1CE7"/>
    <w:rsid w:val="41900018"/>
    <w:rsid w:val="41944406"/>
    <w:rsid w:val="41CE128F"/>
    <w:rsid w:val="41DA6F12"/>
    <w:rsid w:val="42091735"/>
    <w:rsid w:val="42171FB1"/>
    <w:rsid w:val="425A359C"/>
    <w:rsid w:val="42936767"/>
    <w:rsid w:val="42D03D82"/>
    <w:rsid w:val="43275F0E"/>
    <w:rsid w:val="434E6957"/>
    <w:rsid w:val="43BA0E31"/>
    <w:rsid w:val="43C15147"/>
    <w:rsid w:val="43E14DD2"/>
    <w:rsid w:val="43F800E9"/>
    <w:rsid w:val="443A7E4B"/>
    <w:rsid w:val="452F5B3A"/>
    <w:rsid w:val="454E7FD2"/>
    <w:rsid w:val="46061BDC"/>
    <w:rsid w:val="461404F8"/>
    <w:rsid w:val="46150E0C"/>
    <w:rsid w:val="46413018"/>
    <w:rsid w:val="464B7E04"/>
    <w:rsid w:val="468041AA"/>
    <w:rsid w:val="468123C6"/>
    <w:rsid w:val="46901EEE"/>
    <w:rsid w:val="469C74D2"/>
    <w:rsid w:val="47445515"/>
    <w:rsid w:val="474B4782"/>
    <w:rsid w:val="47D90D14"/>
    <w:rsid w:val="483438EB"/>
    <w:rsid w:val="48387FB0"/>
    <w:rsid w:val="483A6114"/>
    <w:rsid w:val="488727DB"/>
    <w:rsid w:val="48A96F88"/>
    <w:rsid w:val="48B82268"/>
    <w:rsid w:val="48C354B3"/>
    <w:rsid w:val="48EE7ABB"/>
    <w:rsid w:val="493D58B5"/>
    <w:rsid w:val="494A7A04"/>
    <w:rsid w:val="49F82E64"/>
    <w:rsid w:val="4A0A26D2"/>
    <w:rsid w:val="4A2019A5"/>
    <w:rsid w:val="4A241A0B"/>
    <w:rsid w:val="4A345266"/>
    <w:rsid w:val="4A7B2875"/>
    <w:rsid w:val="4A8A694F"/>
    <w:rsid w:val="4A934476"/>
    <w:rsid w:val="4AAA220A"/>
    <w:rsid w:val="4AE12E67"/>
    <w:rsid w:val="4B077D27"/>
    <w:rsid w:val="4B4C0111"/>
    <w:rsid w:val="4B8553A9"/>
    <w:rsid w:val="4BDB3730"/>
    <w:rsid w:val="4C073FE8"/>
    <w:rsid w:val="4C200F7A"/>
    <w:rsid w:val="4CE646D7"/>
    <w:rsid w:val="4CEE3180"/>
    <w:rsid w:val="4D0F4AF6"/>
    <w:rsid w:val="4DDA54A5"/>
    <w:rsid w:val="4DF94F37"/>
    <w:rsid w:val="4E0A1DD5"/>
    <w:rsid w:val="4E3160E5"/>
    <w:rsid w:val="4E4D37AF"/>
    <w:rsid w:val="4E8C6496"/>
    <w:rsid w:val="4EF11DBD"/>
    <w:rsid w:val="4EFD18DE"/>
    <w:rsid w:val="4F144236"/>
    <w:rsid w:val="4F3C02FC"/>
    <w:rsid w:val="4F663C87"/>
    <w:rsid w:val="4F7E29A8"/>
    <w:rsid w:val="4F9E1FFC"/>
    <w:rsid w:val="50447CC2"/>
    <w:rsid w:val="506517DE"/>
    <w:rsid w:val="50874A7C"/>
    <w:rsid w:val="50895EE7"/>
    <w:rsid w:val="50921B9D"/>
    <w:rsid w:val="509B3B7E"/>
    <w:rsid w:val="50D16158"/>
    <w:rsid w:val="50DB5F45"/>
    <w:rsid w:val="51025EB1"/>
    <w:rsid w:val="51141503"/>
    <w:rsid w:val="513F000C"/>
    <w:rsid w:val="518D0ED5"/>
    <w:rsid w:val="525C687F"/>
    <w:rsid w:val="52F647F7"/>
    <w:rsid w:val="52F92565"/>
    <w:rsid w:val="53D03877"/>
    <w:rsid w:val="542F73CA"/>
    <w:rsid w:val="5430786D"/>
    <w:rsid w:val="546E0EA3"/>
    <w:rsid w:val="54C811C0"/>
    <w:rsid w:val="556A442D"/>
    <w:rsid w:val="55CC5D07"/>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B15448"/>
    <w:rsid w:val="58CD2491"/>
    <w:rsid w:val="591B41B2"/>
    <w:rsid w:val="59254A26"/>
    <w:rsid w:val="59326325"/>
    <w:rsid w:val="59506ECB"/>
    <w:rsid w:val="595C505B"/>
    <w:rsid w:val="595E55C3"/>
    <w:rsid w:val="596E7E20"/>
    <w:rsid w:val="5977289F"/>
    <w:rsid w:val="5A60780B"/>
    <w:rsid w:val="5AB34579"/>
    <w:rsid w:val="5AFC6609"/>
    <w:rsid w:val="5B113480"/>
    <w:rsid w:val="5BD456CE"/>
    <w:rsid w:val="5C0D1F49"/>
    <w:rsid w:val="5CBB0CE2"/>
    <w:rsid w:val="5CC17177"/>
    <w:rsid w:val="5CF306BC"/>
    <w:rsid w:val="5D290D24"/>
    <w:rsid w:val="5D3F3D64"/>
    <w:rsid w:val="5D453A1F"/>
    <w:rsid w:val="5D833043"/>
    <w:rsid w:val="5DD92690"/>
    <w:rsid w:val="5DDB1CFD"/>
    <w:rsid w:val="5DE05DBD"/>
    <w:rsid w:val="5E7E6D93"/>
    <w:rsid w:val="5ED44800"/>
    <w:rsid w:val="5F350BDE"/>
    <w:rsid w:val="5F61632C"/>
    <w:rsid w:val="5FA17648"/>
    <w:rsid w:val="5FE705CB"/>
    <w:rsid w:val="603D5080"/>
    <w:rsid w:val="60D0261B"/>
    <w:rsid w:val="60E506FD"/>
    <w:rsid w:val="618E3791"/>
    <w:rsid w:val="61947DCA"/>
    <w:rsid w:val="61A46A97"/>
    <w:rsid w:val="61D1382F"/>
    <w:rsid w:val="61F114A2"/>
    <w:rsid w:val="62512BB4"/>
    <w:rsid w:val="625D7D1A"/>
    <w:rsid w:val="62DD7D21"/>
    <w:rsid w:val="637D586B"/>
    <w:rsid w:val="63A5560B"/>
    <w:rsid w:val="63E9091F"/>
    <w:rsid w:val="63FC66A7"/>
    <w:rsid w:val="64322AF9"/>
    <w:rsid w:val="6447638D"/>
    <w:rsid w:val="64D6010D"/>
    <w:rsid w:val="64D82665"/>
    <w:rsid w:val="64E47C96"/>
    <w:rsid w:val="651E5741"/>
    <w:rsid w:val="655E00A6"/>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783059"/>
    <w:rsid w:val="6C8138D0"/>
    <w:rsid w:val="6CEF0725"/>
    <w:rsid w:val="6CF04AF1"/>
    <w:rsid w:val="6D4B2604"/>
    <w:rsid w:val="6D6307B8"/>
    <w:rsid w:val="6D8030E4"/>
    <w:rsid w:val="6E0E35C4"/>
    <w:rsid w:val="6E0F7A08"/>
    <w:rsid w:val="6E1869AA"/>
    <w:rsid w:val="6E3947F5"/>
    <w:rsid w:val="6E9C74ED"/>
    <w:rsid w:val="6EF72976"/>
    <w:rsid w:val="6F795A80"/>
    <w:rsid w:val="6F7C1D2E"/>
    <w:rsid w:val="6F8E0407"/>
    <w:rsid w:val="6FDD069F"/>
    <w:rsid w:val="6FFB2911"/>
    <w:rsid w:val="702B4D16"/>
    <w:rsid w:val="70AA6621"/>
    <w:rsid w:val="7111480F"/>
    <w:rsid w:val="71261F49"/>
    <w:rsid w:val="712E6956"/>
    <w:rsid w:val="71473612"/>
    <w:rsid w:val="71504F32"/>
    <w:rsid w:val="7152309F"/>
    <w:rsid w:val="715376D5"/>
    <w:rsid w:val="718F7F65"/>
    <w:rsid w:val="72095805"/>
    <w:rsid w:val="727B234E"/>
    <w:rsid w:val="72D068C7"/>
    <w:rsid w:val="72E42ED8"/>
    <w:rsid w:val="735F4CB9"/>
    <w:rsid w:val="73674C62"/>
    <w:rsid w:val="73845865"/>
    <w:rsid w:val="739B6D9E"/>
    <w:rsid w:val="73BC1D76"/>
    <w:rsid w:val="73FB6630"/>
    <w:rsid w:val="740C68DF"/>
    <w:rsid w:val="741534D2"/>
    <w:rsid w:val="74595A6F"/>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7740B9"/>
    <w:rsid w:val="79D57D57"/>
    <w:rsid w:val="79F00650"/>
    <w:rsid w:val="7A0F5414"/>
    <w:rsid w:val="7A6242BF"/>
    <w:rsid w:val="7A794513"/>
    <w:rsid w:val="7AA95771"/>
    <w:rsid w:val="7AD76625"/>
    <w:rsid w:val="7AE952D2"/>
    <w:rsid w:val="7C976D69"/>
    <w:rsid w:val="7CC858FC"/>
    <w:rsid w:val="7CD752DA"/>
    <w:rsid w:val="7CDE40AB"/>
    <w:rsid w:val="7CF057E2"/>
    <w:rsid w:val="7D1548B5"/>
    <w:rsid w:val="7DF84014"/>
    <w:rsid w:val="7E207949"/>
    <w:rsid w:val="7E5C0A47"/>
    <w:rsid w:val="7E670C75"/>
    <w:rsid w:val="7EE24272"/>
    <w:rsid w:val="7EEA6053"/>
    <w:rsid w:val="7F311932"/>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7998</Words>
  <Characters>9165</Characters>
  <Lines>0</Lines>
  <Paragraphs>0</Paragraphs>
  <TotalTime>26</TotalTime>
  <ScaleCrop>false</ScaleCrop>
  <LinksUpToDate>false</LinksUpToDate>
  <CharactersWithSpaces>9196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2024-11-21T11:31:03Z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D624B15633CD43C8BF9435464A96BF70</vt:lpwstr>
  </property>
</Properties>
</file>