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库尔勒市新城街道办事处</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（1）贯彻执行党和国家的各项方针、政策、法令、法规上级人民政府关于街道工作方面的决定，制定具体的管理办法并组织实施。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（2）负责辖区内的社会管理综合治理，人民调解、法律服务工作，依照有关规定管理外来流动人员。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（3）开展社区服务、拥军优属工作，负责社区优抚、社会救济、社会福利工作，做好社区文化、科普、体育、教育工作。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（4）按照职责范围做好计划生育、爱国卫生、绿化、环境保护、劳动就业、安全生产等管理工作。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（5）配合有关部门做好防汛、防风、防火、防震、抢险和防灾救灾工作。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（6）会同有关部门做好本辖区综治、维稳等工作；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（7）负责辖区内市容市貌和环境卫生的日常管理工作，发动辖区单位和群众保护环境，开展爱国卫生运动；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（8）指导和帮助居民委员会的工作，调解解决行政事务、社会管理和公共服务方面的问题，促进居民委员会的依法建设。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（9）协助武装部门做好国防动员、民兵训练和公民服兵役工作；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（10）维护老年人、妇女、青少年、儿童和残疾人的合法权益。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（11）动员和领导居民及各单位、各部门开展社区建设工作；制定并实施社区建设规划和年度计划；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（12）向市党委、市政府反映居民群众的意见和要求，办理人民群众的来信来访等事项。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（13）承办市党委、市政府交办的其他事项。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库尔勒市新城街道办事处单位编制数75人，实有人数83人，其中：在职64人；退休19人；离休0人。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本单位管辖社区5个，通过社区党组织惠民政策的实施，社区党建服务品牌建设社区公共事业等为民办实事的开展，确保为民办实事件数达到9件，为民办实事工作覆盖率达到100%以上，提升社区党组织服务群众能力。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在乡镇开展各项科普教育培训活动，提高干部及群综合素质，有效提升服务群众水平。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保障辖区内退休人员的日常活动开展、节日慰问不少于50人次及发生重大变故时的帮扶慰问。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抓好街道各社区基层党组织阵地网格阵地建设，确保基层党组织各项事业稳定有序开展。依法服务各族群众。始终坚持以人民为中心，以群众就业增收、生产生活水平提升、思想观念转变为导向，推动群众工作更加精准化、精细化。将“积分制管理”、感恩教育向普通群众延伸，作为提升群众自治能力的有效抓手，形成制度规范，引导激励各族群众移风易俗、向上向善。</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持续抓好问题整改工作。坚持问题导向、结果导向，对照中央巡视、国家和自治区、自治州乡村振兴工作考核等各类反馈问题，列出问题清单、责任清单、时限清单和任务清单，建立整改台账，细化整改措施，明确整改实现，按期销号管理，举一反三、点面结合，健全完善长效机制，做到整改一个问题、解决一类问题、完善一项制度。对后续自查发现的问题，分清轻重缓急，明确重点任务、阶段任务和长期任务，细化实化措施，做到一体推进、统筹整改，以问题整改巩固拓展脱贫攻坚成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2.机构人员保障情况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新城街道办事处2023年通过本部门预算支出，确保了64名在职人员的工资、津贴、补贴、社保、绩效、公积金等以及19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2023年我部门年初安排预算数为2176.31万元，其中:上级安排0万元,本级安排2176.31万元，其他资金0万元。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我部门年初安排预算数2176.31万元，年中调整数-42.04万元，调整后全年预算数2134.27万元，预算调整率1.94%。</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我单位2023年度部门整体支出为2134.27万元，其中：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2051.49万元，主要用于：基本工资、津贴补贴、奖金、机关事业单位基本养老保险缴费、职业年金缴费、职工基本医疗保险缴费、住房公积金、其他工资福利支出（临聘人员工资福利支出）、办公费、水费、电费、邮电费、取暖费、培训费、工会经费、公务用车运行经费、退休费，抚恤金，生活补助，奖励金，办公设备购置费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（2）项目支出82.78万元，主要用于地方美术馆、公共图书馆、文化馆（站免费开放补助资金）项目4.05万元、国有企业退休人员社会化管理补助资金项目78.74万元。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2023年我部门基本支出年初预算安排2078.90万元，全年预算数2051.49万元，全年实际支出数2051.49万元，其中：人员经费1975.83万元，公用经费75.66万元。全年预算执行率100%。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水费、电费、邮电费、差旅费、维修（护）费、培训费、工会经费、公务用车运行维护费、其他交通费用、退休费、生活补助、医疗费补助、奖励金、办公设备购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2023年本单位共安排2个项目，全年预算数为82.78万元，全年实际支出数82.78万元，执行率100%。已完成项目2个，未完成项目0个。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其中:上级安排项目2个82.78万元，本级安排项目0个0万元,其他资金安排项目0个0万元。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我单位将部门单位整体绩效目标细化分解为具体的绩效指标，一级指标共2条，二级指标共1条，三级指标共5条，其中量化指标条数共5条，所有绩效指标均通过清晰、可衡量的指标值予以体现。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举办文体活动次数,预期指标值为：&gt;=5次；监控节点完成值：=3次；评价实际完成值：=5次；指标完成率：100.00%；成效分析：通过单位正常运转，提高了干部及群众的综合素质和生活质量，有效提升了服务群众的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为民办实事件数,预期指标值为：&gt;=9件；监控节点完成值：=5件；评价实际完成值：=9件；指标完成率：100.00%；成效分析：通过单位正常运转，提高了为辖区居民解决矛盾纠纷、困难访求、扶贫帮困等为民办实事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数量指标3：信访事项化解件数,预期指标值为：&gt;=6件；监控节点完成值：=3件；评价实际完成值：=6件；指标完成率：100.00%；成效分析：通过单位正常运转，提升了社区党组织服务群众能力。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4：节日慰问人次,预期指标值为：&gt;=50人次；监控节点完成值：=30人次；评价实际完成值：=67人次；指标完成率：100.00%；成效分析：通过单位正常运转，让辖区退休老干部、辖区老党员等感受到了党的温暖</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数量指标5：惠民政策知晓率,预期指标值为：&gt;=98.00%；监控节点完成值：=98.00%；评价实际完成值：=98.00%；指标完成率：100.00%；成效分析：通过单位正常运转，提高了居民对惠民政策的知晓率。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xml:space="preserve">1、信息与沟通衔接不够。由于街道的会计核算由街道统一核算，各社区实行报帐制，双方沟通衔接不够，极易形成账物分离的资产管理现状，造成账实不符的问题。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缺乏必要的内部监督机制。对内部控制的监控力度不够，监督考核机制不到位，内部监督机构对内部控制工作没有给予足够的重视和支持。内部监督仅限于对财务控制的监督，缺乏对内部控制六大业务运行的有效性分析及监督，以及做出客观公正的评价。</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根据《会计法》、《内部控制规范》及相关部门对健全和完善内部控制的要求，结合自身的业务特点和管理需要建立健全内控制度，细化固定资产计价、购置、验收、日常管理、调拨、清查、盘点及处置等管理措施，明确责任科室和使用人，压实使用人责任。并由综合协调办牵头联合各社区对机关各科室、各社区、网格阵地现有的固定资产进行全面清查。</w:t>
      </w:r>
      <w:r>
        <w:rPr>
          <w:rFonts w:hint="eastAsia" w:ascii="仿宋_GB2312" w:hAnsi="宋体" w:eastAsia="仿宋_GB2312"/>
          <w:bCs/>
          <w:sz w:val="32"/>
          <w:szCs w:val="32"/>
        </w:rPr>
        <w:br w:type="textWrapping"/>
      </w:r>
      <w:r>
        <w:rPr>
          <w:rFonts w:hint="eastAsia" w:ascii="仿宋_GB2312" w:hAnsi="宋体" w:eastAsia="仿宋_GB2312"/>
          <w:bCs/>
          <w:sz w:val="32"/>
          <w:szCs w:val="32"/>
        </w:rPr>
        <w:t>2、找准失控环节，明确自控重点，在日常绩效监控工作中存在着一定程度的“重分配、轻管理、重支出、轻绩效”的情况，对于预算管理、资金拨付与费用支出管理、报销审批程序以及对错误核算与错误支出的纠正等经济活动方面，确定单位自控的重点和目标，设立合理的组织结构，确认相关的管理职能和关系，为每个部门划分责任权限，明确建立授权和分配责任的方法，因事设人，视能授权，责任到位，且责权对等，以增加组织的绩效控制意识。</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2823586"/>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2024-08-19T03:46:39Z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4E2A216151A24EE5A190066F518526B7</vt:lpwstr>
  </property>
</Properties>
</file>