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库尔勒市新城街道办事处</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bidi w:val="0"/>
        <w:jc w:val="left"/>
        <w:rPr>
          <w:rFonts w:hint="eastAsia" w:ascii="Times New Roman" w:hAnsi="Times New Roman"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bookmarkStart w:id="4" w:name="_Toc31238"/>
      <w:bookmarkStart w:id="5" w:name="_Toc2151"/>
      <w:r>
        <w:rPr>
          <w:rFonts w:hint="eastAsia" w:ascii="仿宋_GB2312" w:hAnsi="Times New Roman" w:eastAsia="仿宋_GB2312" w:cs="Times New Roman"/>
          <w:color w:val="auto"/>
          <w:kern w:val="2"/>
          <w:sz w:val="32"/>
          <w:szCs w:val="32"/>
          <w:highlight w:val="none"/>
          <w:lang w:val="en-US" w:eastAsia="zh-CN" w:bidi="ar-SA"/>
        </w:rPr>
        <w:t xml:space="preserve">1、贯彻执行党和国家的各项方针、政策、法令、法规上级人民政府关于街道工作方面的决定，制定具体的管理办法并组织实施。  </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 xml:space="preserve">2、负责辖区内的社会管理综合治理，人民调解、法律服务工作，依照有关规定管理外来流动人员。 </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 xml:space="preserve">3、开展社区服务、拥军优属工作，负责社区优抚、社会救济、社会福利工作，做好社区文化、科普、体育、教育工作。 </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 xml:space="preserve">4、按照职责范围做好计划生育、爱国卫生、绿化、环境保护、劳动就业、安全生产等管理工作。    </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5、配合有关部门做好防汛、防风、防火、防震、抢险和防灾救灾工作。</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6、会同有关部门做好本辖区综合治理等工作；</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7、负责辖区内市容市貌和环境卫生的日常管理工作，发动辖区单位和群众保护环境，开展爱国卫生运动；</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8、指导和帮助居民委员会的工作，调解解决行政事务、社会管理和公共服务方面的问题，促进居民委员会的依法建设。</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9、协助武装部门做好国防动员、民兵训练和公民服兵役工作；</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10、维护老年人、妇女、青少年、儿童和残疾人的合法权益。</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 xml:space="preserve">11、动员和领导居民及各单位、各部门开展社区建设工作；制定并实施社区建设规划和年度计划； </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12、承办市党委、市政府交办的其他事项。</w:t>
      </w:r>
    </w:p>
    <w:p>
      <w:pPr>
        <w:pStyle w:val="16"/>
        <w:spacing w:line="560" w:lineRule="exact"/>
        <w:ind w:firstLine="560"/>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库尔勒市新城街道办事处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p>
    <w:p>
      <w:pPr>
        <w:pStyle w:val="16"/>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bookmarkStart w:id="6" w:name="_Toc3092"/>
      <w:bookmarkStart w:id="7" w:name="_Toc29374"/>
      <w:r>
        <w:rPr>
          <w:rFonts w:hint="eastAsia" w:ascii="仿宋_GB2312" w:hAnsi="Times New Roman" w:eastAsia="仿宋_GB2312" w:cs="Times New Roman"/>
          <w:color w:val="auto"/>
          <w:kern w:val="2"/>
          <w:sz w:val="32"/>
          <w:szCs w:val="32"/>
          <w:highlight w:val="none"/>
          <w:lang w:val="en-US" w:eastAsia="zh-CN" w:bidi="ar-SA"/>
        </w:rPr>
        <w:t>库尔勒市新城街道办事处无下属预算单位，下设6个科室，分别是：党建办公室、综合协调办公室、综合执法办公室、党群服务中心、社会事务（统计）服务中心（退役军人服务站）、综治中心（网格化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2,134.27万元，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2,134.27万元，使用非财政拨款结余0.00万元，年初结转和结余0.00万元。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2,134.27万元，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2,134.27万元，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增加4.85万元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增长0.23%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:新增事业编9名干部（3名研究生和6名本科毕业生）而经费增加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2,134.27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2,134.27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本年支出2,134.27万元，其中：基本支出2,051.49万元，占96.12%；项目支出82.78万元，占3.88%；上缴上级支出0.00万元，占0.00%；经营支出0.00万元，占0.00%；对附属单位补助支出0.00万元，占0.00%。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2,134.27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2,134.27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2,134.27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2,134.27</w:t>
      </w:r>
      <w:r>
        <w:rPr>
          <w:rFonts w:hint="eastAsia" w:ascii="仿宋_GB2312" w:eastAsia="仿宋_GB2312"/>
          <w:color w:val="auto"/>
          <w:spacing w:val="0"/>
          <w:sz w:val="32"/>
          <w:szCs w:val="32"/>
          <w:highlight w:val="none"/>
          <w:lang w:eastAsia="zh-CN"/>
        </w:rPr>
        <w:t>万元。</w:t>
      </w:r>
    </w:p>
    <w:p>
      <w:pPr>
        <w:pStyle w:val="17"/>
        <w:spacing w:line="360" w:lineRule="auto"/>
        <w:ind w:firstLine="42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w:t>
      </w:r>
      <w:r>
        <w:rPr>
          <w:rFonts w:hint="eastAsia" w:eastAsia="仿宋_GB2312"/>
          <w:color w:val="auto"/>
          <w:spacing w:val="0"/>
          <w:sz w:val="32"/>
          <w:szCs w:val="32"/>
          <w:highlight w:val="none"/>
          <w:lang w:eastAsia="zh-CN"/>
        </w:rPr>
        <w:t>上年</w:t>
      </w:r>
      <w:r>
        <w:rPr>
          <w:rFonts w:hint="eastAsia" w:ascii="仿宋_GB2312" w:eastAsia="仿宋_GB2312"/>
          <w:color w:val="auto"/>
          <w:spacing w:val="0"/>
          <w:sz w:val="32"/>
          <w:szCs w:val="32"/>
          <w:highlight w:val="none"/>
          <w:lang w:eastAsia="zh-CN"/>
        </w:rPr>
        <w:t>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增加4.85万元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增长0.23%，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新增事业编9名干部（3名研究生和6名本科毕业生）而经费增加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2,176.31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2,134.27</w:t>
      </w:r>
      <w:r>
        <w:rPr>
          <w:rFonts w:hint="eastAsia" w:ascii="仿宋_GB2312" w:eastAsia="仿宋_GB2312"/>
          <w:color w:val="auto"/>
          <w:spacing w:val="0"/>
          <w:sz w:val="32"/>
          <w:szCs w:val="32"/>
          <w:highlight w:val="none"/>
          <w:lang w:eastAsia="zh-CN"/>
        </w:rPr>
        <w:t>万元，预决算差异率-1.93%，主要原因是：</w:t>
      </w:r>
      <w:r>
        <w:rPr>
          <w:rFonts w:hint="eastAsia" w:eastAsia="仿宋_GB2312"/>
          <w:color w:val="auto"/>
          <w:spacing w:val="0"/>
          <w:sz w:val="32"/>
          <w:szCs w:val="32"/>
          <w:highlight w:val="none"/>
          <w:lang w:val="en-US" w:eastAsia="zh-CN"/>
        </w:rPr>
        <w:t>2023年长期聘用人员比上年减少12人。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pStyle w:val="17"/>
        <w:spacing w:line="360" w:lineRule="auto"/>
        <w:ind w:firstLine="42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2023年度一般公共预算财政拨款支出2,041.54万元，占本年支出合计的</w:t>
      </w:r>
      <w:r>
        <w:rPr>
          <w:rFonts w:hint="eastAsia" w:ascii="仿宋_GB2312" w:eastAsia="仿宋_GB2312"/>
          <w:color w:val="auto"/>
          <w:spacing w:val="0"/>
          <w:sz w:val="32"/>
          <w:szCs w:val="32"/>
          <w:highlight w:val="none"/>
          <w:lang w:val="zh-CN" w:eastAsia="zh-CN"/>
        </w:rPr>
        <w:t>95.65%</w:t>
      </w:r>
      <w:r>
        <w:rPr>
          <w:rFonts w:hint="eastAsia" w:ascii="仿宋_GB2312" w:eastAsia="仿宋_GB2312"/>
          <w:color w:val="auto"/>
          <w:spacing w:val="0"/>
          <w:sz w:val="32"/>
          <w:szCs w:val="32"/>
          <w:highlight w:val="none"/>
          <w:lang w:eastAsia="zh-CN"/>
        </w:rPr>
        <w:t>。与</w:t>
      </w:r>
      <w:r>
        <w:rPr>
          <w:rFonts w:hint="eastAsia" w:eastAsia="仿宋_GB2312"/>
          <w:color w:val="auto"/>
          <w:spacing w:val="0"/>
          <w:sz w:val="32"/>
          <w:szCs w:val="32"/>
          <w:highlight w:val="none"/>
          <w:lang w:eastAsia="zh-CN"/>
        </w:rPr>
        <w:t>上年</w:t>
      </w:r>
      <w:r>
        <w:rPr>
          <w:rFonts w:hint="eastAsia" w:ascii="仿宋_GB2312" w:eastAsia="仿宋_GB2312"/>
          <w:color w:val="auto"/>
          <w:spacing w:val="0"/>
          <w:sz w:val="32"/>
          <w:szCs w:val="32"/>
          <w:highlight w:val="none"/>
          <w:lang w:eastAsia="zh-CN"/>
        </w:rPr>
        <w:t>相比，</w:t>
      </w:r>
      <w:r>
        <w:rPr>
          <w:rFonts w:hint="eastAsia" w:ascii="仿宋_GB2312" w:eastAsia="仿宋_GB2312"/>
          <w:color w:val="auto"/>
          <w:spacing w:val="0"/>
          <w:sz w:val="32"/>
          <w:szCs w:val="32"/>
          <w:highlight w:val="none"/>
          <w:lang w:val="zh-CN" w:eastAsia="zh-CN"/>
        </w:rPr>
        <w:t>减少87.88万元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下降4.13%，</w:t>
      </w:r>
      <w:r>
        <w:rPr>
          <w:rFonts w:hint="eastAsia" w:ascii="仿宋_GB2312" w:eastAsia="仿宋_GB2312"/>
          <w:color w:val="auto"/>
          <w:spacing w:val="0"/>
          <w:sz w:val="32"/>
          <w:szCs w:val="32"/>
          <w:highlight w:val="none"/>
          <w:lang w:eastAsia="zh-CN"/>
        </w:rPr>
        <w:t>主要原因是：</w:t>
      </w:r>
      <w:r>
        <w:rPr>
          <w:rFonts w:hint="eastAsia" w:eastAsia="仿宋_GB2312"/>
          <w:color w:val="auto"/>
          <w:spacing w:val="0"/>
          <w:sz w:val="32"/>
          <w:szCs w:val="32"/>
          <w:highlight w:val="none"/>
          <w:lang w:val="en-US" w:eastAsia="zh-CN"/>
        </w:rPr>
        <w:t>2023年长期聘用人员比上年减少12</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2,080.90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2,041.54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-1.89%</w:t>
      </w:r>
      <w:r>
        <w:rPr>
          <w:rFonts w:hint="eastAsia" w:ascii="仿宋_GB2312" w:eastAsia="仿宋_GB2312"/>
          <w:color w:val="auto"/>
          <w:spacing w:val="0"/>
          <w:sz w:val="32"/>
          <w:szCs w:val="32"/>
          <w:highlight w:val="none"/>
          <w:lang w:eastAsia="zh-CN"/>
        </w:rPr>
        <w:t>，主要原因是</w:t>
      </w:r>
      <w:r>
        <w:rPr>
          <w:rFonts w:hint="eastAsia" w:eastAsia="仿宋_GB2312"/>
          <w:color w:val="auto"/>
          <w:spacing w:val="0"/>
          <w:sz w:val="32"/>
          <w:szCs w:val="32"/>
          <w:highlight w:val="none"/>
          <w:lang w:eastAsia="zh-CN"/>
        </w:rPr>
        <w:t>：</w:t>
      </w:r>
      <w:r>
        <w:rPr>
          <w:rFonts w:hint="eastAsia" w:eastAsia="仿宋_GB2312"/>
          <w:color w:val="auto"/>
          <w:spacing w:val="0"/>
          <w:sz w:val="32"/>
          <w:szCs w:val="32"/>
          <w:highlight w:val="none"/>
          <w:lang w:val="en-US" w:eastAsia="zh-CN"/>
        </w:rPr>
        <w:t>2023年长期聘用人员比上年减少12人。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1,694.98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4.75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0.23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231.39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11.33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41.03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2.01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66.69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3.27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1.文化旅游体育与传媒支出（类）文化和旅游（款）其他文化和旅游支出（项）:支出决算数为4.05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疫情结束后社区开展各项文化体育活动增加而经费增加。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2.一般公共服务支出（类）政府办公厅（室）及相关机构事务（款）其他政府办公厅（室）及相关机构事务支出（项）:支出决算数为20.14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25.19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55.56%，主要原因是：</w:t>
      </w:r>
      <w:r>
        <w:rPr>
          <w:rFonts w:hint="eastAsia" w:eastAsia="仿宋_GB2312" w:cs="Times New Roman"/>
          <w:color w:val="auto"/>
          <w:kern w:val="2"/>
          <w:sz w:val="32"/>
          <w:szCs w:val="32"/>
          <w:highlight w:val="none"/>
          <w:lang w:val="en-US" w:eastAsia="zh-CN" w:bidi="ar-SA"/>
        </w:rPr>
        <w:t>2022年社区网格经费、社会工作者补贴、食堂运行经费等经费在此科目里核算，但是2023年没有食堂经费和社区网格经费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3.卫生健康支出（类）行政事业单位医疗（款）行政单位医疗（项）:支出决算数为37.74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9.23%，主要原因是：</w:t>
      </w:r>
      <w:r>
        <w:rPr>
          <w:rFonts w:hint="eastAsia" w:eastAsia="仿宋_GB2312" w:cs="Times New Roman"/>
          <w:color w:val="auto"/>
          <w:kern w:val="2"/>
          <w:sz w:val="32"/>
          <w:szCs w:val="32"/>
          <w:highlight w:val="none"/>
          <w:lang w:val="en-US" w:eastAsia="zh-CN" w:bidi="ar-SA"/>
        </w:rPr>
        <w:t>2023年开始退休人员不用缴纳医疗保险</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4.教育支出（类）进修及培训（款）培训支出（项）:支出决算数为2.70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16.6</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机关和社区工作人员培训次数、人数减少而经费减少。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5.卫生健康支出（类）行政事业单位医疗（款）公务员医疗补助（项）:支出决算数为3.29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61.3</w:t>
      </w: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2023年开始退休人员不用缴纳医疗保险</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6.住房保障支出（类）住房改革支出（款）住房公积金（项）:支出决算数为66.69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12.88%，主要原因是：</w:t>
      </w:r>
      <w:r>
        <w:rPr>
          <w:rFonts w:hint="eastAsia" w:ascii="仿宋_GB2312" w:eastAsia="仿宋_GB2312"/>
          <w:color w:val="auto"/>
          <w:spacing w:val="0"/>
          <w:sz w:val="32"/>
          <w:szCs w:val="32"/>
          <w:highlight w:val="none"/>
          <w:lang w:val="en-US" w:eastAsia="zh-CN"/>
        </w:rPr>
        <w:t>新增事业编9名干部（3名研究生和6名本科毕业生）而经费增加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7.一般公共服务支出（类）组织事务（款）其他组织事务支出（项）:支出决算数为53.00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153.90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74.38%，主要原因是：</w:t>
      </w:r>
      <w:r>
        <w:rPr>
          <w:rFonts w:hint="eastAsia" w:eastAsia="仿宋_GB2312" w:cs="Times New Roman"/>
          <w:color w:val="auto"/>
          <w:kern w:val="2"/>
          <w:sz w:val="32"/>
          <w:szCs w:val="32"/>
          <w:highlight w:val="none"/>
          <w:lang w:val="en-US" w:eastAsia="zh-CN" w:bidi="ar-SA"/>
        </w:rPr>
        <w:t>2022年社区党建经费在</w:t>
      </w:r>
      <w:r>
        <w:rPr>
          <w:rFonts w:hint="eastAsia" w:ascii="Times New Roman" w:hAnsi="Times New Roman" w:eastAsia="仿宋_GB2312" w:cs="Times New Roman"/>
          <w:color w:val="auto"/>
          <w:kern w:val="2"/>
          <w:sz w:val="32"/>
          <w:szCs w:val="32"/>
          <w:highlight w:val="none"/>
          <w:lang w:val="en-US" w:eastAsia="zh-CN" w:bidi="ar-SA"/>
        </w:rPr>
        <w:t>一般公共服务支出（类）组织事务（款）其他组织事务支出（项）</w:t>
      </w:r>
      <w:r>
        <w:rPr>
          <w:rFonts w:hint="eastAsia" w:eastAsia="仿宋_GB2312" w:cs="Times New Roman"/>
          <w:color w:val="auto"/>
          <w:kern w:val="2"/>
          <w:sz w:val="32"/>
          <w:szCs w:val="32"/>
          <w:highlight w:val="none"/>
          <w:lang w:val="en-US" w:eastAsia="zh-CN" w:bidi="ar-SA"/>
        </w:rPr>
        <w:t>科目里核算，但是2023年社区党建经费不在此科目内核算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8.社会保障和就业支出（类）行政事业单位养老支出（款）机关事业单位基本养老保险缴费支出（项）:支出决算数为83.97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14.06%，主要原因是：</w:t>
      </w:r>
      <w:r>
        <w:rPr>
          <w:rFonts w:hint="eastAsia" w:eastAsia="仿宋_GB2312" w:cs="Times New Roman"/>
          <w:color w:val="auto"/>
          <w:kern w:val="2"/>
          <w:sz w:val="32"/>
          <w:szCs w:val="32"/>
          <w:highlight w:val="none"/>
          <w:lang w:val="zh-CN" w:eastAsia="zh-CN" w:bidi="ar-SA"/>
        </w:rPr>
        <w:t>本年</w:t>
      </w:r>
      <w:r>
        <w:rPr>
          <w:rFonts w:hint="eastAsia" w:ascii="仿宋_GB2312" w:eastAsia="仿宋_GB2312"/>
          <w:color w:val="auto"/>
          <w:spacing w:val="0"/>
          <w:sz w:val="32"/>
          <w:szCs w:val="32"/>
          <w:highlight w:val="none"/>
          <w:lang w:val="en-US" w:eastAsia="zh-CN"/>
        </w:rPr>
        <w:t>新增事业编9名干部（3名研究生和6名本科毕业生）</w:t>
      </w:r>
      <w:r>
        <w:rPr>
          <w:rFonts w:hint="eastAsia" w:eastAsia="仿宋_GB2312" w:cs="Times New Roman"/>
          <w:color w:val="auto"/>
          <w:kern w:val="2"/>
          <w:sz w:val="32"/>
          <w:szCs w:val="32"/>
          <w:highlight w:val="none"/>
          <w:lang w:val="zh-CN" w:eastAsia="zh-CN" w:bidi="ar-SA"/>
        </w:rPr>
        <w:t>行政单位医疗保险</w:t>
      </w:r>
      <w:r>
        <w:rPr>
          <w:rFonts w:hint="eastAsia" w:ascii="仿宋" w:hAnsi="仿宋" w:eastAsia="仿宋"/>
          <w:kern w:val="0"/>
          <w:sz w:val="32"/>
          <w:szCs w:val="32"/>
          <w:lang w:eastAsia="zh-CN"/>
        </w:rPr>
        <w:t>缴费基数调整，</w:t>
      </w:r>
      <w:r>
        <w:rPr>
          <w:rFonts w:hint="eastAsia" w:ascii="仿宋_GB2312" w:eastAsia="仿宋_GB2312"/>
          <w:color w:val="auto"/>
          <w:spacing w:val="0"/>
          <w:sz w:val="32"/>
          <w:szCs w:val="32"/>
          <w:highlight w:val="none"/>
          <w:lang w:val="en-US" w:eastAsia="zh-CN"/>
        </w:rPr>
        <w:t>而经费增加</w:t>
      </w:r>
      <w:r>
        <w:rPr>
          <w:rFonts w:hint="eastAsia" w:ascii="仿宋" w:hAnsi="仿宋" w:eastAsia="仿宋"/>
          <w:kern w:val="0"/>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9.文化旅游体育与传媒支出（类）其他文化旅游体育与传媒支出（款）其他文化旅游体育与传媒支出（项）:支出决算数为0.70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288.89%，主要原因是：</w:t>
      </w:r>
      <w:r>
        <w:rPr>
          <w:rFonts w:hint="eastAsia" w:eastAsia="仿宋_GB2312" w:cs="Times New Roman"/>
          <w:color w:val="auto"/>
          <w:kern w:val="2"/>
          <w:sz w:val="32"/>
          <w:szCs w:val="32"/>
          <w:highlight w:val="none"/>
          <w:lang w:val="zh-CN" w:eastAsia="zh-CN" w:bidi="ar-SA"/>
        </w:rPr>
        <w:t>疫情结束后社区开展各项文化体育活动增加而经费增加。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10.社会保障和就业支出（类）行政事业单位养老支出（款）行政单位离退休（项）:支出决算数为12.78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103.</w:t>
      </w:r>
      <w:r>
        <w:rPr>
          <w:rFonts w:hint="eastAsia" w:eastAsia="仿宋_GB2312" w:cs="Times New Roman"/>
          <w:color w:val="auto"/>
          <w:kern w:val="2"/>
          <w:sz w:val="32"/>
          <w:szCs w:val="32"/>
          <w:highlight w:val="none"/>
          <w:lang w:val="en-US" w:eastAsia="zh-CN" w:bidi="ar-SA"/>
        </w:rPr>
        <w:t>50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2023年发放2021年退休人员绩效奖金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11.社会保障和就业支出（类）就业补助（款）公益性岗位补贴（项）:支出决算数为125.67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57.12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31.25%，主要原因是：</w:t>
      </w:r>
      <w:r>
        <w:rPr>
          <w:rFonts w:hint="eastAsia" w:eastAsia="仿宋_GB2312" w:cs="Times New Roman"/>
          <w:color w:val="auto"/>
          <w:kern w:val="2"/>
          <w:sz w:val="32"/>
          <w:szCs w:val="32"/>
          <w:highlight w:val="none"/>
          <w:lang w:val="en-US" w:eastAsia="zh-CN" w:bidi="ar-SA"/>
        </w:rPr>
        <w:t>6名公益性岗位职工考入三钢十八级，人员减少而经费减少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12.一般公共服务支出（类）政府办公厅（室）及相关机构事务（款）行政运行（项）:支出决算数为1,619.68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144.35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9.78%，主要原因是：</w:t>
      </w:r>
      <w:r>
        <w:rPr>
          <w:rFonts w:hint="eastAsia" w:ascii="仿宋_GB2312" w:eastAsia="仿宋_GB2312"/>
          <w:color w:val="auto"/>
          <w:spacing w:val="0"/>
          <w:sz w:val="32"/>
          <w:szCs w:val="32"/>
          <w:highlight w:val="none"/>
          <w:lang w:val="en-US" w:eastAsia="zh-CN"/>
        </w:rPr>
        <w:t>新增事业编9名干部（3名研究生和6名本科毕业生）而经费增加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13.社会保障和就业支出（类）行政事业单位养老支出（款）机关事业单位职业年金缴费支出（项）:支出决算数为8.97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本年度增加退休人员</w:t>
      </w:r>
      <w:r>
        <w:rPr>
          <w:rFonts w:hint="eastAsia" w:eastAsia="仿宋_GB2312" w:cs="Times New Roman"/>
          <w:color w:val="auto"/>
          <w:kern w:val="2"/>
          <w:sz w:val="32"/>
          <w:szCs w:val="32"/>
          <w:highlight w:val="none"/>
          <w:lang w:val="en-US" w:eastAsia="zh-CN" w:bidi="ar-SA"/>
        </w:rPr>
        <w:t>1人，增加职业年金8.97万元</w:t>
      </w:r>
      <w:r>
        <w:rPr>
          <w:rFonts w:hint="eastAsia" w:eastAsia="仿宋_GB2312" w:cs="Times New Roman"/>
          <w:color w:val="auto"/>
          <w:kern w:val="2"/>
          <w:sz w:val="32"/>
          <w:szCs w:val="32"/>
          <w:highlight w:val="none"/>
          <w:lang w:val="zh-CN" w:eastAsia="zh-CN" w:bidi="ar-SA"/>
        </w:rPr>
        <w:t>，</w:t>
      </w:r>
      <w:r>
        <w:rPr>
          <w:rFonts w:hint="eastAsia" w:ascii="仿宋_GB2312" w:eastAsia="仿宋_GB2312"/>
          <w:color w:val="auto"/>
          <w:spacing w:val="0"/>
          <w:sz w:val="32"/>
          <w:szCs w:val="32"/>
          <w:highlight w:val="none"/>
          <w:lang w:val="en-US" w:eastAsia="zh-CN"/>
        </w:rPr>
        <w:t>经费</w:t>
      </w:r>
      <w:r>
        <w:rPr>
          <w:rFonts w:hint="eastAsia" w:ascii="仿宋" w:hAnsi="仿宋" w:eastAsia="仿宋"/>
          <w:kern w:val="0"/>
          <w:sz w:val="32"/>
          <w:szCs w:val="32"/>
          <w:lang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14.一般公共服务支出（类）纪检监察事务（款）其他纪检监察事务支出（项）:支出决算数为2.15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514.29%，主要原因是：</w:t>
      </w:r>
      <w:r>
        <w:rPr>
          <w:rFonts w:hint="eastAsia" w:eastAsia="仿宋_GB2312" w:cs="Times New Roman"/>
          <w:color w:val="auto"/>
          <w:kern w:val="2"/>
          <w:sz w:val="32"/>
          <w:szCs w:val="32"/>
          <w:highlight w:val="none"/>
          <w:lang w:val="zh-CN" w:eastAsia="zh-CN" w:bidi="ar-SA"/>
        </w:rPr>
        <w:t>本年纪检办公室购买办公设备而经费增加。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15.国防支出（类）国防动员（款）民兵（项）:支出决算数为0.00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本年没有安排次项预算。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16.卫生健康支出（类）公共卫生（款）突发公共卫生事件应急处理（项）:支出决算数为0.00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本年没有安排次项预算。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17.卫生健康支出（类）计划生育事务（款）其他计划生育事务支出（项）:支出决算数为0.00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w:t>
      </w:r>
      <w:r>
        <w:rPr>
          <w:rFonts w:hint="eastAsia" w:ascii="Times New Roman" w:hAnsi="Times New Roman" w:eastAsia="仿宋_GB2312" w:cs="Times New Roman"/>
          <w:color w:val="auto"/>
          <w:kern w:val="2"/>
          <w:sz w:val="32"/>
          <w:szCs w:val="32"/>
          <w:highlight w:val="none"/>
          <w:lang w:val="en-US" w:eastAsia="zh-CN" w:bidi="ar-SA"/>
        </w:rPr>
        <w:t>卫生健康支出（类）计划生育事务（款）其他计划生育事务支出（项）</w:t>
      </w:r>
      <w:r>
        <w:rPr>
          <w:rFonts w:hint="eastAsia" w:eastAsia="仿宋_GB2312" w:cs="Times New Roman"/>
          <w:color w:val="auto"/>
          <w:kern w:val="2"/>
          <w:sz w:val="32"/>
          <w:szCs w:val="32"/>
          <w:highlight w:val="none"/>
          <w:lang w:val="en-US" w:eastAsia="zh-CN" w:bidi="ar-SA"/>
        </w:rPr>
        <w:t>在</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一般公共服务支出（类）政府办公厅（室）及相关机构事务（款）行政运行（项）</w:t>
      </w:r>
      <w:r>
        <w:rPr>
          <w:rFonts w:hint="eastAsia" w:eastAsia="仿宋_GB2312" w:cs="Times New Roman"/>
          <w:color w:val="auto"/>
          <w:kern w:val="2"/>
          <w:sz w:val="32"/>
          <w:szCs w:val="32"/>
          <w:highlight w:val="none"/>
          <w:lang w:val="en-US" w:eastAsia="zh-CN" w:bidi="ar-SA"/>
        </w:rPr>
        <w:t>里核算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2,037.49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1,975.83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医疗费、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61.66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办公费、水费、电费、邮电费、取暖费、差旅费、培训费、工会经费、公务用车运行维护费、办公设备购置。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2023年度</w:t>
      </w:r>
      <w:r>
        <w:rPr>
          <w:rFonts w:hint="eastAsia" w:ascii="仿宋_GB2312" w:eastAsia="仿宋_GB2312"/>
          <w:color w:val="auto"/>
          <w:spacing w:val="0"/>
          <w:sz w:val="32"/>
          <w:szCs w:val="32"/>
          <w:highlight w:val="none"/>
          <w:lang w:val="en-US" w:eastAsia="zh-CN"/>
        </w:rPr>
        <w:t>财政拨款</w:t>
      </w:r>
      <w:r>
        <w:rPr>
          <w:rFonts w:hint="eastAsia" w:ascii="仿宋_GB2312" w:eastAsia="仿宋_GB2312"/>
          <w:color w:val="auto"/>
          <w:spacing w:val="0"/>
          <w:sz w:val="32"/>
          <w:szCs w:val="32"/>
          <w:highlight w:val="none"/>
          <w:lang w:val="zh-CN" w:eastAsia="zh-CN"/>
        </w:rPr>
        <w:t>“三公”经费支出4.82万元，</w:t>
      </w:r>
      <w:r>
        <w:rPr>
          <w:rFonts w:hint="eastAsia" w:ascii="仿宋_GB2312" w:eastAsia="仿宋_GB2312"/>
          <w:color w:val="auto"/>
          <w:spacing w:val="0"/>
          <w:sz w:val="32"/>
          <w:szCs w:val="32"/>
          <w:highlight w:val="none"/>
          <w:lang w:val="en-US" w:eastAsia="zh-CN"/>
        </w:rPr>
        <w:t>比上年</w:t>
      </w:r>
      <w:r>
        <w:rPr>
          <w:rFonts w:hint="eastAsia" w:ascii="仿宋_GB2312" w:eastAsia="仿宋_GB2312"/>
          <w:color w:val="auto"/>
          <w:spacing w:val="0"/>
          <w:sz w:val="32"/>
          <w:szCs w:val="32"/>
          <w:highlight w:val="none"/>
          <w:lang w:val="zh-CN" w:eastAsia="zh-CN"/>
        </w:rPr>
        <w:t>减少2.13万元，下降30.64%，主要原因是：日常用车次数减少而经费减少。其中：因公出国（境）费支出0.00万元，占0.00%，比上年增加0.00万元，增长0.00%，主要原因是：</w:t>
      </w:r>
      <w:r>
        <w:rPr>
          <w:rFonts w:hint="eastAsia" w:ascii="仿宋_GB2312" w:eastAsia="仿宋_GB2312"/>
          <w:color w:val="auto"/>
          <w:spacing w:val="0"/>
          <w:sz w:val="32"/>
          <w:szCs w:val="32"/>
          <w:highlight w:val="none"/>
          <w:lang w:val="en-US" w:eastAsia="zh-CN"/>
        </w:rPr>
        <w:t>本单位本年度无</w:t>
      </w:r>
      <w:r>
        <w:rPr>
          <w:rFonts w:hint="eastAsia" w:ascii="仿宋_GB2312" w:eastAsia="仿宋_GB2312"/>
          <w:color w:val="auto"/>
          <w:spacing w:val="0"/>
          <w:sz w:val="32"/>
          <w:szCs w:val="32"/>
          <w:highlight w:val="none"/>
          <w:lang w:val="zh-CN" w:eastAsia="zh-CN"/>
        </w:rPr>
        <w:t>因公出国（境）</w:t>
      </w:r>
      <w:r>
        <w:rPr>
          <w:rFonts w:hint="eastAsia" w:ascii="仿宋_GB2312" w:eastAsia="仿宋_GB2312"/>
          <w:color w:val="auto"/>
          <w:spacing w:val="0"/>
          <w:sz w:val="32"/>
          <w:szCs w:val="32"/>
          <w:highlight w:val="none"/>
          <w:lang w:val="en-US" w:eastAsia="zh-CN"/>
        </w:rPr>
        <w:t>费支出，与上年相比无变动</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公务用车购置及运行维护费支出4.82万元，占100.00%，比上年减少2.13万元，下降30.64%，主要原因是：日常用车次数减少而经费减少；公务接待费支出0.00万元，占0.00%，比上年增加0.00万元，增长0.00%，主要原因是：</w:t>
      </w:r>
      <w:r>
        <w:rPr>
          <w:rFonts w:hint="eastAsia" w:ascii="仿宋_GB2312" w:eastAsia="仿宋_GB2312"/>
          <w:color w:val="auto"/>
          <w:spacing w:val="0"/>
          <w:sz w:val="32"/>
          <w:szCs w:val="32"/>
          <w:highlight w:val="none"/>
          <w:lang w:val="en-US" w:eastAsia="zh-CN"/>
        </w:rPr>
        <w:t>本单位本年度无公务接待费支出，与上年相比无变动</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因公出国（境）费支出0.00万元，开支内容包括</w:t>
      </w:r>
      <w:r>
        <w:rPr>
          <w:rFonts w:hint="eastAsia" w:ascii="仿宋_GB2312" w:eastAsia="仿宋_GB2312"/>
          <w:color w:val="auto"/>
          <w:spacing w:val="0"/>
          <w:sz w:val="32"/>
          <w:szCs w:val="32"/>
          <w:highlight w:val="none"/>
          <w:lang w:val="en-US" w:eastAsia="zh-CN"/>
        </w:rPr>
        <w:t>本年未安排因公出国（境）费支出，无开支内容</w:t>
      </w:r>
      <w:r>
        <w:rPr>
          <w:rFonts w:hint="eastAsia" w:ascii="仿宋_GB2312" w:eastAsia="仿宋_GB2312"/>
          <w:color w:val="auto"/>
          <w:spacing w:val="0"/>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zh-CN" w:eastAsia="zh-CN"/>
        </w:rPr>
        <w:t>公务用车购置及运行维护费4.82万元，其中：公务用车购置费0.00万元，公务用车运行维护费4.82万元。公务用车运行维护费开支内容包括车辆保险缴费、车辆加油加气、车辆维修。公务用车购置数0辆，公务用车保有量6辆。国有资产占用情况</w:t>
      </w:r>
      <w:r>
        <w:rPr>
          <w:rFonts w:hint="eastAsia" w:ascii="仿宋_GB2312" w:eastAsia="仿宋_GB2312"/>
          <w:color w:val="auto"/>
          <w:spacing w:val="0"/>
          <w:sz w:val="32"/>
          <w:szCs w:val="32"/>
          <w:highlight w:val="none"/>
          <w:lang w:val="en-US" w:eastAsia="zh-CN"/>
        </w:rPr>
        <w:t>中固定资产车辆</w:t>
      </w:r>
      <w:r>
        <w:rPr>
          <w:rFonts w:hint="eastAsia" w:ascii="仿宋_GB2312" w:eastAsia="仿宋_GB2312"/>
          <w:color w:val="auto"/>
          <w:spacing w:val="0"/>
          <w:sz w:val="32"/>
          <w:szCs w:val="32"/>
          <w:highlight w:val="none"/>
          <w:lang w:val="zh-CN" w:eastAsia="zh-CN"/>
        </w:rPr>
        <w:t>6辆，</w:t>
      </w:r>
      <w:r>
        <w:rPr>
          <w:rFonts w:hint="eastAsia" w:ascii="仿宋_GB2312" w:eastAsia="仿宋_GB2312"/>
          <w:color w:val="auto"/>
          <w:spacing w:val="0"/>
          <w:sz w:val="32"/>
          <w:szCs w:val="32"/>
          <w:highlight w:val="none"/>
          <w:lang w:val="en-US" w:eastAsia="zh-CN"/>
        </w:rPr>
        <w:t>与</w:t>
      </w:r>
      <w:r>
        <w:rPr>
          <w:rFonts w:hint="eastAsia" w:ascii="仿宋_GB2312" w:eastAsia="仿宋_GB2312"/>
          <w:color w:val="auto"/>
          <w:spacing w:val="0"/>
          <w:sz w:val="32"/>
          <w:szCs w:val="32"/>
          <w:highlight w:val="none"/>
          <w:lang w:val="zh-CN" w:eastAsia="zh-CN"/>
        </w:rPr>
        <w:t>公务用车</w:t>
      </w:r>
      <w:r>
        <w:rPr>
          <w:rFonts w:hint="eastAsia" w:ascii="仿宋_GB2312" w:eastAsia="仿宋_GB2312"/>
          <w:color w:val="auto"/>
          <w:spacing w:val="0"/>
          <w:sz w:val="32"/>
          <w:szCs w:val="32"/>
          <w:highlight w:val="none"/>
          <w:lang w:val="en-US" w:eastAsia="zh-CN"/>
        </w:rPr>
        <w:t>保有量差异</w:t>
      </w:r>
      <w:r>
        <w:rPr>
          <w:rFonts w:hint="eastAsia" w:ascii="仿宋_GB2312" w:eastAsia="仿宋_GB2312"/>
          <w:color w:val="auto"/>
          <w:spacing w:val="0"/>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公务接待费0.00万元，</w:t>
      </w:r>
      <w:bookmarkStart w:id="18" w:name="OLE_LINK2"/>
      <w:r>
        <w:rPr>
          <w:rFonts w:hint="eastAsia" w:ascii="仿宋_GB2312" w:eastAsia="仿宋_GB2312"/>
          <w:color w:val="auto"/>
          <w:spacing w:val="0"/>
          <w:sz w:val="32"/>
          <w:szCs w:val="32"/>
          <w:highlight w:val="none"/>
          <w:lang w:val="en-US" w:eastAsia="zh-CN"/>
        </w:rPr>
        <w:t>本年未安排公务接待费支出，无开支内容</w:t>
      </w:r>
      <w:r>
        <w:rPr>
          <w:rFonts w:hint="eastAsia" w:ascii="仿宋_GB2312" w:eastAsia="仿宋_GB2312"/>
          <w:color w:val="auto"/>
          <w:spacing w:val="0"/>
          <w:sz w:val="32"/>
          <w:szCs w:val="32"/>
          <w:highlight w:val="none"/>
          <w:lang w:val="zh-CN" w:eastAsia="zh-CN"/>
        </w:rPr>
        <w:t>。</w:t>
      </w:r>
      <w:bookmarkEnd w:id="18"/>
      <w:r>
        <w:rPr>
          <w:rFonts w:hint="eastAsia" w:ascii="仿宋_GB2312" w:eastAsia="仿宋_GB2312"/>
          <w:color w:val="auto"/>
          <w:spacing w:val="0"/>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与</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财政拨款“三公”经费支出</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预算数4.82万元，决算数4.82万元，预决算差异率0.00%，主要原因是：</w:t>
      </w:r>
      <w:bookmarkStart w:id="19" w:name="OLE_LINK3"/>
      <w:r>
        <w:rPr>
          <w:rFonts w:hint="eastAsia" w:ascii="仿宋_GB2312" w:eastAsia="仿宋_GB2312"/>
          <w:color w:val="auto"/>
          <w:spacing w:val="0"/>
          <w:sz w:val="32"/>
          <w:szCs w:val="32"/>
          <w:highlight w:val="none"/>
          <w:lang w:val="en-US" w:eastAsia="zh-CN"/>
        </w:rPr>
        <w:t>认真贯彻落实中央八项规定</w:t>
      </w:r>
      <w:bookmarkStart w:id="50" w:name="_GoBack"/>
      <w:bookmarkEnd w:id="50"/>
      <w:r>
        <w:rPr>
          <w:rFonts w:hint="eastAsia" w:ascii="仿宋_GB2312" w:eastAsia="仿宋_GB2312"/>
          <w:color w:val="auto"/>
          <w:spacing w:val="0"/>
          <w:sz w:val="32"/>
          <w:szCs w:val="32"/>
          <w:highlight w:val="none"/>
          <w:lang w:val="en-US" w:eastAsia="zh-CN"/>
        </w:rPr>
        <w:t>精神和厉行节约要求，从严控制“三公”经费开支，预决算无差异</w:t>
      </w:r>
      <w:bookmarkEnd w:id="19"/>
      <w:r>
        <w:rPr>
          <w:rFonts w:hint="eastAsia" w:ascii="仿宋_GB2312" w:eastAsia="仿宋_GB2312"/>
          <w:color w:val="auto"/>
          <w:spacing w:val="0"/>
          <w:sz w:val="32"/>
          <w:szCs w:val="32"/>
          <w:highlight w:val="none"/>
          <w:lang w:val="zh-CN" w:eastAsia="zh-CN"/>
        </w:rPr>
        <w:t>。其中：因公出国（境）费</w:t>
      </w:r>
      <w:r>
        <w:rPr>
          <w:rFonts w:hint="eastAsia" w:ascii="仿宋_GB2312" w:eastAsia="仿宋_GB2312"/>
          <w:color w:val="auto"/>
          <w:spacing w:val="0"/>
          <w:sz w:val="32"/>
          <w:szCs w:val="32"/>
          <w:highlight w:val="none"/>
          <w:lang w:val="en-US" w:eastAsia="zh-CN"/>
        </w:rPr>
        <w:t>全年预算数</w:t>
      </w:r>
      <w:r>
        <w:rPr>
          <w:rFonts w:hint="eastAsia" w:ascii="仿宋_GB2312" w:eastAsia="仿宋_GB2312"/>
          <w:color w:val="auto"/>
          <w:spacing w:val="0"/>
          <w:sz w:val="32"/>
          <w:szCs w:val="32"/>
          <w:highlight w:val="none"/>
          <w:lang w:val="zh-CN" w:eastAsia="zh-CN"/>
        </w:rPr>
        <w:t>0.00万元，决算数0.00万元，预决算差异率0.00%，主要原因是：本年无因公出国（境）费支出，</w:t>
      </w:r>
      <w:r>
        <w:rPr>
          <w:rFonts w:hint="eastAsia" w:ascii="仿宋_GB2312" w:eastAsia="仿宋_GB2312"/>
          <w:color w:val="auto"/>
          <w:spacing w:val="0"/>
          <w:sz w:val="32"/>
          <w:szCs w:val="32"/>
          <w:highlight w:val="none"/>
          <w:lang w:val="en-US" w:eastAsia="zh-CN"/>
        </w:rPr>
        <w:t>预决算无差异</w:t>
      </w:r>
      <w:r>
        <w:rPr>
          <w:rFonts w:hint="eastAsia" w:ascii="仿宋_GB2312" w:eastAsia="仿宋_GB2312"/>
          <w:color w:val="auto"/>
          <w:spacing w:val="0"/>
          <w:sz w:val="32"/>
          <w:szCs w:val="32"/>
          <w:highlight w:val="none"/>
          <w:lang w:val="zh-CN" w:eastAsia="zh-CN"/>
        </w:rPr>
        <w:t>；公务用车购置费</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val="en-US" w:eastAsia="zh-CN"/>
        </w:rPr>
        <w:t>本年无公务用车购置费支出，无开支内容</w:t>
      </w:r>
      <w:r>
        <w:rPr>
          <w:rFonts w:hint="eastAsia" w:ascii="仿宋_GB2312" w:eastAsia="仿宋_GB2312"/>
          <w:color w:val="auto"/>
          <w:spacing w:val="0"/>
          <w:sz w:val="32"/>
          <w:szCs w:val="32"/>
          <w:highlight w:val="none"/>
          <w:lang w:val="zh-CN" w:eastAsia="zh-CN"/>
        </w:rPr>
        <w:t>；公务用车运行费</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预算数4.82万元，决算数4.82万元，预决算差异率0.00%，主要原因是：</w:t>
      </w:r>
      <w:r>
        <w:rPr>
          <w:rFonts w:hint="eastAsia" w:ascii="仿宋_GB2312" w:eastAsia="仿宋_GB2312"/>
          <w:color w:val="auto"/>
          <w:spacing w:val="0"/>
          <w:sz w:val="32"/>
          <w:szCs w:val="32"/>
          <w:highlight w:val="none"/>
          <w:lang w:val="en-US" w:eastAsia="zh-CN"/>
        </w:rPr>
        <w:t>从严控制“三公”经费开支，预决算无差异</w:t>
      </w:r>
      <w:r>
        <w:rPr>
          <w:rFonts w:hint="eastAsia" w:ascii="仿宋_GB2312" w:eastAsia="仿宋_GB2312"/>
          <w:color w:val="auto"/>
          <w:spacing w:val="0"/>
          <w:sz w:val="32"/>
          <w:szCs w:val="32"/>
          <w:highlight w:val="none"/>
          <w:lang w:val="zh-CN" w:eastAsia="zh-CN"/>
        </w:rPr>
        <w:t>；公务接待费</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val="en-US" w:eastAsia="zh-CN"/>
        </w:rPr>
        <w:t>本年无</w:t>
      </w:r>
      <w:r>
        <w:rPr>
          <w:rFonts w:hint="eastAsia" w:ascii="仿宋_GB2312" w:eastAsia="仿宋_GB2312"/>
          <w:color w:val="auto"/>
          <w:spacing w:val="0"/>
          <w:sz w:val="32"/>
          <w:szCs w:val="32"/>
          <w:highlight w:val="none"/>
          <w:lang w:val="zh-CN" w:eastAsia="zh-CN"/>
        </w:rPr>
        <w:t>公务接待</w:t>
      </w:r>
      <w:r>
        <w:rPr>
          <w:rFonts w:hint="eastAsia" w:ascii="仿宋_GB2312" w:eastAsia="仿宋_GB2312"/>
          <w:color w:val="auto"/>
          <w:spacing w:val="0"/>
          <w:sz w:val="32"/>
          <w:szCs w:val="32"/>
          <w:highlight w:val="none"/>
          <w:lang w:val="en-US" w:eastAsia="zh-CN"/>
        </w:rPr>
        <w:t>费支出，无开支内容预决算无差异</w:t>
      </w:r>
      <w:r>
        <w:rPr>
          <w:rFonts w:hint="eastAsia" w:ascii="仿宋_GB2312" w:eastAsia="仿宋_GB2312"/>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927"/>
      <w:bookmarkStart w:id="21"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总计14.00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本年收入14.00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总计14.00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本年支出14.00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与上年相比，增加14.00万元，增长</w:t>
      </w:r>
      <w:r>
        <w:rPr>
          <w:rFonts w:hint="eastAsia"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val="zh-CN"/>
        </w:rPr>
        <w:t>0.00%，</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zh-CN" w:eastAsia="zh-CN"/>
        </w:rPr>
        <w:t>本</w:t>
      </w:r>
      <w:r>
        <w:rPr>
          <w:rFonts w:hint="eastAsia" w:ascii="Times New Roman" w:hAnsi="Times New Roman" w:eastAsia="方正仿宋_GBK" w:cs="Times New Roman"/>
          <w:bCs/>
          <w:kern w:val="0"/>
          <w:sz w:val="31"/>
          <w:szCs w:val="31"/>
          <w:highlight w:val="none"/>
          <w:lang w:val="zh-CN" w:eastAsia="zh-CN" w:bidi="ar-SA"/>
        </w:rPr>
        <w:t>年度偿还以前年度设备款</w:t>
      </w:r>
      <w:r>
        <w:rPr>
          <w:rFonts w:hint="eastAsia" w:eastAsia="方正仿宋_GBK" w:cs="Times New Roman"/>
          <w:bCs/>
          <w:kern w:val="0"/>
          <w:sz w:val="31"/>
          <w:szCs w:val="31"/>
          <w:highlight w:val="none"/>
          <w:lang w:val="en-US" w:eastAsia="zh-CN" w:bidi="ar-SA"/>
        </w:rPr>
        <w:t>14</w:t>
      </w:r>
      <w:r>
        <w:rPr>
          <w:rFonts w:hint="eastAsia" w:ascii="Times New Roman" w:hAnsi="Times New Roman" w:eastAsia="方正仿宋_GBK" w:cs="Times New Roman"/>
          <w:bCs/>
          <w:kern w:val="0"/>
          <w:sz w:val="31"/>
          <w:szCs w:val="31"/>
          <w:highlight w:val="none"/>
          <w:lang w:val="en-US" w:eastAsia="zh-CN" w:bidi="ar-SA"/>
        </w:rPr>
        <w:t>万元。</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14.00</w:t>
      </w:r>
      <w:r>
        <w:rPr>
          <w:rFonts w:hint="eastAsia" w:ascii="Times New Roman" w:hAnsi="Times New Roman" w:eastAsia="仿宋_GB2312" w:cs="Times New Roman"/>
          <w:color w:val="auto"/>
          <w:sz w:val="32"/>
          <w:szCs w:val="32"/>
          <w:highlight w:val="none"/>
          <w:lang w:val="zh-CN"/>
        </w:rPr>
        <w:t>万元，预决算差异率</w:t>
      </w:r>
      <w:r>
        <w:rPr>
          <w:rFonts w:hint="eastAsia"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val="zh-CN" w:eastAsia="zh-CN"/>
        </w:rPr>
        <w:t>0.00%，主要原因是：年初预算时未安排此项预算，后期科目调剂增加此项预算。</w:t>
      </w:r>
    </w:p>
    <w:p>
      <w:pPr>
        <w:keepNext w:val="0"/>
        <w:keepLines w:val="0"/>
        <w:pageBreakBefore w:val="0"/>
        <w:widowControl w:val="0"/>
        <w:kinsoku/>
        <w:wordWrap/>
        <w:overflowPunct/>
        <w:topLinePunct w:val="0"/>
        <w:autoSpaceDE/>
        <w:autoSpaceDN/>
        <w:bidi w:val="0"/>
        <w:adjustRightInd/>
        <w:snapToGrid/>
        <w:spacing w:line="240" w:lineRule="auto"/>
        <w:ind w:firstLine="960" w:firstLineChars="3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14.00</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bCs/>
          <w:kern w:val="0"/>
          <w:sz w:val="31"/>
          <w:szCs w:val="31"/>
          <w:highlight w:val="none"/>
          <w:lang w:val="en-US" w:eastAsia="zh-CN" w:bidi="ar-SA"/>
        </w:rPr>
      </w:pPr>
      <w:r>
        <w:rPr>
          <w:rFonts w:hint="eastAsia" w:ascii="Times New Roman" w:hAnsi="Times New Roman" w:eastAsia="仿宋_GB2312" w:cs="Times New Roman"/>
          <w:color w:val="auto"/>
          <w:sz w:val="32"/>
          <w:szCs w:val="32"/>
          <w:highlight w:val="none"/>
          <w:lang w:val="zh-CN"/>
        </w:rPr>
        <w:t>城乡社区支出（类）国有土地使用权出让收入安排的支出（款）其他国有土地使用权出让收入安排的支出（项）:支出决算数为14.00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14.00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zh-CN" w:eastAsia="zh-CN"/>
        </w:rPr>
        <w:t>本</w:t>
      </w:r>
      <w:r>
        <w:rPr>
          <w:rFonts w:hint="eastAsia" w:ascii="Times New Roman" w:hAnsi="Times New Roman" w:eastAsia="方正仿宋_GBK" w:cs="Times New Roman"/>
          <w:bCs/>
          <w:kern w:val="0"/>
          <w:sz w:val="31"/>
          <w:szCs w:val="31"/>
          <w:highlight w:val="none"/>
          <w:lang w:val="zh-CN" w:eastAsia="zh-CN" w:bidi="ar-SA"/>
        </w:rPr>
        <w:t>年度偿还以前年度设备款</w:t>
      </w:r>
      <w:r>
        <w:rPr>
          <w:rFonts w:hint="eastAsia" w:eastAsia="方正仿宋_GBK" w:cs="Times New Roman"/>
          <w:bCs/>
          <w:kern w:val="0"/>
          <w:sz w:val="31"/>
          <w:szCs w:val="31"/>
          <w:highlight w:val="none"/>
          <w:lang w:val="en-US" w:eastAsia="zh-CN" w:bidi="ar-SA"/>
        </w:rPr>
        <w:t>14</w:t>
      </w:r>
      <w:r>
        <w:rPr>
          <w:rFonts w:hint="eastAsia" w:ascii="Times New Roman" w:hAnsi="Times New Roman" w:eastAsia="方正仿宋_GBK" w:cs="Times New Roman"/>
          <w:bCs/>
          <w:kern w:val="0"/>
          <w:sz w:val="31"/>
          <w:szCs w:val="31"/>
          <w:highlight w:val="none"/>
          <w:lang w:val="en-US" w:eastAsia="zh-CN" w:bidi="ar-SA"/>
        </w:rPr>
        <w:t>万元。</w:t>
      </w:r>
    </w:p>
    <w:p>
      <w:pPr>
        <w:pStyle w:val="2"/>
        <w:numPr>
          <w:ilvl w:val="0"/>
          <w:numId w:val="0"/>
        </w:numPr>
        <w:rPr>
          <w:rFonts w:hint="default"/>
          <w:lang w:val="en-US" w:eastAsia="zh-CN"/>
        </w:rPr>
      </w:pPr>
      <w:r>
        <w:rPr>
          <w:rFonts w:hint="eastAsia" w:ascii="Times New Roman" w:hAnsi="Times New Roman" w:eastAsia="方正仿宋_GBK" w:cs="Times New Roman"/>
          <w:b w:val="0"/>
          <w:bCs w:val="0"/>
          <w:kern w:val="0"/>
          <w:sz w:val="31"/>
          <w:szCs w:val="31"/>
          <w:highlight w:val="none"/>
          <w:lang w:val="en-US" w:eastAsia="zh-CN" w:bidi="ar-SA"/>
        </w:rPr>
        <w:t>2120899其他国有土地使用权出让收入安排的支出6万元</w:t>
      </w:r>
      <w:r>
        <w:rPr>
          <w:rFonts w:hint="eastAsia" w:ascii="Times New Roman" w:hAnsi="Times New Roman" w:eastAsia="方正仿宋_GBK" w:cs="Times New Roman"/>
          <w:bCs/>
          <w:kern w:val="0"/>
          <w:sz w:val="31"/>
          <w:szCs w:val="31"/>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FF0000"/>
          <w:sz w:val="32"/>
          <w:szCs w:val="32"/>
          <w:highlight w:val="none"/>
          <w:lang w:val="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w:t>
      </w:r>
      <w:r>
        <w:rPr>
          <w:rFonts w:hint="eastAsia" w:ascii="Times New Roman" w:hAnsi="Times New Roman" w:eastAsia="仿宋_GB2312" w:cs="Times New Roman"/>
          <w:color w:val="FF0000"/>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总计78.74</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78.74万元。国有资本经营预算财政拨款支出</w:t>
      </w:r>
      <w:r>
        <w:rPr>
          <w:rFonts w:hint="eastAsia" w:ascii="Times New Roman" w:hAnsi="Times New Roman" w:eastAsia="仿宋_GB2312" w:cs="Times New Roman"/>
          <w:color w:val="auto"/>
          <w:sz w:val="32"/>
          <w:szCs w:val="32"/>
          <w:highlight w:val="none"/>
          <w:lang w:val="en-US" w:eastAsia="zh-CN"/>
        </w:rPr>
        <w:t>总计78.74</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78.74万元。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bCs/>
          <w:kern w:val="0"/>
          <w:sz w:val="31"/>
          <w:szCs w:val="31"/>
          <w:highlight w:val="none"/>
          <w:lang w:val="zh-CN" w:eastAsia="zh-CN" w:bidi="ar-SA"/>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与上年相比，增加78.74万元，增长100.00%，主要原因是：</w:t>
      </w:r>
      <w:r>
        <w:rPr>
          <w:rFonts w:hint="eastAsia" w:eastAsia="仿宋_GB2312" w:cs="Times New Roman"/>
          <w:color w:val="auto"/>
          <w:sz w:val="32"/>
          <w:szCs w:val="32"/>
          <w:highlight w:val="none"/>
          <w:lang w:val="zh-CN" w:eastAsia="zh-CN"/>
        </w:rPr>
        <w:t>上年度无此项支出</w:t>
      </w:r>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95.41</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78.74</w:t>
      </w:r>
      <w:r>
        <w:rPr>
          <w:rFonts w:hint="eastAsia" w:ascii="Times New Roman" w:hAnsi="Times New Roman" w:eastAsia="仿宋_GB2312" w:cs="Times New Roman"/>
          <w:color w:val="auto"/>
          <w:sz w:val="32"/>
          <w:szCs w:val="32"/>
          <w:highlight w:val="none"/>
          <w:lang w:val="zh-CN" w:eastAsia="zh-CN"/>
        </w:rPr>
        <w:t>万元，预决算差异率-17.48%，主要原因是：</w:t>
      </w:r>
      <w:r>
        <w:rPr>
          <w:rFonts w:hint="eastAsia" w:ascii="Times New Roman" w:hAnsi="Times New Roman" w:eastAsia="方正仿宋_GBK" w:cs="Times New Roman"/>
          <w:bCs/>
          <w:kern w:val="0"/>
          <w:sz w:val="31"/>
          <w:szCs w:val="31"/>
          <w:highlight w:val="none"/>
          <w:lang w:val="en-US" w:eastAsia="zh-CN" w:bidi="ar-SA"/>
        </w:rPr>
        <w:t>根据中央八项规定，厉行节约，严格控制运转经费支出</w:t>
      </w:r>
      <w:r>
        <w:rPr>
          <w:rFonts w:hint="eastAsia" w:ascii="Times New Roman" w:hAnsi="Times New Roman" w:eastAsia="方正仿宋_GBK" w:cs="Times New Roman"/>
          <w:bCs/>
          <w:kern w:val="0"/>
          <w:sz w:val="31"/>
          <w:szCs w:val="31"/>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78.74</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1.国有资本经营预算支出（类）解决历史遗留问题及改革成本支出（款）国有企业退休人员社会化管理补助支出（项）:支出决算数为78.74</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78.74</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ascii="Times New Roman" w:hAnsi="Times New Roman" w:eastAsia="方正仿宋_GBK" w:cs="Times New Roman"/>
          <w:bCs/>
          <w:kern w:val="0"/>
          <w:sz w:val="31"/>
          <w:szCs w:val="31"/>
          <w:highlight w:val="none"/>
          <w:lang w:val="en-US" w:eastAsia="zh-CN" w:bidi="ar-SA"/>
        </w:rPr>
        <w:t>上年度未安排此科目预算</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2" w:name="_Toc1235"/>
      <w:bookmarkStart w:id="23"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4" w:name="_Toc13105"/>
      <w:bookmarkStart w:id="25"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pPr>
        <w:spacing w:line="560" w:lineRule="exact"/>
        <w:ind w:firstLine="640" w:firstLineChars="200"/>
        <w:rPr>
          <w:rFonts w:hint="eastAsia" w:ascii="Times New Roman" w:hAnsi="Times New Roman" w:eastAsia="仿宋_GB2312" w:cs="Times New Roman"/>
          <w:color w:val="auto"/>
          <w:sz w:val="32"/>
          <w:szCs w:val="32"/>
          <w:highlight w:val="none"/>
          <w:lang w:val="zh-CN" w:eastAsia="zh-CN"/>
        </w:rPr>
      </w:pPr>
      <w:bookmarkStart w:id="26" w:name="_Toc26704"/>
      <w:bookmarkStart w:id="27"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库尔勒市新城街道办事处（行政单位和参照公务员法管理事业单位）机关运行经费支出75.66万元，比上年减少92.08万元，下降54.90%，主要原因是：</w:t>
      </w:r>
      <w:r>
        <w:rPr>
          <w:rFonts w:hint="eastAsia" w:ascii="方正仿宋_GBK" w:hAnsi="方正仿宋_GBK" w:eastAsia="方正仿宋_GBK" w:cs="方正仿宋_GBK"/>
          <w:bCs/>
          <w:kern w:val="0"/>
          <w:sz w:val="31"/>
          <w:szCs w:val="31"/>
        </w:rPr>
        <w:t>2022年因下半年疫情原因，支付疫情物资费用及疫情期间食堂费用，保障运转支出增加，本年无疫情物资费用及疫情期间食堂费，经费减少。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6.11万元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其中：政府采购货物支出4.29万元、政府采购工程支出0.00万元、政府采购服务支出1.82万元。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授予中小企业合同金额5.83万元，占政府采购支出总额的95.</w:t>
      </w:r>
      <w:r>
        <w:rPr>
          <w:rFonts w:hint="eastAsia" w:eastAsia="仿宋_GB2312" w:cs="Times New Roman"/>
          <w:color w:val="auto"/>
          <w:sz w:val="32"/>
          <w:szCs w:val="32"/>
          <w:highlight w:val="none"/>
          <w:lang w:val="en-US" w:eastAsia="zh-CN"/>
        </w:rPr>
        <w:t>42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，其中：授予小微企业合同金额3.30万元，占政府采购支出总额的5</w:t>
      </w:r>
      <w:r>
        <w:rPr>
          <w:rFonts w:hint="eastAsia" w:eastAsia="仿宋_GB2312" w:cs="Times New Roman"/>
          <w:color w:val="auto"/>
          <w:sz w:val="32"/>
          <w:szCs w:val="32"/>
          <w:highlight w:val="none"/>
          <w:lang w:val="en-US" w:eastAsia="zh-CN"/>
        </w:rPr>
        <w:t>4.01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8" w:name="_Toc8391"/>
      <w:bookmarkStart w:id="29" w:name="_Toc4591"/>
      <w:r>
        <w:rPr>
          <w:rFonts w:hint="eastAsia" w:ascii="Times New Roman" w:hAnsi="Times New Roman" w:eastAsia="黑体" w:cs="Times New Roman"/>
          <w:color w:val="auto"/>
          <w:sz w:val="32"/>
          <w:szCs w:val="30"/>
          <w:highlight w:val="none"/>
          <w:lang w:val="zh-CN" w:eastAsia="zh-CN"/>
        </w:rPr>
        <w:t>（三）国有资产占用情况说明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1,222.46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屋5074.3平方米，价值710.39万元。车辆6辆，价值30.35万元，其中：副部（省）级及以上领导用车0辆、主要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用车0辆、机要通信用车0辆、应急保障用车1辆、执法执勤用车4辆、特种专业技术用车0辆、离退休干部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en-US" w:eastAsia="zh-CN"/>
        </w:rPr>
        <w:t>1辆巡逻车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0" w:name="_Toc11283"/>
      <w:bookmarkStart w:id="31"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预算总额2176.31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实际执行总额2134.27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全年预算数173.31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全年执行数83.43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预算绩效管理取得的成效：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2" w:name="_Toc24143"/>
      <w:bookmarkStart w:id="33"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2"/>
      <w:bookmarkEnd w:id="33"/>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6062"/>
      <w:bookmarkStart w:id="35" w:name="_Toc2183"/>
      <w:r>
        <w:rPr>
          <w:rFonts w:hint="eastAsia" w:ascii="黑体" w:hAnsi="黑体" w:eastAsia="仿宋_GB2312" w:cs="宋体"/>
          <w:bCs/>
          <w:color w:val="auto"/>
          <w:kern w:val="0"/>
          <w:sz w:val="32"/>
          <w:szCs w:val="32"/>
          <w:highlight w:val="none"/>
        </w:rPr>
        <w:t>一、《收入支出决算总表》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4532"/>
      <w:bookmarkStart w:id="37" w:name="_Toc30364"/>
      <w:r>
        <w:rPr>
          <w:rFonts w:hint="eastAsia" w:ascii="黑体" w:hAnsi="黑体" w:eastAsia="仿宋_GB2312" w:cs="宋体"/>
          <w:bCs/>
          <w:color w:val="auto"/>
          <w:kern w:val="0"/>
          <w:sz w:val="32"/>
          <w:szCs w:val="32"/>
          <w:highlight w:val="none"/>
        </w:rPr>
        <w:t>二、《收入决算表》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1304"/>
      <w:bookmarkStart w:id="39" w:name="_Toc32434"/>
      <w:r>
        <w:rPr>
          <w:rFonts w:hint="eastAsia" w:ascii="黑体" w:hAnsi="黑体" w:eastAsia="仿宋_GB2312" w:cs="宋体"/>
          <w:bCs/>
          <w:color w:val="auto"/>
          <w:kern w:val="0"/>
          <w:sz w:val="32"/>
          <w:szCs w:val="32"/>
          <w:highlight w:val="none"/>
        </w:rPr>
        <w:t>三、《支出决算表》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238"/>
      <w:bookmarkStart w:id="41" w:name="_Toc28786"/>
      <w:r>
        <w:rPr>
          <w:rFonts w:hint="eastAsia" w:ascii="黑体" w:hAnsi="黑体" w:eastAsia="仿宋_GB2312" w:cs="宋体"/>
          <w:bCs/>
          <w:color w:val="auto"/>
          <w:kern w:val="0"/>
          <w:sz w:val="32"/>
          <w:szCs w:val="32"/>
          <w:highlight w:val="none"/>
        </w:rPr>
        <w:t>四、《财政拨款收入支出决算总表》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14869"/>
      <w:bookmarkStart w:id="43" w:name="_Toc10347"/>
      <w:r>
        <w:rPr>
          <w:rFonts w:hint="eastAsia" w:ascii="黑体" w:hAnsi="黑体" w:eastAsia="仿宋_GB2312" w:cs="宋体"/>
          <w:bCs/>
          <w:color w:val="auto"/>
          <w:kern w:val="0"/>
          <w:sz w:val="32"/>
          <w:szCs w:val="32"/>
          <w:highlight w:val="none"/>
        </w:rPr>
        <w:t>五、《一般公共预算财政拨款支出决算表》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4" w:name="_Toc8884"/>
      <w:bookmarkStart w:id="45" w:name="_Toc5626"/>
      <w:r>
        <w:rPr>
          <w:rFonts w:hint="eastAsia" w:ascii="黑体" w:hAnsi="黑体" w:eastAsia="仿宋_GB2312" w:cs="宋体"/>
          <w:bCs/>
          <w:color w:val="auto"/>
          <w:kern w:val="0"/>
          <w:sz w:val="32"/>
          <w:szCs w:val="32"/>
          <w:highlight w:val="none"/>
        </w:rPr>
        <w:t>六、《一般公共预算财政拨款基本支出决算表》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6" w:name="_Toc32663"/>
      <w:bookmarkStart w:id="47" w:name="_Toc29106"/>
      <w:r>
        <w:rPr>
          <w:rFonts w:hint="eastAsia" w:ascii="黑体" w:hAnsi="黑体" w:eastAsia="仿宋_GB2312" w:cs="宋体"/>
          <w:bCs/>
          <w:color w:val="auto"/>
          <w:kern w:val="0"/>
          <w:sz w:val="32"/>
          <w:szCs w:val="32"/>
          <w:highlight w:val="none"/>
        </w:rPr>
        <w:t>《财政拨款“三公”经费支出决算表》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8" w:name="_Toc7643"/>
      <w:bookmarkStart w:id="49" w:name="_Toc5453"/>
      <w:r>
        <w:rPr>
          <w:rFonts w:hint="eastAsia" w:ascii="黑体" w:hAnsi="黑体" w:eastAsia="仿宋_GB2312" w:cs="宋体"/>
          <w:bCs/>
          <w:color w:val="auto"/>
          <w:kern w:val="0"/>
          <w:sz w:val="32"/>
          <w:szCs w:val="32"/>
          <w:highlight w:val="none"/>
        </w:rPr>
        <w:t>八、《政府性基金预算财政拨款收入支出决算表》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pPr>
      <w:r>
        <w:drawing>
          <wp:inline distT="0" distB="0" distL="114300" distR="114300">
            <wp:extent cx="5274310" cy="8218805"/>
            <wp:effectExtent l="0" t="0" r="2540" b="10795"/>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5"/>
                    <a:stretch>
                      <a:fillRect/>
                    </a:stretch>
                  </pic:blipFill>
                  <pic:spPr>
                    <a:xfrm>
                      <a:off x="0" y="0"/>
                      <a:ext cx="5274310" cy="8218805"/>
                    </a:xfrm>
                    <a:prstGeom prst="rect">
                      <a:avLst/>
                    </a:prstGeom>
                    <a:noFill/>
                    <a:ln>
                      <a:noFill/>
                    </a:ln>
                  </pic:spPr>
                </pic:pic>
              </a:graphicData>
            </a:graphic>
          </wp:inline>
        </w:drawing>
      </w:r>
    </w:p>
    <w:p>
      <w:pPr>
        <w:pStyle w:val="2"/>
      </w:pPr>
    </w:p>
    <w:p>
      <w:pPr>
        <w:pStyle w:val="2"/>
      </w:pPr>
      <w:r>
        <w:drawing>
          <wp:inline distT="0" distB="0" distL="114300" distR="114300">
            <wp:extent cx="5274310" cy="8366125"/>
            <wp:effectExtent l="0" t="0" r="2540" b="15875"/>
            <wp:docPr id="4" name="图片 2"/>
            <wp:cNvGraphicFramePr/>
            <a:graphic xmlns:a="http://schemas.openxmlformats.org/drawingml/2006/main">
              <a:graphicData uri="http://schemas.openxmlformats.org/drawingml/2006/picture">
                <pic:pic xmlns:pic="http://schemas.openxmlformats.org/drawingml/2006/picture">
                  <pic:nvPicPr>
                    <pic:cNvPr id="4" name="图片 2"/>
                    <pic:cNvPicPr/>
                  </pic:nvPicPr>
                  <pic:blipFill>
                    <a:blip r:embed="rId6"/>
                    <a:stretch>
                      <a:fillRect/>
                    </a:stretch>
                  </pic:blipFill>
                  <pic:spPr>
                    <a:xfrm>
                      <a:off x="0" y="0"/>
                      <a:ext cx="5274310" cy="8366125"/>
                    </a:xfrm>
                    <a:prstGeom prst="rect">
                      <a:avLst/>
                    </a:prstGeom>
                    <a:noFill/>
                    <a:ln>
                      <a:noFill/>
                    </a:ln>
                  </pic:spPr>
                </pic:pic>
              </a:graphicData>
            </a:graphic>
          </wp:inline>
        </w:drawing>
      </w:r>
    </w:p>
    <w:p>
      <w:pPr>
        <w:pStyle w:val="2"/>
      </w:pPr>
      <w:r>
        <w:drawing>
          <wp:inline distT="0" distB="0" distL="114300" distR="114300">
            <wp:extent cx="5265420" cy="8258175"/>
            <wp:effectExtent l="0" t="0" r="11430" b="9525"/>
            <wp:docPr id="5" name="图片 3"/>
            <wp:cNvGraphicFramePr/>
            <a:graphic xmlns:a="http://schemas.openxmlformats.org/drawingml/2006/main">
              <a:graphicData uri="http://schemas.openxmlformats.org/drawingml/2006/picture">
                <pic:pic xmlns:pic="http://schemas.openxmlformats.org/drawingml/2006/picture">
                  <pic:nvPicPr>
                    <pic:cNvPr id="5" name="图片 3"/>
                    <pic:cNvPicPr/>
                  </pic:nvPicPr>
                  <pic:blipFill>
                    <a:blip r:embed="rId7"/>
                    <a:stretch>
                      <a:fillRect/>
                    </a:stretch>
                  </pic:blipFill>
                  <pic:spPr>
                    <a:xfrm>
                      <a:off x="0" y="0"/>
                      <a:ext cx="5265420" cy="8258175"/>
                    </a:xfrm>
                    <a:prstGeom prst="rect">
                      <a:avLst/>
                    </a:prstGeom>
                    <a:noFill/>
                    <a:ln>
                      <a:noFill/>
                    </a:ln>
                  </pic:spPr>
                </pic:pic>
              </a:graphicData>
            </a:graphic>
          </wp:inline>
        </w:drawing>
      </w:r>
    </w:p>
    <w:p>
      <w:pPr>
        <w:pStyle w:val="2"/>
      </w:pPr>
    </w:p>
    <w:p>
      <w:pPr>
        <w:pStyle w:val="2"/>
        <w:rPr>
          <w:rFonts w:hint="eastAsia" w:ascii="黑体" w:hAnsi="黑体" w:eastAsia="黑体" w:cs="宋体"/>
          <w:bCs/>
          <w:color w:val="auto"/>
          <w:kern w:val="0"/>
          <w:sz w:val="32"/>
          <w:szCs w:val="32"/>
          <w:highlight w:val="none"/>
          <w:lang w:eastAsia="zh-CN"/>
        </w:rPr>
      </w:pPr>
      <w:r>
        <w:drawing>
          <wp:inline distT="0" distB="0" distL="114300" distR="114300">
            <wp:extent cx="5267325" cy="8046085"/>
            <wp:effectExtent l="0" t="0" r="9525" b="12065"/>
            <wp:docPr id="6" name="图片 4"/>
            <wp:cNvGraphicFramePr/>
            <a:graphic xmlns:a="http://schemas.openxmlformats.org/drawingml/2006/main">
              <a:graphicData uri="http://schemas.openxmlformats.org/drawingml/2006/picture">
                <pic:pic xmlns:pic="http://schemas.openxmlformats.org/drawingml/2006/picture">
                  <pic:nvPicPr>
                    <pic:cNvPr id="6" name="图片 4"/>
                    <pic:cNvPicPr/>
                  </pic:nvPicPr>
                  <pic:blipFill>
                    <a:blip r:embed="rId8"/>
                    <a:stretch>
                      <a:fillRect/>
                    </a:stretch>
                  </pic:blipFill>
                  <pic:spPr>
                    <a:xfrm>
                      <a:off x="0" y="0"/>
                      <a:ext cx="5267325" cy="8046085"/>
                    </a:xfrm>
                    <a:prstGeom prst="rect">
                      <a:avLst/>
                    </a:prstGeom>
                    <a:noFill/>
                    <a:ln>
                      <a:noFill/>
                    </a:ln>
                  </pic:spPr>
                </pic:pic>
              </a:graphicData>
            </a:graphic>
          </wp:inline>
        </w:drawing>
      </w: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r>
        <w:drawing>
          <wp:inline distT="0" distB="0" distL="114300" distR="114300">
            <wp:extent cx="5268595" cy="7890510"/>
            <wp:effectExtent l="0" t="0" r="8255" b="1524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9"/>
                    <a:stretch>
                      <a:fillRect/>
                    </a:stretch>
                  </pic:blipFill>
                  <pic:spPr>
                    <a:xfrm>
                      <a:off x="0" y="0"/>
                      <a:ext cx="5268595" cy="7890510"/>
                    </a:xfrm>
                    <a:prstGeom prst="rect">
                      <a:avLst/>
                    </a:prstGeom>
                    <a:noFill/>
                    <a:ln>
                      <a:noFill/>
                    </a:ln>
                  </pic:spPr>
                </pic:pic>
              </a:graphicData>
            </a:graphic>
          </wp:inline>
        </w:drawing>
      </w:r>
    </w:p>
    <w:p>
      <w:pPr>
        <w:pStyle w:val="2"/>
        <w:rPr>
          <w:rFonts w:hint="eastAsia" w:ascii="黑体" w:hAnsi="黑体" w:eastAsia="黑体" w:cs="宋体"/>
          <w:bCs/>
          <w:color w:val="auto"/>
          <w:kern w:val="0"/>
          <w:sz w:val="32"/>
          <w:szCs w:val="32"/>
          <w:highlight w:val="none"/>
          <w:lang w:eastAsia="zh-CN"/>
        </w:rPr>
      </w:pPr>
    </w:p>
    <w:p>
      <w:pPr>
        <w:pStyle w:val="2"/>
        <w:sectPr>
          <w:footerReference r:id="rId3" w:type="default"/>
          <w:pgSz w:w="11906" w:h="16838"/>
          <w:pgMar w:top="1440" w:right="1800" w:bottom="1440" w:left="1800" w:header="851" w:footer="992" w:gutter="0"/>
          <w:cols w:space="720" w:num="1"/>
          <w:docGrid w:type="lines" w:linePitch="312" w:charSpace="0"/>
        </w:sectPr>
      </w:pPr>
    </w:p>
    <w:p>
      <w:pPr>
        <w:pStyle w:val="2"/>
        <w:sectPr>
          <w:pgSz w:w="11906" w:h="16838"/>
          <w:pgMar w:top="1440" w:right="1800" w:bottom="1440" w:left="1800" w:header="851" w:footer="992" w:gutter="0"/>
          <w:cols w:space="720" w:num="1"/>
          <w:docGrid w:type="lines" w:linePitch="312" w:charSpace="0"/>
        </w:sectPr>
      </w:pPr>
      <w:r>
        <w:drawing>
          <wp:inline distT="0" distB="0" distL="114300" distR="114300">
            <wp:extent cx="5266690" cy="8067675"/>
            <wp:effectExtent l="0" t="0" r="10160" b="9525"/>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0"/>
                    <a:stretch>
                      <a:fillRect/>
                    </a:stretch>
                  </pic:blipFill>
                  <pic:spPr>
                    <a:xfrm>
                      <a:off x="0" y="0"/>
                      <a:ext cx="5266690" cy="8067675"/>
                    </a:xfrm>
                    <a:prstGeom prst="rect">
                      <a:avLst/>
                    </a:prstGeom>
                    <a:noFill/>
                    <a:ln>
                      <a:noFill/>
                    </a:ln>
                  </pic:spPr>
                </pic:pic>
              </a:graphicData>
            </a:graphic>
          </wp:inline>
        </w:drawing>
      </w: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pStyle w:val="2"/>
      </w:pPr>
      <w:r>
        <w:drawing>
          <wp:inline distT="0" distB="0" distL="114300" distR="114300">
            <wp:extent cx="5264150" cy="3946525"/>
            <wp:effectExtent l="0" t="0" r="12700" b="15875"/>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5264150" cy="3946525"/>
                    </a:xfrm>
                    <a:prstGeom prst="rect">
                      <a:avLst/>
                    </a:prstGeom>
                    <a:noFill/>
                    <a:ln>
                      <a:noFill/>
                    </a:ln>
                  </pic:spPr>
                </pic:pic>
              </a:graphicData>
            </a:graphic>
          </wp:inline>
        </w:drawing>
      </w:r>
    </w:p>
    <w:p/>
    <w:p>
      <w:pPr>
        <w:pStyle w:val="2"/>
      </w:pPr>
    </w:p>
    <w:p/>
    <w:p>
      <w:pPr>
        <w:pStyle w:val="2"/>
        <w:rPr>
          <w:rFonts w:hint="eastAsia"/>
          <w:lang w:eastAsia="zh-CN"/>
        </w:rPr>
      </w:pPr>
      <w:r>
        <w:drawing>
          <wp:inline distT="0" distB="0" distL="114300" distR="114300">
            <wp:extent cx="5271135" cy="4119245"/>
            <wp:effectExtent l="0" t="0" r="5715" b="1460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2"/>
                    <a:stretch>
                      <a:fillRect/>
                    </a:stretch>
                  </pic:blipFill>
                  <pic:spPr>
                    <a:xfrm>
                      <a:off x="0" y="0"/>
                      <a:ext cx="5271135" cy="4119245"/>
                    </a:xfrm>
                    <a:prstGeom prst="rect">
                      <a:avLst/>
                    </a:prstGeom>
                    <a:noFill/>
                    <a:ln>
                      <a:noFill/>
                    </a:ln>
                  </pic:spPr>
                </pic:pic>
              </a:graphicData>
            </a:graphic>
          </wp:inline>
        </w:drawing>
      </w: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62865</wp:posOffset>
            </wp:positionV>
            <wp:extent cx="5271135" cy="3718560"/>
            <wp:effectExtent l="0" t="0" r="5715" b="15240"/>
            <wp:wrapSquare wrapText="bothSides"/>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3"/>
                    <a:stretch>
                      <a:fillRect/>
                    </a:stretch>
                  </pic:blipFill>
                  <pic:spPr>
                    <a:xfrm>
                      <a:off x="0" y="0"/>
                      <a:ext cx="5271135" cy="3718560"/>
                    </a:xfrm>
                    <a:prstGeom prst="rect">
                      <a:avLst/>
                    </a:prstGeom>
                    <a:noFill/>
                    <a:ln>
                      <a:noFill/>
                    </a:ln>
                  </pic:spPr>
                </pic:pic>
              </a:graphicData>
            </a:graphic>
          </wp:anchor>
        </w:drawing>
      </w:r>
    </w:p>
    <w:p>
      <w:pPr>
        <w:rPr>
          <w:rFonts w:hint="eastAsia"/>
          <w:lang w:eastAsia="zh-CN"/>
        </w:rPr>
      </w:pPr>
    </w:p>
    <w:p>
      <w:pPr>
        <w:rPr>
          <w:rFonts w:hint="eastAsia"/>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3E1B3D77"/>
    <w:multiLevelType w:val="singleLevel"/>
    <w:tmpl w:val="3E1B3D7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806673"/>
    <w:rsid w:val="019404F8"/>
    <w:rsid w:val="01D230FE"/>
    <w:rsid w:val="0215685B"/>
    <w:rsid w:val="029C6772"/>
    <w:rsid w:val="02BD3108"/>
    <w:rsid w:val="02F73D26"/>
    <w:rsid w:val="033777AB"/>
    <w:rsid w:val="034D4FEF"/>
    <w:rsid w:val="035D1785"/>
    <w:rsid w:val="03952F4A"/>
    <w:rsid w:val="039F47CE"/>
    <w:rsid w:val="03E05CE8"/>
    <w:rsid w:val="03F973EE"/>
    <w:rsid w:val="043E5B56"/>
    <w:rsid w:val="04764BD2"/>
    <w:rsid w:val="04C04386"/>
    <w:rsid w:val="04FA68C4"/>
    <w:rsid w:val="053F5AE6"/>
    <w:rsid w:val="057C0B0F"/>
    <w:rsid w:val="05D51C91"/>
    <w:rsid w:val="05EF4B48"/>
    <w:rsid w:val="05F76ECA"/>
    <w:rsid w:val="062D220C"/>
    <w:rsid w:val="06792773"/>
    <w:rsid w:val="068442B6"/>
    <w:rsid w:val="06F94C43"/>
    <w:rsid w:val="07093795"/>
    <w:rsid w:val="07804730"/>
    <w:rsid w:val="079052BE"/>
    <w:rsid w:val="08145C21"/>
    <w:rsid w:val="08422688"/>
    <w:rsid w:val="085854ED"/>
    <w:rsid w:val="0879188F"/>
    <w:rsid w:val="088F4C30"/>
    <w:rsid w:val="08A0354D"/>
    <w:rsid w:val="08A566B3"/>
    <w:rsid w:val="08CD4C49"/>
    <w:rsid w:val="09114954"/>
    <w:rsid w:val="0922457B"/>
    <w:rsid w:val="095A5B83"/>
    <w:rsid w:val="096466E3"/>
    <w:rsid w:val="0968304D"/>
    <w:rsid w:val="09AF3D17"/>
    <w:rsid w:val="0A650B19"/>
    <w:rsid w:val="0A7809B7"/>
    <w:rsid w:val="0A7B4867"/>
    <w:rsid w:val="0A840954"/>
    <w:rsid w:val="0A9928ED"/>
    <w:rsid w:val="0B1A7D06"/>
    <w:rsid w:val="0B61769D"/>
    <w:rsid w:val="0B8C3ECC"/>
    <w:rsid w:val="0B9C639D"/>
    <w:rsid w:val="0BB052B2"/>
    <w:rsid w:val="0BD33FFC"/>
    <w:rsid w:val="0BE97AC1"/>
    <w:rsid w:val="0C1C4780"/>
    <w:rsid w:val="0C3613A3"/>
    <w:rsid w:val="0C5E519C"/>
    <w:rsid w:val="0C7227A7"/>
    <w:rsid w:val="0CA52EE8"/>
    <w:rsid w:val="0CBD6988"/>
    <w:rsid w:val="0CD208AC"/>
    <w:rsid w:val="0D2F5AA1"/>
    <w:rsid w:val="0D393CE3"/>
    <w:rsid w:val="0D4903E8"/>
    <w:rsid w:val="0D7A4A46"/>
    <w:rsid w:val="0E640559"/>
    <w:rsid w:val="0F1113DA"/>
    <w:rsid w:val="0F472694"/>
    <w:rsid w:val="0F78534A"/>
    <w:rsid w:val="0F89358A"/>
    <w:rsid w:val="0F8C6D51"/>
    <w:rsid w:val="101E1615"/>
    <w:rsid w:val="105B0B5E"/>
    <w:rsid w:val="10E02026"/>
    <w:rsid w:val="112E58D0"/>
    <w:rsid w:val="11731CAC"/>
    <w:rsid w:val="119500A0"/>
    <w:rsid w:val="11C0733B"/>
    <w:rsid w:val="11D50D17"/>
    <w:rsid w:val="120E0809"/>
    <w:rsid w:val="127F665A"/>
    <w:rsid w:val="12E734C8"/>
    <w:rsid w:val="12F7068C"/>
    <w:rsid w:val="135D5560"/>
    <w:rsid w:val="14207DC0"/>
    <w:rsid w:val="14394889"/>
    <w:rsid w:val="148C33A2"/>
    <w:rsid w:val="14B932DA"/>
    <w:rsid w:val="14DC7748"/>
    <w:rsid w:val="150A66AF"/>
    <w:rsid w:val="154C1139"/>
    <w:rsid w:val="158C5B77"/>
    <w:rsid w:val="15A849B9"/>
    <w:rsid w:val="15BA16A4"/>
    <w:rsid w:val="15D60CBB"/>
    <w:rsid w:val="160D1149"/>
    <w:rsid w:val="163563C0"/>
    <w:rsid w:val="164315EF"/>
    <w:rsid w:val="16557DFE"/>
    <w:rsid w:val="167268FB"/>
    <w:rsid w:val="16D50C50"/>
    <w:rsid w:val="16E120E1"/>
    <w:rsid w:val="17385A05"/>
    <w:rsid w:val="173B3901"/>
    <w:rsid w:val="176747F9"/>
    <w:rsid w:val="17954A6E"/>
    <w:rsid w:val="180059E9"/>
    <w:rsid w:val="181E5FEB"/>
    <w:rsid w:val="184510FD"/>
    <w:rsid w:val="185631A8"/>
    <w:rsid w:val="1885415D"/>
    <w:rsid w:val="18E3119D"/>
    <w:rsid w:val="18FD6D4A"/>
    <w:rsid w:val="190648B0"/>
    <w:rsid w:val="19071D6C"/>
    <w:rsid w:val="19D26CD4"/>
    <w:rsid w:val="19E60D19"/>
    <w:rsid w:val="1A3E3450"/>
    <w:rsid w:val="1A5406AB"/>
    <w:rsid w:val="1A5E2AB0"/>
    <w:rsid w:val="1AC80FC4"/>
    <w:rsid w:val="1AD250B8"/>
    <w:rsid w:val="1AD807E5"/>
    <w:rsid w:val="1B39345B"/>
    <w:rsid w:val="1BFB2A1F"/>
    <w:rsid w:val="1C015D4A"/>
    <w:rsid w:val="1C221C25"/>
    <w:rsid w:val="1C290ED5"/>
    <w:rsid w:val="1C317E4F"/>
    <w:rsid w:val="1C420984"/>
    <w:rsid w:val="1C472464"/>
    <w:rsid w:val="1D22799A"/>
    <w:rsid w:val="1D464D1B"/>
    <w:rsid w:val="1D5C1A72"/>
    <w:rsid w:val="1DAF458D"/>
    <w:rsid w:val="1DC50BBC"/>
    <w:rsid w:val="1E086ACE"/>
    <w:rsid w:val="1E4E17F4"/>
    <w:rsid w:val="1E611C54"/>
    <w:rsid w:val="1E62130A"/>
    <w:rsid w:val="1E97358B"/>
    <w:rsid w:val="1EAA4A5F"/>
    <w:rsid w:val="1ED2493E"/>
    <w:rsid w:val="1EDD5BF7"/>
    <w:rsid w:val="1EE869A7"/>
    <w:rsid w:val="1F7A6B1C"/>
    <w:rsid w:val="1FA15E62"/>
    <w:rsid w:val="1FED69B6"/>
    <w:rsid w:val="2064678E"/>
    <w:rsid w:val="20DC1AB9"/>
    <w:rsid w:val="20DD6197"/>
    <w:rsid w:val="20E95DF1"/>
    <w:rsid w:val="212631E0"/>
    <w:rsid w:val="21A53757"/>
    <w:rsid w:val="221236C6"/>
    <w:rsid w:val="22D7662C"/>
    <w:rsid w:val="23326B7F"/>
    <w:rsid w:val="2380045B"/>
    <w:rsid w:val="23BC04D2"/>
    <w:rsid w:val="23DF3675"/>
    <w:rsid w:val="23EF1892"/>
    <w:rsid w:val="247D2F50"/>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1E4F90"/>
    <w:rsid w:val="282459E2"/>
    <w:rsid w:val="28306226"/>
    <w:rsid w:val="283A7FE5"/>
    <w:rsid w:val="28500151"/>
    <w:rsid w:val="285F51FF"/>
    <w:rsid w:val="2878266D"/>
    <w:rsid w:val="289830FA"/>
    <w:rsid w:val="28DF2665"/>
    <w:rsid w:val="29072599"/>
    <w:rsid w:val="291029F3"/>
    <w:rsid w:val="29CB58F0"/>
    <w:rsid w:val="29E14C4B"/>
    <w:rsid w:val="2A053397"/>
    <w:rsid w:val="2A145E96"/>
    <w:rsid w:val="2ABE59CA"/>
    <w:rsid w:val="2ADB2687"/>
    <w:rsid w:val="2AF5378F"/>
    <w:rsid w:val="2B236477"/>
    <w:rsid w:val="2B41036D"/>
    <w:rsid w:val="2B78247E"/>
    <w:rsid w:val="2B8F7542"/>
    <w:rsid w:val="2BB94DBF"/>
    <w:rsid w:val="2BEE6608"/>
    <w:rsid w:val="2C2736A5"/>
    <w:rsid w:val="2C6F314E"/>
    <w:rsid w:val="2C796159"/>
    <w:rsid w:val="2CC206BE"/>
    <w:rsid w:val="2CC27B30"/>
    <w:rsid w:val="2D1136DF"/>
    <w:rsid w:val="2D20606D"/>
    <w:rsid w:val="2D2D60B3"/>
    <w:rsid w:val="2DB87198"/>
    <w:rsid w:val="2DB93C54"/>
    <w:rsid w:val="2E3D144C"/>
    <w:rsid w:val="2E644547"/>
    <w:rsid w:val="2E891204"/>
    <w:rsid w:val="2EAE6099"/>
    <w:rsid w:val="2F3F0A28"/>
    <w:rsid w:val="2F7F02FB"/>
    <w:rsid w:val="2FBF7029"/>
    <w:rsid w:val="2FD0187F"/>
    <w:rsid w:val="2FD27414"/>
    <w:rsid w:val="2FFE4BB0"/>
    <w:rsid w:val="300E7B60"/>
    <w:rsid w:val="300F6E18"/>
    <w:rsid w:val="302D4D2B"/>
    <w:rsid w:val="3083550F"/>
    <w:rsid w:val="30862F5F"/>
    <w:rsid w:val="314029C9"/>
    <w:rsid w:val="31C63837"/>
    <w:rsid w:val="31C82E39"/>
    <w:rsid w:val="32601BAD"/>
    <w:rsid w:val="329F6389"/>
    <w:rsid w:val="337C79EB"/>
    <w:rsid w:val="3389023A"/>
    <w:rsid w:val="33A45D0F"/>
    <w:rsid w:val="33CB74FA"/>
    <w:rsid w:val="343642F2"/>
    <w:rsid w:val="343F3010"/>
    <w:rsid w:val="345D0A00"/>
    <w:rsid w:val="346A70D4"/>
    <w:rsid w:val="34713BFD"/>
    <w:rsid w:val="34C13589"/>
    <w:rsid w:val="34DF299E"/>
    <w:rsid w:val="353369E3"/>
    <w:rsid w:val="355B6A81"/>
    <w:rsid w:val="35E00D72"/>
    <w:rsid w:val="36965B9D"/>
    <w:rsid w:val="36C549FD"/>
    <w:rsid w:val="370C7262"/>
    <w:rsid w:val="37A755DD"/>
    <w:rsid w:val="37F94FA0"/>
    <w:rsid w:val="380D3381"/>
    <w:rsid w:val="38115B1F"/>
    <w:rsid w:val="385E3AC3"/>
    <w:rsid w:val="387D6B9E"/>
    <w:rsid w:val="38B75FF0"/>
    <w:rsid w:val="38D45016"/>
    <w:rsid w:val="38D6626C"/>
    <w:rsid w:val="38D90432"/>
    <w:rsid w:val="3914510A"/>
    <w:rsid w:val="3926770B"/>
    <w:rsid w:val="398D3668"/>
    <w:rsid w:val="39CD0F08"/>
    <w:rsid w:val="39DA0497"/>
    <w:rsid w:val="3A0C58AA"/>
    <w:rsid w:val="3A893816"/>
    <w:rsid w:val="3A893B6D"/>
    <w:rsid w:val="3AD1763A"/>
    <w:rsid w:val="3B6716E3"/>
    <w:rsid w:val="3B6C6B2D"/>
    <w:rsid w:val="3C242659"/>
    <w:rsid w:val="3C96719C"/>
    <w:rsid w:val="3CA72BE8"/>
    <w:rsid w:val="3CBE00B7"/>
    <w:rsid w:val="3CF37F8C"/>
    <w:rsid w:val="3D137554"/>
    <w:rsid w:val="3D5275AC"/>
    <w:rsid w:val="3DCC2473"/>
    <w:rsid w:val="3DE15F6C"/>
    <w:rsid w:val="3DEB0883"/>
    <w:rsid w:val="3E2527BF"/>
    <w:rsid w:val="3E6F4CEA"/>
    <w:rsid w:val="3E731662"/>
    <w:rsid w:val="3E8168DD"/>
    <w:rsid w:val="3EA7725F"/>
    <w:rsid w:val="3EB03713"/>
    <w:rsid w:val="3EBF1A11"/>
    <w:rsid w:val="3EC52607"/>
    <w:rsid w:val="3EEC6CEF"/>
    <w:rsid w:val="3F183429"/>
    <w:rsid w:val="3FB77A1D"/>
    <w:rsid w:val="3FDC3674"/>
    <w:rsid w:val="3FED7F8A"/>
    <w:rsid w:val="40094AEF"/>
    <w:rsid w:val="40297AB4"/>
    <w:rsid w:val="402D79E4"/>
    <w:rsid w:val="404B76B4"/>
    <w:rsid w:val="405470BD"/>
    <w:rsid w:val="40794A29"/>
    <w:rsid w:val="40834692"/>
    <w:rsid w:val="40BA15D7"/>
    <w:rsid w:val="40C7227F"/>
    <w:rsid w:val="41431AD5"/>
    <w:rsid w:val="414B3C0F"/>
    <w:rsid w:val="417C1CE7"/>
    <w:rsid w:val="41900018"/>
    <w:rsid w:val="41944406"/>
    <w:rsid w:val="41CE128F"/>
    <w:rsid w:val="41DA6F12"/>
    <w:rsid w:val="42171FB1"/>
    <w:rsid w:val="42526FCC"/>
    <w:rsid w:val="425D3D56"/>
    <w:rsid w:val="42AC4164"/>
    <w:rsid w:val="42C13253"/>
    <w:rsid w:val="43182E87"/>
    <w:rsid w:val="433F446C"/>
    <w:rsid w:val="434E6957"/>
    <w:rsid w:val="43661E61"/>
    <w:rsid w:val="437E6DB9"/>
    <w:rsid w:val="43BA0E31"/>
    <w:rsid w:val="43C15147"/>
    <w:rsid w:val="43DA7A64"/>
    <w:rsid w:val="43E14DD2"/>
    <w:rsid w:val="43F800E9"/>
    <w:rsid w:val="443A7E4B"/>
    <w:rsid w:val="44947DCF"/>
    <w:rsid w:val="44E51C11"/>
    <w:rsid w:val="450B633D"/>
    <w:rsid w:val="452F5B3A"/>
    <w:rsid w:val="454E7FD2"/>
    <w:rsid w:val="45E6419A"/>
    <w:rsid w:val="46061BDC"/>
    <w:rsid w:val="461404F8"/>
    <w:rsid w:val="46413018"/>
    <w:rsid w:val="464B7E04"/>
    <w:rsid w:val="468041AA"/>
    <w:rsid w:val="468123C6"/>
    <w:rsid w:val="46901EEE"/>
    <w:rsid w:val="469C74D2"/>
    <w:rsid w:val="47066C1F"/>
    <w:rsid w:val="47445515"/>
    <w:rsid w:val="474B4782"/>
    <w:rsid w:val="47D90D14"/>
    <w:rsid w:val="47FD781B"/>
    <w:rsid w:val="48387FB0"/>
    <w:rsid w:val="483A6114"/>
    <w:rsid w:val="488727DB"/>
    <w:rsid w:val="48B82268"/>
    <w:rsid w:val="48C354B3"/>
    <w:rsid w:val="493D58B5"/>
    <w:rsid w:val="494A7A04"/>
    <w:rsid w:val="49DF717C"/>
    <w:rsid w:val="4A0A26D2"/>
    <w:rsid w:val="4A2019A5"/>
    <w:rsid w:val="4A241A0B"/>
    <w:rsid w:val="4A66755D"/>
    <w:rsid w:val="4A7B2875"/>
    <w:rsid w:val="4A934476"/>
    <w:rsid w:val="4AAA220A"/>
    <w:rsid w:val="4AE12E67"/>
    <w:rsid w:val="4B4C0111"/>
    <w:rsid w:val="4B706ED1"/>
    <w:rsid w:val="4B8553A9"/>
    <w:rsid w:val="4B8C7B72"/>
    <w:rsid w:val="4BDB3730"/>
    <w:rsid w:val="4C184532"/>
    <w:rsid w:val="4C200F7A"/>
    <w:rsid w:val="4CBC5C12"/>
    <w:rsid w:val="4CEE3180"/>
    <w:rsid w:val="4D0F4AF6"/>
    <w:rsid w:val="4D86475A"/>
    <w:rsid w:val="4DF94F37"/>
    <w:rsid w:val="4E0A1DD5"/>
    <w:rsid w:val="4E2665F4"/>
    <w:rsid w:val="4E3160E5"/>
    <w:rsid w:val="4E4D37AF"/>
    <w:rsid w:val="4E8C6496"/>
    <w:rsid w:val="4EEC6C3E"/>
    <w:rsid w:val="4EFD18DE"/>
    <w:rsid w:val="4F144236"/>
    <w:rsid w:val="4F2A5FB3"/>
    <w:rsid w:val="4F2D5CDF"/>
    <w:rsid w:val="4F4772C6"/>
    <w:rsid w:val="4F663C87"/>
    <w:rsid w:val="4F7E29A8"/>
    <w:rsid w:val="4F9E1FFC"/>
    <w:rsid w:val="4FAA6F31"/>
    <w:rsid w:val="4FCC5FEB"/>
    <w:rsid w:val="50447CC2"/>
    <w:rsid w:val="50670F7D"/>
    <w:rsid w:val="50874A7C"/>
    <w:rsid w:val="50895EE7"/>
    <w:rsid w:val="50921B9D"/>
    <w:rsid w:val="50D16158"/>
    <w:rsid w:val="50DB5F45"/>
    <w:rsid w:val="51025EB1"/>
    <w:rsid w:val="51141503"/>
    <w:rsid w:val="51546E6F"/>
    <w:rsid w:val="518D0ED5"/>
    <w:rsid w:val="52074A88"/>
    <w:rsid w:val="525C687F"/>
    <w:rsid w:val="52F647F7"/>
    <w:rsid w:val="52F92565"/>
    <w:rsid w:val="53D03877"/>
    <w:rsid w:val="542F73CA"/>
    <w:rsid w:val="5430786D"/>
    <w:rsid w:val="54414C2A"/>
    <w:rsid w:val="546A73A7"/>
    <w:rsid w:val="54C811C0"/>
    <w:rsid w:val="552119CC"/>
    <w:rsid w:val="556A442D"/>
    <w:rsid w:val="55DA564E"/>
    <w:rsid w:val="55E05B00"/>
    <w:rsid w:val="5604127D"/>
    <w:rsid w:val="56166703"/>
    <w:rsid w:val="56510474"/>
    <w:rsid w:val="566E2489"/>
    <w:rsid w:val="56861525"/>
    <w:rsid w:val="56A93273"/>
    <w:rsid w:val="56BD550C"/>
    <w:rsid w:val="56E07045"/>
    <w:rsid w:val="56F628B1"/>
    <w:rsid w:val="56FF28AF"/>
    <w:rsid w:val="572F3D05"/>
    <w:rsid w:val="573B7407"/>
    <w:rsid w:val="57540E7D"/>
    <w:rsid w:val="577B4878"/>
    <w:rsid w:val="57926973"/>
    <w:rsid w:val="58175352"/>
    <w:rsid w:val="581F2200"/>
    <w:rsid w:val="583059FA"/>
    <w:rsid w:val="583308AD"/>
    <w:rsid w:val="584A0929"/>
    <w:rsid w:val="58CD2491"/>
    <w:rsid w:val="591B41B2"/>
    <w:rsid w:val="591E0168"/>
    <w:rsid w:val="59254A26"/>
    <w:rsid w:val="59326325"/>
    <w:rsid w:val="5945660D"/>
    <w:rsid w:val="595C505B"/>
    <w:rsid w:val="595E55C3"/>
    <w:rsid w:val="596E7E20"/>
    <w:rsid w:val="5A60780B"/>
    <w:rsid w:val="5AB34579"/>
    <w:rsid w:val="5AFC6609"/>
    <w:rsid w:val="5B113480"/>
    <w:rsid w:val="5BD456CE"/>
    <w:rsid w:val="5BE1506A"/>
    <w:rsid w:val="5C0D1F49"/>
    <w:rsid w:val="5C9F79E7"/>
    <w:rsid w:val="5CBB0CE2"/>
    <w:rsid w:val="5CC17177"/>
    <w:rsid w:val="5CF306BC"/>
    <w:rsid w:val="5D3F3D64"/>
    <w:rsid w:val="5D833043"/>
    <w:rsid w:val="5D8D67FA"/>
    <w:rsid w:val="5D95282F"/>
    <w:rsid w:val="5DCB0CED"/>
    <w:rsid w:val="5DD92690"/>
    <w:rsid w:val="5DDB1CFD"/>
    <w:rsid w:val="5E7E6D93"/>
    <w:rsid w:val="5ED44800"/>
    <w:rsid w:val="5F144FB3"/>
    <w:rsid w:val="5F350BDE"/>
    <w:rsid w:val="5F61632C"/>
    <w:rsid w:val="5FA17648"/>
    <w:rsid w:val="5FA57B95"/>
    <w:rsid w:val="5FE705CB"/>
    <w:rsid w:val="603D5080"/>
    <w:rsid w:val="60AF5D61"/>
    <w:rsid w:val="60D0261B"/>
    <w:rsid w:val="60DA017B"/>
    <w:rsid w:val="614509ED"/>
    <w:rsid w:val="61851764"/>
    <w:rsid w:val="618E3791"/>
    <w:rsid w:val="61947DCA"/>
    <w:rsid w:val="61A46A97"/>
    <w:rsid w:val="61D1382F"/>
    <w:rsid w:val="61F114A2"/>
    <w:rsid w:val="62280167"/>
    <w:rsid w:val="62512BB4"/>
    <w:rsid w:val="625D7D1A"/>
    <w:rsid w:val="626126B7"/>
    <w:rsid w:val="62CC76E8"/>
    <w:rsid w:val="62DD7D21"/>
    <w:rsid w:val="62E70D43"/>
    <w:rsid w:val="637D586B"/>
    <w:rsid w:val="6383762B"/>
    <w:rsid w:val="63A5560B"/>
    <w:rsid w:val="63E9091F"/>
    <w:rsid w:val="64322AF9"/>
    <w:rsid w:val="645A7A9F"/>
    <w:rsid w:val="64D6010D"/>
    <w:rsid w:val="64D82665"/>
    <w:rsid w:val="64E47C96"/>
    <w:rsid w:val="6509594D"/>
    <w:rsid w:val="651E5741"/>
    <w:rsid w:val="658A4877"/>
    <w:rsid w:val="65A00902"/>
    <w:rsid w:val="65AC6EDD"/>
    <w:rsid w:val="65D97752"/>
    <w:rsid w:val="66085536"/>
    <w:rsid w:val="66105BF7"/>
    <w:rsid w:val="66150023"/>
    <w:rsid w:val="661D3FB8"/>
    <w:rsid w:val="6628010D"/>
    <w:rsid w:val="669B4528"/>
    <w:rsid w:val="66AE69EE"/>
    <w:rsid w:val="66CC12D7"/>
    <w:rsid w:val="6706564A"/>
    <w:rsid w:val="67095E5F"/>
    <w:rsid w:val="67134CEF"/>
    <w:rsid w:val="671F1ABD"/>
    <w:rsid w:val="67521A59"/>
    <w:rsid w:val="67A154D9"/>
    <w:rsid w:val="67C304AB"/>
    <w:rsid w:val="683F0658"/>
    <w:rsid w:val="689C6793"/>
    <w:rsid w:val="68DB0208"/>
    <w:rsid w:val="68EF1612"/>
    <w:rsid w:val="68FB170C"/>
    <w:rsid w:val="690825A3"/>
    <w:rsid w:val="691B3D98"/>
    <w:rsid w:val="693748F0"/>
    <w:rsid w:val="69846A0E"/>
    <w:rsid w:val="69AD798C"/>
    <w:rsid w:val="69B012FF"/>
    <w:rsid w:val="69D005C0"/>
    <w:rsid w:val="69D80B96"/>
    <w:rsid w:val="6A255B77"/>
    <w:rsid w:val="6A3F35DF"/>
    <w:rsid w:val="6A8F6253"/>
    <w:rsid w:val="6AB52638"/>
    <w:rsid w:val="6B0157D2"/>
    <w:rsid w:val="6B38726A"/>
    <w:rsid w:val="6B68175F"/>
    <w:rsid w:val="6BFD799F"/>
    <w:rsid w:val="6C4A2E5A"/>
    <w:rsid w:val="6C804006"/>
    <w:rsid w:val="6C8138D0"/>
    <w:rsid w:val="6CEF0725"/>
    <w:rsid w:val="6D4B2604"/>
    <w:rsid w:val="6D7752A8"/>
    <w:rsid w:val="6D8030E4"/>
    <w:rsid w:val="6E0E35C4"/>
    <w:rsid w:val="6E0F7A08"/>
    <w:rsid w:val="6E3947F5"/>
    <w:rsid w:val="6E527824"/>
    <w:rsid w:val="6E9C74ED"/>
    <w:rsid w:val="6EF72976"/>
    <w:rsid w:val="6F795A80"/>
    <w:rsid w:val="6F7C1D2E"/>
    <w:rsid w:val="6F8E0407"/>
    <w:rsid w:val="6FDD069F"/>
    <w:rsid w:val="702B4D16"/>
    <w:rsid w:val="70AA6621"/>
    <w:rsid w:val="7111480F"/>
    <w:rsid w:val="7125188E"/>
    <w:rsid w:val="71261F49"/>
    <w:rsid w:val="712E6956"/>
    <w:rsid w:val="71473612"/>
    <w:rsid w:val="71504F32"/>
    <w:rsid w:val="7152309F"/>
    <w:rsid w:val="718F7F65"/>
    <w:rsid w:val="71DC5CEB"/>
    <w:rsid w:val="724903DC"/>
    <w:rsid w:val="727B234E"/>
    <w:rsid w:val="72D068C7"/>
    <w:rsid w:val="72E42ED8"/>
    <w:rsid w:val="735F4CB9"/>
    <w:rsid w:val="73674C62"/>
    <w:rsid w:val="73845865"/>
    <w:rsid w:val="739B6D9E"/>
    <w:rsid w:val="73BC1D76"/>
    <w:rsid w:val="73FB6630"/>
    <w:rsid w:val="743D6BAC"/>
    <w:rsid w:val="7463505F"/>
    <w:rsid w:val="748D790E"/>
    <w:rsid w:val="749820CC"/>
    <w:rsid w:val="74CE04EC"/>
    <w:rsid w:val="74E76DCD"/>
    <w:rsid w:val="751D7C0A"/>
    <w:rsid w:val="75722D56"/>
    <w:rsid w:val="759E58AF"/>
    <w:rsid w:val="75DB5477"/>
    <w:rsid w:val="75FC6AC3"/>
    <w:rsid w:val="7616619B"/>
    <w:rsid w:val="76660D7C"/>
    <w:rsid w:val="766C5968"/>
    <w:rsid w:val="76BE0C8F"/>
    <w:rsid w:val="76CD53B2"/>
    <w:rsid w:val="770719AC"/>
    <w:rsid w:val="77346734"/>
    <w:rsid w:val="77437266"/>
    <w:rsid w:val="776526CC"/>
    <w:rsid w:val="77A262E1"/>
    <w:rsid w:val="77B13C33"/>
    <w:rsid w:val="77B31F00"/>
    <w:rsid w:val="77ED6F44"/>
    <w:rsid w:val="77F45548"/>
    <w:rsid w:val="784E7CA6"/>
    <w:rsid w:val="78574801"/>
    <w:rsid w:val="786B4274"/>
    <w:rsid w:val="7873527F"/>
    <w:rsid w:val="78F4298D"/>
    <w:rsid w:val="790A6425"/>
    <w:rsid w:val="790E2D96"/>
    <w:rsid w:val="791B54B2"/>
    <w:rsid w:val="795A0A34"/>
    <w:rsid w:val="797339C3"/>
    <w:rsid w:val="79D57D57"/>
    <w:rsid w:val="79F00650"/>
    <w:rsid w:val="7A0A6AA2"/>
    <w:rsid w:val="7A6242BF"/>
    <w:rsid w:val="7A794513"/>
    <w:rsid w:val="7AE952D2"/>
    <w:rsid w:val="7B71246B"/>
    <w:rsid w:val="7BAA08C9"/>
    <w:rsid w:val="7C0434BE"/>
    <w:rsid w:val="7C976D69"/>
    <w:rsid w:val="7CD752DA"/>
    <w:rsid w:val="7CDE40AB"/>
    <w:rsid w:val="7CF057E2"/>
    <w:rsid w:val="7D1548B5"/>
    <w:rsid w:val="7DF84014"/>
    <w:rsid w:val="7E207949"/>
    <w:rsid w:val="7E5C0A47"/>
    <w:rsid w:val="7E670C75"/>
    <w:rsid w:val="7E8F04B3"/>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widowControl w:val="0"/>
      <w:spacing w:before="260" w:beforeAutospacing="0" w:after="260" w:afterAutospacing="0" w:line="412" w:lineRule="auto"/>
      <w:outlineLvl w:val="2"/>
    </w:pPr>
    <w:rPr>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List Paragraph"/>
    <w:basedOn w:val="1"/>
    <w:qFormat/>
    <w:uiPriority w:val="0"/>
    <w:pPr>
      <w:ind w:firstLine="420" w:firstLineChars="200"/>
    </w:pPr>
  </w:style>
  <w:style w:type="paragraph" w:customStyle="1" w:styleId="17">
    <w:name w:val="Char"/>
    <w:basedOn w:val="1"/>
    <w:qFormat/>
    <w:uiPriority w:val="99"/>
    <w:pPr>
      <w:widowControl w:val="0"/>
      <w:jc w:val="both"/>
    </w:pPr>
    <w:rPr>
      <w:rFonts w:ascii="仿宋_GB2312" w:cs="仿宋_GB2312"/>
      <w:color w:val="000000"/>
      <w:kern w:val="16"/>
      <w:szCs w:val="3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2</TotalTime>
  <ScaleCrop>false</ScaleCrop>
  <LinksUpToDate>false</LinksUpToDate>
  <CharactersWithSpaces>20940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YIKNETHNIGJXR97</cp:lastModifiedBy>
  <dcterms:modified xsi:type="dcterms:W3CDTF">2025-02-06T11:12:37Z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