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r>
        <w:rPr>
          <w:rFonts w:hint="eastAsia" w:ascii="仿宋" w:hAnsi="仿宋" w:eastAsia="仿宋" w:cs="仿宋"/>
          <w:color w:val="auto"/>
          <w:kern w:val="0"/>
          <w:sz w:val="36"/>
          <w:szCs w:val="36"/>
          <w:highlight w:val="none"/>
          <w:lang w:eastAsia="zh-CN"/>
        </w:rPr>
        <w:t>库尔勒市托布力其乡人民政府</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rPr>
      </w:pPr>
      <w:r>
        <w:rPr>
          <w:rStyle w:val="10"/>
          <w:rFonts w:hint="eastAsia" w:ascii="黑体" w:hAnsi="黑体" w:eastAsia="黑体" w:cs="黑体"/>
          <w:b w:val="0"/>
          <w:bCs/>
          <w:color w:val="auto"/>
          <w:spacing w:val="-4"/>
          <w:sz w:val="32"/>
          <w:szCs w:val="32"/>
          <w:highlight w:val="none"/>
          <w:lang w:val="en-US" w:eastAsia="zh-CN"/>
        </w:rPr>
        <w:t>(一)</w:t>
      </w:r>
      <w:r>
        <w:rPr>
          <w:rStyle w:val="10"/>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单位主要工作职责：1、宣传、执行党的路线、方针、政策和国家法律、法规，保证上级党委政府决议、决定的落实，对居民进行思想政治教育和社会主义法治宣传。2、组织领导乡区域经济工作，制定乡经济发展规划，检查、督促各经济组织开展工作，负责乡财政预算和收支管理。3、加强外来人口管理，开展民事调解，保护老人、儿童、妇女、残疾人和青少年的合法权益，保障辖区内政治稳定和社会安定。4、开展党的建设、群众文化、科普、精神文明、爱国卫生、计划生育、环境卫生、绿化美化、民政、社会保障、健康教育等工作，配合有关部门做好防控、防洪防震、抢险救灾、交通管理等工作。5、向上级政府反映群众的意见共和要求，办理人民群众来信来访事项，做好为居民群众服务工作。6、完成上级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7"/>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托布力其乡编制数85人，实有人数101人，其中：在职85人；退休16人；离休0人。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overflowPunct w:val="0"/>
        <w:autoSpaceDE w:val="0"/>
        <w:spacing w:line="54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托布力</w:t>
      </w:r>
      <w:r>
        <w:rPr>
          <w:rFonts w:hint="eastAsia" w:ascii="仿宋" w:hAnsi="仿宋" w:eastAsia="仿宋" w:cs="仿宋"/>
          <w:color w:val="auto"/>
          <w:sz w:val="32"/>
          <w:szCs w:val="32"/>
          <w:highlight w:val="none"/>
        </w:rPr>
        <w:t>乡将继续以习近平新时代中国特色社会主义思想为指导，认真学习领会党的二十大精神和习近平总书记视察新疆重要讲话重要指示精神，紧紧围绕社会稳定和长治久安总目标，全力推进“两个统筹”工作部署落地见效，突出重点、全面推进，不断实现各项工作新突破，以良好的精神风貌、苦干实干的新作为，开创</w:t>
      </w:r>
      <w:r>
        <w:rPr>
          <w:rFonts w:hint="eastAsia" w:ascii="仿宋" w:hAnsi="仿宋" w:eastAsia="仿宋" w:cs="仿宋"/>
          <w:color w:val="auto"/>
          <w:sz w:val="32"/>
          <w:szCs w:val="32"/>
          <w:highlight w:val="none"/>
          <w:lang w:eastAsia="zh-CN"/>
        </w:rPr>
        <w:t>托布力其</w:t>
      </w:r>
      <w:r>
        <w:rPr>
          <w:rFonts w:hint="eastAsia" w:ascii="仿宋" w:hAnsi="仿宋" w:eastAsia="仿宋" w:cs="仿宋"/>
          <w:color w:val="auto"/>
          <w:sz w:val="32"/>
          <w:szCs w:val="32"/>
          <w:highlight w:val="none"/>
        </w:rPr>
        <w:t>乡社会稳定、经济高质量发展新局面。</w:t>
      </w:r>
    </w:p>
    <w:p>
      <w:pPr>
        <w:overflowPunct w:val="0"/>
        <w:autoSpaceDE w:val="0"/>
        <w:spacing w:line="54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坚持主动作为，全力维护社会稳定。一是紧盯各项工作任务落实，持续开展风险隐患的排查，建立台账，明确整改责任、时限和具体措施，跟进化解，动态销号，防患于未然，做到重大风险隐患事不过夜。二是强化情报信息收集，加大线索甄别核查力度，对涉案、涉暴恐、涉伊吉拉特等重要线索即查即处，做到动态清零。三是加大思想引导和困难帮扶力度，持续抓好“去极端化”教育，做好群众思想教育工作。四是继续推进</w:t>
      </w:r>
      <w:r>
        <w:rPr>
          <w:rFonts w:hint="eastAsia" w:ascii="仿宋" w:hAnsi="仿宋" w:eastAsia="仿宋" w:cs="仿宋"/>
          <w:color w:val="auto"/>
          <w:sz w:val="32"/>
          <w:szCs w:val="32"/>
          <w:highlight w:val="none"/>
          <w:lang w:val="en-US" w:eastAsia="zh-CN"/>
        </w:rPr>
        <w:t>5个</w:t>
      </w:r>
      <w:r>
        <w:rPr>
          <w:rFonts w:hint="eastAsia" w:ascii="仿宋" w:hAnsi="仿宋" w:eastAsia="仿宋" w:cs="仿宋"/>
          <w:color w:val="auto"/>
          <w:sz w:val="32"/>
          <w:szCs w:val="32"/>
          <w:highlight w:val="none"/>
        </w:rPr>
        <w:t>网格</w:t>
      </w:r>
      <w:r>
        <w:rPr>
          <w:rFonts w:hint="eastAsia" w:ascii="仿宋" w:hAnsi="仿宋" w:eastAsia="仿宋" w:cs="仿宋"/>
          <w:color w:val="auto"/>
          <w:sz w:val="32"/>
          <w:szCs w:val="32"/>
          <w:highlight w:val="none"/>
          <w:lang w:eastAsia="zh-CN"/>
        </w:rPr>
        <w:t>的网格</w:t>
      </w:r>
      <w:r>
        <w:rPr>
          <w:rFonts w:hint="eastAsia" w:ascii="仿宋" w:hAnsi="仿宋" w:eastAsia="仿宋" w:cs="仿宋"/>
          <w:color w:val="auto"/>
          <w:sz w:val="32"/>
          <w:szCs w:val="32"/>
          <w:highlight w:val="none"/>
        </w:rPr>
        <w:t>化管理，严格落实“三防”措施，定期开展全覆盖排查，加大特殊群体梳理摸排，确保人员情绪稳定、不滋生事端。五是加强中华民族共同体意识教育，扎实开展民族团结一家亲联谊活动，做好民族团结进步创建工作。六是常态化落实“369限时工作法”“用工预报告”制度，提升流动人口和重点特殊人群服务管理水平。七是严格落实领导干部联系清真寺制度，强化宗教人士管理，常态化开展民族宗教政策、法律法规宣讲，持续开展“三非”“三化”物品整治。八是常态化开展安全生产检查，做好防灾减灾工作和应急处突演练，提高应对突发事件的能力。九是强化食品药品安全监督检查，发现问题第一时间上报、及时处置、及时反馈，形成高效“闭环”。</w:t>
      </w:r>
    </w:p>
    <w:p>
      <w:pPr>
        <w:overflowPunct w:val="0"/>
        <w:autoSpaceDE w:val="0"/>
        <w:spacing w:line="54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二</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坚持稳中求进，推动经济高质量发展。一是继续推进温室大棚工作。</w:t>
      </w:r>
      <w:r>
        <w:rPr>
          <w:rFonts w:hint="eastAsia" w:ascii="仿宋" w:hAnsi="仿宋" w:eastAsia="仿宋" w:cs="仿宋"/>
          <w:color w:val="auto"/>
          <w:sz w:val="32"/>
          <w:szCs w:val="32"/>
          <w:highlight w:val="none"/>
          <w:lang w:eastAsia="zh-CN"/>
        </w:rPr>
        <w:t>二</w:t>
      </w:r>
      <w:r>
        <w:rPr>
          <w:rFonts w:hint="eastAsia" w:ascii="仿宋" w:hAnsi="仿宋" w:eastAsia="仿宋" w:cs="仿宋"/>
          <w:color w:val="auto"/>
          <w:sz w:val="32"/>
          <w:szCs w:val="32"/>
          <w:highlight w:val="none"/>
        </w:rPr>
        <w:t>是全力推进建项目建设攻坚，继续做好基础设施改造升级工作。</w:t>
      </w:r>
      <w:r>
        <w:rPr>
          <w:rFonts w:hint="eastAsia" w:ascii="仿宋" w:hAnsi="仿宋" w:eastAsia="仿宋" w:cs="仿宋"/>
          <w:color w:val="auto"/>
          <w:sz w:val="32"/>
          <w:szCs w:val="32"/>
          <w:highlight w:val="none"/>
          <w:lang w:eastAsia="zh-CN"/>
        </w:rPr>
        <w:t>三</w:t>
      </w:r>
      <w:r>
        <w:rPr>
          <w:rFonts w:hint="eastAsia" w:ascii="仿宋" w:hAnsi="仿宋" w:eastAsia="仿宋" w:cs="仿宋"/>
          <w:color w:val="auto"/>
          <w:sz w:val="32"/>
          <w:szCs w:val="32"/>
          <w:highlight w:val="none"/>
        </w:rPr>
        <w:t>是持续抓好乡村振兴工作，抓实人居环境整治。</w:t>
      </w:r>
      <w:r>
        <w:rPr>
          <w:rFonts w:hint="eastAsia" w:ascii="仿宋" w:hAnsi="仿宋" w:eastAsia="仿宋" w:cs="仿宋"/>
          <w:color w:val="auto"/>
          <w:sz w:val="32"/>
          <w:szCs w:val="32"/>
          <w:highlight w:val="none"/>
          <w:lang w:eastAsia="zh-CN"/>
        </w:rPr>
        <w:t>四</w:t>
      </w:r>
      <w:r>
        <w:rPr>
          <w:rFonts w:hint="eastAsia" w:ascii="仿宋" w:hAnsi="仿宋" w:eastAsia="仿宋" w:cs="仿宋"/>
          <w:color w:val="auto"/>
          <w:sz w:val="32"/>
          <w:szCs w:val="32"/>
          <w:highlight w:val="none"/>
        </w:rPr>
        <w:t>是深度开发乡级旅游客源市场和旅游产品，促进旅游产业发展，力争旅游收入增长。</w:t>
      </w:r>
      <w:r>
        <w:rPr>
          <w:rFonts w:hint="eastAsia" w:ascii="仿宋" w:hAnsi="仿宋" w:eastAsia="仿宋" w:cs="仿宋"/>
          <w:color w:val="auto"/>
          <w:sz w:val="32"/>
          <w:szCs w:val="32"/>
          <w:highlight w:val="none"/>
          <w:lang w:eastAsia="zh-CN"/>
        </w:rPr>
        <w:t>五</w:t>
      </w:r>
      <w:r>
        <w:rPr>
          <w:rFonts w:hint="eastAsia" w:ascii="仿宋" w:hAnsi="仿宋" w:eastAsia="仿宋" w:cs="仿宋"/>
          <w:color w:val="auto"/>
          <w:sz w:val="32"/>
          <w:szCs w:val="32"/>
          <w:highlight w:val="none"/>
        </w:rPr>
        <w:t>是强化就业技能和创业能力培训，着力解决“两后生”、大中专毕业生、团结关爱人员等重点群体就业问题。</w:t>
      </w:r>
      <w:r>
        <w:rPr>
          <w:rFonts w:hint="eastAsia" w:ascii="仿宋" w:hAnsi="仿宋" w:eastAsia="仿宋" w:cs="仿宋"/>
          <w:color w:val="auto"/>
          <w:sz w:val="32"/>
          <w:szCs w:val="32"/>
          <w:highlight w:val="none"/>
          <w:lang w:eastAsia="zh-CN"/>
        </w:rPr>
        <w:t>六</w:t>
      </w:r>
      <w:r>
        <w:rPr>
          <w:rFonts w:hint="eastAsia" w:ascii="仿宋" w:hAnsi="仿宋" w:eastAsia="仿宋" w:cs="仿宋"/>
          <w:color w:val="auto"/>
          <w:sz w:val="32"/>
          <w:szCs w:val="32"/>
          <w:highlight w:val="none"/>
        </w:rPr>
        <w:t>是继续规范农村集体资产管理、壮大集体经济，促进农民持续增收，确保社会村和谐稳定。</w:t>
      </w:r>
      <w:r>
        <w:rPr>
          <w:rFonts w:hint="eastAsia" w:ascii="仿宋" w:hAnsi="仿宋" w:eastAsia="仿宋" w:cs="仿宋"/>
          <w:color w:val="auto"/>
          <w:sz w:val="32"/>
          <w:szCs w:val="32"/>
          <w:highlight w:val="none"/>
          <w:lang w:eastAsia="zh-CN"/>
        </w:rPr>
        <w:t>七</w:t>
      </w:r>
      <w:r>
        <w:rPr>
          <w:rFonts w:hint="eastAsia" w:ascii="仿宋" w:hAnsi="仿宋" w:eastAsia="仿宋" w:cs="仿宋"/>
          <w:color w:val="auto"/>
          <w:sz w:val="32"/>
          <w:szCs w:val="32"/>
          <w:highlight w:val="none"/>
        </w:rPr>
        <w:t>是进一步提升业务专业水平，建立灵活有效的激励机制，开拓市场份额，严格执行考核机制。</w:t>
      </w:r>
    </w:p>
    <w:p>
      <w:pPr>
        <w:pStyle w:val="4"/>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库尔勒市托布力其乡人民政府2023年通过本部门预算支出，确保了85名在职人员的工资、津贴、补贴、社保、绩效、公积金等以及16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2023年我部门年初安排预算数为2340.76万元，其中:上级安排0万元,本级安排2340.76万元，其他资金0万元。</w:t>
      </w:r>
    </w:p>
    <w:p>
      <w:pPr>
        <w:pStyle w:val="4"/>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我部门年初安排预算数2340.76万元，年中调整数+6142.63万元，调整后全年预算数8483.39万元，预算调整率262.24%。</w:t>
      </w:r>
    </w:p>
    <w:p>
      <w:pPr>
        <w:pStyle w:val="4"/>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我单位2023年度部门整体支出为8483.39万元，其中：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2244.7</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6238.69</w:t>
      </w:r>
      <w:r>
        <w:rPr>
          <w:rFonts w:hint="eastAsia" w:ascii="仿宋" w:hAnsi="仿宋" w:eastAsia="仿宋" w:cs="仿宋"/>
          <w:color w:val="auto"/>
          <w:sz w:val="32"/>
          <w:szCs w:val="32"/>
          <w:highlight w:val="none"/>
          <w:lang w:val="en-US" w:eastAsia="zh-CN"/>
        </w:rPr>
        <w:t>万元，主要用于春节前农民工工资</w:t>
      </w:r>
      <w:r>
        <w:rPr>
          <w:rFonts w:hint="eastAsia" w:ascii="仿宋" w:hAnsi="仿宋" w:eastAsia="仿宋" w:cs="仿宋"/>
          <w:b w:val="0"/>
          <w:bCs w:val="0"/>
          <w:color w:val="auto"/>
          <w:kern w:val="2"/>
          <w:sz w:val="32"/>
          <w:szCs w:val="32"/>
          <w:highlight w:val="none"/>
          <w:lang w:val="en-US" w:eastAsia="zh-CN" w:bidi="ar-SA"/>
        </w:rPr>
        <w:t>项目18万元、托布力其乡托布力其村人居环境整治项目1000万元、托布力其乡艾力坎土曼村人居环境整治项目200万元、托布力其乡特色酸奶提质增效项目450万元、农村综合改革转移支付人居环境整治项目1.91万元、2022年度棉花目标价格改革补贴资金4536.77万元、托布力其乡五小工程项目32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2023年我部门基本支出年初预算安排2309.41万元，全年预算数2244.7万元，全年实际支出数2244.7万元，其中：人员经费1865.92万元，公用经费378.78万元。全年预算执行率100.00%。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p>
    <w:p>
      <w:pPr>
        <w:pStyle w:val="4"/>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2023年本单位共安排7个项目，全年预算数为6238.69万元，全年实际支出数6238.69万元，执行率100.00%。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其中:上级安排项目6个6220.69万元，本级安排项目1个18万元,其他资金安排项目0个0万元。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10"/>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我单位将部门单位整体绩效目标细化分解为具体的绩效指标，一级指标共1条，二级指标共1条，三级指标共5条，其中量化指标条数共5条，所有绩效指标均通过清晰、可衡量的指标值予以体现。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数量指标1：覆盖基层组织个数,预期指标值为：&gt;=6个；监控节点完成值：=6个；评价实际完成值：=6个；指标完成率：100.00%；成效分析：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，提高了工作效率，改善了工作质量及服务水平，。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数量指标2：工作队在职人数,预期指标值为：&gt;=22人；监控节点完成值：=22人；评价实际完成值：=22人；指标完成率：100.00%；成效分析：通过单位正常运转，</w:t>
      </w:r>
      <w:r>
        <w:rPr>
          <w:rStyle w:val="10"/>
          <w:rFonts w:hint="eastAsia" w:ascii="仿宋" w:hAnsi="仿宋" w:eastAsia="仿宋" w:cs="仿宋"/>
          <w:b w:val="0"/>
          <w:color w:val="auto"/>
          <w:spacing w:val="-4"/>
          <w:sz w:val="32"/>
          <w:szCs w:val="32"/>
          <w:highlight w:val="none"/>
          <w:lang w:val="en-US" w:eastAsia="zh-CN"/>
        </w:rPr>
        <w:t>提高了工作效率，改善了工作质量及服务水平。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数量指标3：农牧民实用技能培训场次数,预期指标值为：&gt;=10次；监控节点完成值：=6次；评价实际完成值：=10次；指标完成率：100.00%；成效分析：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，提高了工作效率，改善了工作质量及服务水平。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数量指标4：为民办实事件数量,预期指标值为：&gt;=10件；监控节点完成值：=4件；评价实际完成值：=10件；指标完成率：100.00%；成效分析：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，提高了工作效率，改善了工作质量及服务水平。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Fonts w:hint="eastAsia"/>
          <w:color w:val="auto"/>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数量指标5：基本养老、社会</w:t>
      </w:r>
      <w:bookmarkStart w:id="0" w:name="_GoBack"/>
      <w:bookmarkEnd w:id="0"/>
      <w:r>
        <w:rPr>
          <w:rStyle w:val="10"/>
          <w:rFonts w:hint="eastAsia" w:ascii="仿宋" w:hAnsi="仿宋" w:eastAsia="仿宋" w:cs="仿宋"/>
          <w:b w:val="0"/>
          <w:color w:val="auto"/>
          <w:spacing w:val="-4"/>
          <w:sz w:val="32"/>
          <w:szCs w:val="32"/>
          <w:highlight w:val="none"/>
          <w:lang w:val="en-US" w:eastAsia="zh-CN"/>
        </w:rPr>
        <w:t>保险参保率,预期指标值为：&gt;=98%；监控节点完成值：=100.00%；评价实际完成值：=100.00%；指标完成率：100.00%；成效分析：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，提高了工作效率，改善了工作质量及服务水平。</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ascii="黑体" w:hAnsi="黑体" w:eastAsia="黑体"/>
          <w:b w:val="0"/>
          <w:bCs w:val="0"/>
          <w:color w:val="auto"/>
          <w:spacing w:val="-4"/>
          <w:sz w:val="32"/>
          <w:szCs w:val="32"/>
          <w:highlight w:val="none"/>
        </w:rPr>
      </w:pPr>
      <w:r>
        <w:rPr>
          <w:rStyle w:val="10"/>
          <w:rFonts w:hint="eastAsia" w:ascii="黑体" w:hAnsi="黑体" w:eastAsia="黑体"/>
          <w:b w:val="0"/>
          <w:bCs w:val="0"/>
          <w:color w:val="auto"/>
          <w:spacing w:val="-4"/>
          <w:sz w:val="32"/>
          <w:szCs w:val="32"/>
          <w:highlight w:val="none"/>
          <w:lang w:val="en-US" w:eastAsia="zh-CN"/>
        </w:rPr>
        <w:t>四、</w:t>
      </w:r>
      <w:r>
        <w:rPr>
          <w:rStyle w:val="10"/>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2023年度部门整体支出绩效自评综合得分100分，评价结果为“优”。</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五、</w:t>
      </w:r>
      <w:r>
        <w:rPr>
          <w:rStyle w:val="10"/>
          <w:rFonts w:hint="eastAsia" w:ascii="黑体" w:hAnsi="黑体" w:eastAsia="黑体" w:cs="黑体"/>
          <w:b w:val="0"/>
          <w:bCs w:val="0"/>
          <w:color w:val="auto"/>
          <w:spacing w:val="-4"/>
          <w:sz w:val="32"/>
          <w:szCs w:val="32"/>
          <w:highlight w:val="none"/>
        </w:rPr>
        <w:t>存在的主要问题</w:t>
      </w:r>
      <w:r>
        <w:rPr>
          <w:rStyle w:val="10"/>
          <w:rFonts w:hint="eastAsia" w:ascii="黑体" w:hAnsi="黑体" w:eastAsia="黑体" w:cs="黑体"/>
          <w:b w:val="0"/>
          <w:bCs w:val="0"/>
          <w:color w:val="auto"/>
          <w:spacing w:val="-4"/>
          <w:sz w:val="32"/>
          <w:szCs w:val="32"/>
          <w:highlight w:val="none"/>
          <w:lang w:eastAsia="zh-CN"/>
        </w:rPr>
        <w:t>及原因分析</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2023年本单位基本支出绩效目标全部完成，不存在未完成绩效目标情况。但在资金管理等方面仍存在部分问题，具体如下：</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一是对预算绩效的认识还不够深入，相关知识了解还不够、掌握还不够多，把绩效管理简单等同于工作目标、工作考核和业务管理；二是资金管理水平有待进一步提高，财务审核还需进一步加强。</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六、</w:t>
      </w:r>
      <w:r>
        <w:rPr>
          <w:rStyle w:val="10"/>
          <w:rFonts w:hint="eastAsia" w:ascii="黑体" w:hAnsi="黑体" w:eastAsia="黑体" w:cs="黑体"/>
          <w:b w:val="0"/>
          <w:bCs w:val="0"/>
          <w:color w:val="auto"/>
          <w:spacing w:val="-4"/>
          <w:sz w:val="32"/>
          <w:szCs w:val="32"/>
          <w:highlight w:val="none"/>
        </w:rPr>
        <w:t>改进措施和建议</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（1）预算绩效观念不深入。</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在日常绩效监控工作中存在着一定程度的“重分配、轻管理、重支出、轻绩效”的情况，造成该问题的主要原因是自身绩效理念较薄弱，单位绩效目标编制仍有缺失，需要进一步加强对资金绩效管理的重视程度。</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（2）预算绩效规范管理有盲点。</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七、</w:t>
      </w:r>
      <w:r>
        <w:rPr>
          <w:rStyle w:val="10"/>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0B3AC4-D99D-42B2-934A-7365248639F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141F5CFF-AAA7-425C-A170-B8545D19E95F}"/>
  </w:font>
  <w:font w:name="仿宋_GB2312">
    <w:panose1 w:val="02010609030101010101"/>
    <w:charset w:val="86"/>
    <w:family w:val="modern"/>
    <w:pitch w:val="default"/>
    <w:sig w:usb0="00000001" w:usb1="080E0000" w:usb2="00000000" w:usb3="00000000" w:csb0="00040000" w:csb1="00000000"/>
    <w:embedRegular r:id="rId3" w:fontKey="{1411038F-F9B7-49E1-AAC6-EF8B5FAFBCFB}"/>
  </w:font>
  <w:font w:name="楷体">
    <w:panose1 w:val="02010609060101010101"/>
    <w:charset w:val="86"/>
    <w:family w:val="modern"/>
    <w:pitch w:val="default"/>
    <w:sig w:usb0="800002BF" w:usb1="38CF7CFA" w:usb2="00000016" w:usb3="00000000" w:csb0="00040001" w:csb1="00000000"/>
    <w:embedRegular r:id="rId4" w:fontKey="{A6BB9C97-E20C-4008-AE75-6B7FBF33F95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2D0334"/>
    <w:rsid w:val="016D0077"/>
    <w:rsid w:val="02355837"/>
    <w:rsid w:val="023B0973"/>
    <w:rsid w:val="02610413"/>
    <w:rsid w:val="02F163A2"/>
    <w:rsid w:val="02FE786C"/>
    <w:rsid w:val="03341650"/>
    <w:rsid w:val="036F2FCB"/>
    <w:rsid w:val="03B2599D"/>
    <w:rsid w:val="043C5F8E"/>
    <w:rsid w:val="049941F3"/>
    <w:rsid w:val="04A60F90"/>
    <w:rsid w:val="04D2103C"/>
    <w:rsid w:val="04D550AF"/>
    <w:rsid w:val="055A7CE0"/>
    <w:rsid w:val="06B83B39"/>
    <w:rsid w:val="06DE29E2"/>
    <w:rsid w:val="071579E5"/>
    <w:rsid w:val="07702E6D"/>
    <w:rsid w:val="07A86AAB"/>
    <w:rsid w:val="07C65825"/>
    <w:rsid w:val="08D229F4"/>
    <w:rsid w:val="08DE3DA8"/>
    <w:rsid w:val="09067414"/>
    <w:rsid w:val="09170A81"/>
    <w:rsid w:val="0AC27E84"/>
    <w:rsid w:val="0B0F5B25"/>
    <w:rsid w:val="0BD256C9"/>
    <w:rsid w:val="0D3F0613"/>
    <w:rsid w:val="0D617282"/>
    <w:rsid w:val="0F661726"/>
    <w:rsid w:val="0F772EC6"/>
    <w:rsid w:val="0F877334"/>
    <w:rsid w:val="10182B28"/>
    <w:rsid w:val="109160DD"/>
    <w:rsid w:val="10947BCD"/>
    <w:rsid w:val="114B3E5E"/>
    <w:rsid w:val="115E3FEE"/>
    <w:rsid w:val="116B384E"/>
    <w:rsid w:val="11DD16C8"/>
    <w:rsid w:val="127A77C1"/>
    <w:rsid w:val="12BE2A0A"/>
    <w:rsid w:val="130A20A3"/>
    <w:rsid w:val="13352CE1"/>
    <w:rsid w:val="13E07D60"/>
    <w:rsid w:val="150177FB"/>
    <w:rsid w:val="15875F52"/>
    <w:rsid w:val="15B73666"/>
    <w:rsid w:val="15C42D02"/>
    <w:rsid w:val="168A2EA6"/>
    <w:rsid w:val="17D5194F"/>
    <w:rsid w:val="180A4FDB"/>
    <w:rsid w:val="1840056E"/>
    <w:rsid w:val="188727A9"/>
    <w:rsid w:val="192177D8"/>
    <w:rsid w:val="196A001E"/>
    <w:rsid w:val="198331C0"/>
    <w:rsid w:val="19AD1CFF"/>
    <w:rsid w:val="19C92FDD"/>
    <w:rsid w:val="19DB061A"/>
    <w:rsid w:val="19E576EB"/>
    <w:rsid w:val="19FF664E"/>
    <w:rsid w:val="1A091F78"/>
    <w:rsid w:val="1A6D6D72"/>
    <w:rsid w:val="1AEB4D61"/>
    <w:rsid w:val="1BD75DDA"/>
    <w:rsid w:val="1C230AC0"/>
    <w:rsid w:val="1C615CEF"/>
    <w:rsid w:val="1CDA72AF"/>
    <w:rsid w:val="1D632B53"/>
    <w:rsid w:val="1D7602A9"/>
    <w:rsid w:val="1DC83D3D"/>
    <w:rsid w:val="1E613949"/>
    <w:rsid w:val="1EAE0073"/>
    <w:rsid w:val="1F195A2C"/>
    <w:rsid w:val="205102FB"/>
    <w:rsid w:val="20762FC4"/>
    <w:rsid w:val="212C60E2"/>
    <w:rsid w:val="21DB6E7F"/>
    <w:rsid w:val="21DE15EF"/>
    <w:rsid w:val="23021A8B"/>
    <w:rsid w:val="2320540D"/>
    <w:rsid w:val="23254B60"/>
    <w:rsid w:val="236E0539"/>
    <w:rsid w:val="23E6478B"/>
    <w:rsid w:val="2422471A"/>
    <w:rsid w:val="24A85EE5"/>
    <w:rsid w:val="24DB72C2"/>
    <w:rsid w:val="263962DE"/>
    <w:rsid w:val="27526EE1"/>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C7000C"/>
    <w:rsid w:val="29D532D8"/>
    <w:rsid w:val="29E74DB9"/>
    <w:rsid w:val="2A0B6FEB"/>
    <w:rsid w:val="2A2A3694"/>
    <w:rsid w:val="2A6B1740"/>
    <w:rsid w:val="2A856732"/>
    <w:rsid w:val="2AB71864"/>
    <w:rsid w:val="2AD30362"/>
    <w:rsid w:val="2ADB1F8F"/>
    <w:rsid w:val="2B161A0E"/>
    <w:rsid w:val="2B1D67DB"/>
    <w:rsid w:val="2B2D4A4E"/>
    <w:rsid w:val="2BCA3DF7"/>
    <w:rsid w:val="2BFA5278"/>
    <w:rsid w:val="2C3F44FD"/>
    <w:rsid w:val="2C8903AA"/>
    <w:rsid w:val="2CD01740"/>
    <w:rsid w:val="2CE43832"/>
    <w:rsid w:val="2DAA6B58"/>
    <w:rsid w:val="2DB034FA"/>
    <w:rsid w:val="2E4A4A48"/>
    <w:rsid w:val="2F8715FA"/>
    <w:rsid w:val="2FB43990"/>
    <w:rsid w:val="2FC040E2"/>
    <w:rsid w:val="30143D58"/>
    <w:rsid w:val="30240D0F"/>
    <w:rsid w:val="308158E7"/>
    <w:rsid w:val="309817B5"/>
    <w:rsid w:val="30A86679"/>
    <w:rsid w:val="31505F30"/>
    <w:rsid w:val="3177520D"/>
    <w:rsid w:val="31C7249B"/>
    <w:rsid w:val="31FB7654"/>
    <w:rsid w:val="322A069D"/>
    <w:rsid w:val="32565D7D"/>
    <w:rsid w:val="336E47B8"/>
    <w:rsid w:val="337D2302"/>
    <w:rsid w:val="33935522"/>
    <w:rsid w:val="33DE0EF4"/>
    <w:rsid w:val="3416678C"/>
    <w:rsid w:val="34486A39"/>
    <w:rsid w:val="34C13400"/>
    <w:rsid w:val="34E22161"/>
    <w:rsid w:val="34F32864"/>
    <w:rsid w:val="35386E11"/>
    <w:rsid w:val="35612ABD"/>
    <w:rsid w:val="375B2943"/>
    <w:rsid w:val="38086A4E"/>
    <w:rsid w:val="38C32119"/>
    <w:rsid w:val="38EA5CAA"/>
    <w:rsid w:val="38EE054F"/>
    <w:rsid w:val="393D37B5"/>
    <w:rsid w:val="39440A0C"/>
    <w:rsid w:val="398443D3"/>
    <w:rsid w:val="398C3287"/>
    <w:rsid w:val="39A60AF6"/>
    <w:rsid w:val="3AA12D62"/>
    <w:rsid w:val="3B2319C9"/>
    <w:rsid w:val="3B5D5890"/>
    <w:rsid w:val="3BA6683D"/>
    <w:rsid w:val="3BC431AC"/>
    <w:rsid w:val="3C012639"/>
    <w:rsid w:val="3D137F84"/>
    <w:rsid w:val="3DA52B6A"/>
    <w:rsid w:val="3E833FCF"/>
    <w:rsid w:val="3EE3321B"/>
    <w:rsid w:val="3EE93EED"/>
    <w:rsid w:val="3F177A97"/>
    <w:rsid w:val="3FF57BF1"/>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62C7B1B"/>
    <w:rsid w:val="46BF2EEE"/>
    <w:rsid w:val="47013FF5"/>
    <w:rsid w:val="48240FC1"/>
    <w:rsid w:val="484A2C8B"/>
    <w:rsid w:val="48500FEB"/>
    <w:rsid w:val="49107926"/>
    <w:rsid w:val="49284D7B"/>
    <w:rsid w:val="49487285"/>
    <w:rsid w:val="49543DC1"/>
    <w:rsid w:val="4A0F39E7"/>
    <w:rsid w:val="4AAD3196"/>
    <w:rsid w:val="4B364032"/>
    <w:rsid w:val="4B3B68BB"/>
    <w:rsid w:val="4B443785"/>
    <w:rsid w:val="4B537C75"/>
    <w:rsid w:val="4BE53646"/>
    <w:rsid w:val="4C431ECB"/>
    <w:rsid w:val="4CC33C9F"/>
    <w:rsid w:val="4E760D0B"/>
    <w:rsid w:val="4E8F65E3"/>
    <w:rsid w:val="4EC80245"/>
    <w:rsid w:val="4ED65AC3"/>
    <w:rsid w:val="4F596A69"/>
    <w:rsid w:val="50063DD3"/>
    <w:rsid w:val="504133D8"/>
    <w:rsid w:val="505863A4"/>
    <w:rsid w:val="50591CBD"/>
    <w:rsid w:val="50A240F7"/>
    <w:rsid w:val="51971C1E"/>
    <w:rsid w:val="51FF2E33"/>
    <w:rsid w:val="520074C6"/>
    <w:rsid w:val="525877BC"/>
    <w:rsid w:val="5272504D"/>
    <w:rsid w:val="52CA50F4"/>
    <w:rsid w:val="53E74E53"/>
    <w:rsid w:val="543D24BF"/>
    <w:rsid w:val="548754B8"/>
    <w:rsid w:val="54CA318A"/>
    <w:rsid w:val="554E1DFD"/>
    <w:rsid w:val="55517AB0"/>
    <w:rsid w:val="57192BB8"/>
    <w:rsid w:val="5734671F"/>
    <w:rsid w:val="573F696B"/>
    <w:rsid w:val="57423EBA"/>
    <w:rsid w:val="57813298"/>
    <w:rsid w:val="57AE7CE9"/>
    <w:rsid w:val="57BB500C"/>
    <w:rsid w:val="58753EBA"/>
    <w:rsid w:val="58E426FC"/>
    <w:rsid w:val="58FC3B2E"/>
    <w:rsid w:val="59063548"/>
    <w:rsid w:val="5A6776CD"/>
    <w:rsid w:val="5ADD1E8F"/>
    <w:rsid w:val="5AE6303A"/>
    <w:rsid w:val="5B155A7C"/>
    <w:rsid w:val="5B442B97"/>
    <w:rsid w:val="5B745BFD"/>
    <w:rsid w:val="5B977B3E"/>
    <w:rsid w:val="5BD60459"/>
    <w:rsid w:val="5C5B0B6B"/>
    <w:rsid w:val="5CB643E4"/>
    <w:rsid w:val="5D8D11F8"/>
    <w:rsid w:val="5DC57941"/>
    <w:rsid w:val="5E2D5305"/>
    <w:rsid w:val="5EED5FC7"/>
    <w:rsid w:val="5F1D65AC"/>
    <w:rsid w:val="5F230066"/>
    <w:rsid w:val="5F41229A"/>
    <w:rsid w:val="5F814D8D"/>
    <w:rsid w:val="5F9F4E64"/>
    <w:rsid w:val="5FA47678"/>
    <w:rsid w:val="5FE455B0"/>
    <w:rsid w:val="60504E56"/>
    <w:rsid w:val="60535261"/>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8A6854"/>
    <w:rsid w:val="66DF5346"/>
    <w:rsid w:val="66E14AAB"/>
    <w:rsid w:val="6736630B"/>
    <w:rsid w:val="677A0BA1"/>
    <w:rsid w:val="67EE0E11"/>
    <w:rsid w:val="68DF3109"/>
    <w:rsid w:val="693F2885"/>
    <w:rsid w:val="699F5DE9"/>
    <w:rsid w:val="6A2D3109"/>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1182116"/>
    <w:rsid w:val="71205936"/>
    <w:rsid w:val="71477CCB"/>
    <w:rsid w:val="7178018F"/>
    <w:rsid w:val="71BA40BB"/>
    <w:rsid w:val="71CD052F"/>
    <w:rsid w:val="726906AD"/>
    <w:rsid w:val="73740A39"/>
    <w:rsid w:val="73D43285"/>
    <w:rsid w:val="74025FBA"/>
    <w:rsid w:val="742B746E"/>
    <w:rsid w:val="74736F42"/>
    <w:rsid w:val="74CA7F29"/>
    <w:rsid w:val="752B1D3E"/>
    <w:rsid w:val="75913D16"/>
    <w:rsid w:val="763C0048"/>
    <w:rsid w:val="77135965"/>
    <w:rsid w:val="77262B54"/>
    <w:rsid w:val="772D4414"/>
    <w:rsid w:val="773A5C43"/>
    <w:rsid w:val="775947BB"/>
    <w:rsid w:val="77AD276B"/>
    <w:rsid w:val="77B87094"/>
    <w:rsid w:val="77C96E08"/>
    <w:rsid w:val="78E27C50"/>
    <w:rsid w:val="78E53949"/>
    <w:rsid w:val="79500F4C"/>
    <w:rsid w:val="7986195D"/>
    <w:rsid w:val="79E005EE"/>
    <w:rsid w:val="7A044DC4"/>
    <w:rsid w:val="7A865511"/>
    <w:rsid w:val="7AA20E97"/>
    <w:rsid w:val="7AAA4D40"/>
    <w:rsid w:val="7ABC4A73"/>
    <w:rsid w:val="7AC10876"/>
    <w:rsid w:val="7B2F16E9"/>
    <w:rsid w:val="7B334ED0"/>
    <w:rsid w:val="7BE71C92"/>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widowControl/>
      <w:spacing w:before="240" w:after="60"/>
      <w:jc w:val="left"/>
      <w:outlineLvl w:val="0"/>
    </w:pPr>
    <w:rPr>
      <w:rFonts w:ascii="Cambria" w:hAnsi="Cambria" w:eastAsia="宋体" w:cs="Times New Roman"/>
      <w:b/>
      <w:bCs/>
      <w:kern w:val="32"/>
      <w:sz w:val="32"/>
      <w:szCs w:val="32"/>
      <w:lang w:val="en-US" w:eastAsia="zh-CN" w:bidi="ar-SA"/>
    </w:rPr>
  </w:style>
  <w:style w:type="paragraph" w:styleId="4">
    <w:name w:val="heading 3"/>
    <w:basedOn w:val="1"/>
    <w:next w:val="1"/>
    <w:qFormat/>
    <w:uiPriority w:val="0"/>
    <w:pPr>
      <w:keepNext/>
      <w:keepLines/>
      <w:spacing w:line="560" w:lineRule="exact"/>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index 1"/>
    <w:basedOn w:val="1"/>
    <w:next w:val="1"/>
    <w:unhideWhenUsed/>
    <w:qFormat/>
    <w:uiPriority w:val="99"/>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0"/>
    <w:rPr>
      <w:b/>
      <w:bCs/>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409</Words>
  <Characters>422</Characters>
  <Lines>9</Lines>
  <Paragraphs>2</Paragraphs>
  <TotalTime>13</TotalTime>
  <ScaleCrop>false</ScaleCrop>
  <LinksUpToDate>false</LinksUpToDate>
  <CharactersWithSpaces>444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2025-02-05T11:49:53Z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2CDE64669BE04A4982BE740A3B8B3269_13</vt:lpwstr>
  </property>
</Properties>
</file>