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库尔勒市托布力其乡人民政府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val="en-US"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val="en-US"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spacing w:beforeLines="0" w:afterLines="0"/>
        <w:ind w:firstLine="640" w:firstLineChars="200"/>
        <w:jc w:val="left"/>
        <w:rPr>
          <w:rFonts w:hint="eastAsia" w:ascii="仿宋_GB2312" w:eastAsia="仿宋_GB2312"/>
          <w:sz w:val="32"/>
          <w:szCs w:val="24"/>
        </w:rPr>
      </w:pPr>
      <w:bookmarkStart w:id="4" w:name="_Toc31238"/>
      <w:bookmarkStart w:id="5" w:name="_Toc2151"/>
      <w:r>
        <w:rPr>
          <w:rFonts w:hint="eastAsia" w:ascii="仿宋_GB2312" w:eastAsia="仿宋_GB2312"/>
          <w:sz w:val="32"/>
          <w:szCs w:val="24"/>
        </w:rPr>
        <w:t xml:space="preserve">1.宣传、执行党的路线、方针、政策和国家法律、法规， </w:t>
      </w:r>
    </w:p>
    <w:p>
      <w:pPr>
        <w:spacing w:beforeLines="0" w:afterLines="0"/>
        <w:jc w:val="left"/>
        <w:rPr>
          <w:rFonts w:hint="eastAsia" w:ascii="仿宋_GB2312" w:eastAsia="仿宋_GB2312"/>
          <w:sz w:val="32"/>
          <w:szCs w:val="24"/>
        </w:rPr>
      </w:pPr>
      <w:r>
        <w:rPr>
          <w:rFonts w:hint="eastAsia" w:ascii="仿宋_GB2312" w:eastAsia="仿宋_GB2312"/>
          <w:sz w:val="32"/>
          <w:szCs w:val="24"/>
        </w:rPr>
        <w:t xml:space="preserve">保证上级党委政府决议、决定的落实，对居民进行思想政治 </w:t>
      </w:r>
    </w:p>
    <w:p>
      <w:pPr>
        <w:spacing w:beforeLines="0" w:afterLines="0"/>
        <w:jc w:val="left"/>
        <w:rPr>
          <w:rFonts w:hint="eastAsia" w:ascii="仿宋_GB2312" w:eastAsia="仿宋_GB2312"/>
          <w:sz w:val="32"/>
          <w:szCs w:val="24"/>
        </w:rPr>
      </w:pPr>
      <w:r>
        <w:rPr>
          <w:rFonts w:hint="eastAsia" w:ascii="仿宋_GB2312" w:eastAsia="仿宋_GB2312"/>
          <w:sz w:val="32"/>
          <w:szCs w:val="24"/>
        </w:rPr>
        <w:t xml:space="preserve">教育和社会主义法治宣传。 </w:t>
      </w:r>
    </w:p>
    <w:p>
      <w:pPr>
        <w:spacing w:beforeLines="0" w:afterLines="0"/>
        <w:ind w:firstLine="640" w:firstLineChars="200"/>
        <w:jc w:val="left"/>
        <w:rPr>
          <w:rFonts w:hint="eastAsia" w:ascii="仿宋_GB2312" w:eastAsia="仿宋_GB2312"/>
          <w:sz w:val="32"/>
          <w:szCs w:val="24"/>
        </w:rPr>
      </w:pPr>
      <w:r>
        <w:rPr>
          <w:rFonts w:hint="eastAsia" w:ascii="仿宋_GB2312" w:eastAsia="仿宋_GB2312"/>
          <w:sz w:val="32"/>
          <w:szCs w:val="24"/>
        </w:rPr>
        <w:t xml:space="preserve">2.组织领导乡经济工作，制定乡经济发展规划，检查、 </w:t>
      </w:r>
    </w:p>
    <w:p>
      <w:pPr>
        <w:spacing w:beforeLines="0" w:afterLines="0"/>
        <w:jc w:val="left"/>
        <w:rPr>
          <w:rFonts w:hint="eastAsia" w:ascii="仿宋_GB2312" w:eastAsia="仿宋_GB2312"/>
          <w:sz w:val="32"/>
          <w:szCs w:val="24"/>
        </w:rPr>
      </w:pPr>
      <w:r>
        <w:rPr>
          <w:rFonts w:hint="eastAsia" w:ascii="仿宋_GB2312" w:eastAsia="仿宋_GB2312"/>
          <w:sz w:val="32"/>
          <w:szCs w:val="24"/>
        </w:rPr>
        <w:t xml:space="preserve">督促各经济组织开展工作，负责乡财政预算和收支管理。 </w:t>
      </w:r>
    </w:p>
    <w:p>
      <w:pPr>
        <w:spacing w:beforeLines="0" w:afterLines="0"/>
        <w:ind w:firstLine="640" w:firstLineChars="200"/>
        <w:jc w:val="left"/>
        <w:rPr>
          <w:rFonts w:hint="eastAsia" w:ascii="仿宋_GB2312" w:eastAsia="仿宋_GB2312"/>
          <w:sz w:val="32"/>
          <w:szCs w:val="24"/>
        </w:rPr>
      </w:pPr>
      <w:r>
        <w:rPr>
          <w:rFonts w:hint="eastAsia" w:ascii="仿宋_GB2312" w:eastAsia="仿宋_GB2312"/>
          <w:sz w:val="32"/>
          <w:szCs w:val="24"/>
        </w:rPr>
        <w:t xml:space="preserve">3.加强外来人口管理，开展民事调解，保护老人、儿童、 </w:t>
      </w:r>
    </w:p>
    <w:p>
      <w:pPr>
        <w:spacing w:beforeLines="0" w:afterLines="0"/>
        <w:jc w:val="left"/>
        <w:rPr>
          <w:rFonts w:hint="eastAsia" w:ascii="仿宋_GB2312" w:eastAsia="仿宋_GB2312"/>
          <w:sz w:val="32"/>
          <w:szCs w:val="24"/>
        </w:rPr>
      </w:pPr>
      <w:r>
        <w:rPr>
          <w:rFonts w:hint="eastAsia" w:ascii="仿宋_GB2312" w:eastAsia="仿宋_GB2312"/>
          <w:sz w:val="32"/>
          <w:szCs w:val="24"/>
        </w:rPr>
        <w:t xml:space="preserve">妇女、残疾人和青少年的合法权益，保障辖区内政治稳定和 </w:t>
      </w:r>
    </w:p>
    <w:p>
      <w:pPr>
        <w:spacing w:beforeLines="0" w:afterLines="0"/>
        <w:jc w:val="left"/>
        <w:rPr>
          <w:rFonts w:hint="eastAsia" w:ascii="仿宋_GB2312" w:eastAsia="仿宋_GB2312"/>
          <w:sz w:val="32"/>
          <w:szCs w:val="24"/>
        </w:rPr>
      </w:pPr>
      <w:r>
        <w:rPr>
          <w:rFonts w:hint="eastAsia" w:ascii="仿宋_GB2312" w:eastAsia="仿宋_GB2312"/>
          <w:sz w:val="32"/>
          <w:szCs w:val="24"/>
        </w:rPr>
        <w:t xml:space="preserve">社会安定。 </w:t>
      </w:r>
    </w:p>
    <w:p>
      <w:pPr>
        <w:spacing w:beforeLines="0" w:afterLines="0"/>
        <w:ind w:firstLine="640" w:firstLineChars="200"/>
        <w:jc w:val="left"/>
        <w:rPr>
          <w:rFonts w:hint="eastAsia" w:ascii="仿宋_GB2312" w:eastAsia="仿宋_GB2312"/>
          <w:sz w:val="32"/>
          <w:szCs w:val="24"/>
        </w:rPr>
      </w:pPr>
      <w:r>
        <w:rPr>
          <w:rFonts w:hint="eastAsia" w:ascii="仿宋_GB2312" w:eastAsia="仿宋_GB2312"/>
          <w:sz w:val="32"/>
          <w:szCs w:val="24"/>
        </w:rPr>
        <w:t xml:space="preserve">4.开展党的建设、群众文化、科普、精神文明、爱国卫 </w:t>
      </w:r>
    </w:p>
    <w:p>
      <w:pPr>
        <w:spacing w:beforeLines="0" w:afterLines="0"/>
        <w:jc w:val="left"/>
        <w:rPr>
          <w:rFonts w:hint="eastAsia" w:ascii="仿宋_GB2312" w:eastAsia="仿宋_GB2312"/>
          <w:sz w:val="32"/>
          <w:szCs w:val="24"/>
        </w:rPr>
      </w:pPr>
      <w:r>
        <w:rPr>
          <w:rFonts w:hint="eastAsia" w:ascii="仿宋_GB2312" w:eastAsia="仿宋_GB2312"/>
          <w:sz w:val="32"/>
          <w:szCs w:val="24"/>
        </w:rPr>
        <w:t xml:space="preserve">生、计划生育、环境卫生、绿化美化、民政、社会保障、健 </w:t>
      </w:r>
    </w:p>
    <w:p>
      <w:pPr>
        <w:spacing w:beforeLines="0" w:afterLines="0"/>
        <w:jc w:val="left"/>
        <w:rPr>
          <w:rFonts w:hint="eastAsia" w:ascii="仿宋_GB2312" w:eastAsia="仿宋_GB2312"/>
          <w:sz w:val="32"/>
          <w:szCs w:val="24"/>
        </w:rPr>
      </w:pPr>
      <w:r>
        <w:rPr>
          <w:rFonts w:hint="eastAsia" w:ascii="仿宋_GB2312" w:eastAsia="仿宋_GB2312"/>
          <w:sz w:val="32"/>
          <w:szCs w:val="24"/>
        </w:rPr>
        <w:t xml:space="preserve">康教育等工作，配合有关部门做好防控、防汛防震、抢险救 </w:t>
      </w:r>
    </w:p>
    <w:p>
      <w:pPr>
        <w:spacing w:beforeLines="0" w:afterLines="0"/>
        <w:jc w:val="left"/>
        <w:rPr>
          <w:rFonts w:hint="eastAsia" w:ascii="仿宋_GB2312" w:eastAsia="仿宋_GB2312"/>
          <w:sz w:val="32"/>
          <w:szCs w:val="24"/>
        </w:rPr>
      </w:pPr>
      <w:r>
        <w:rPr>
          <w:rFonts w:hint="eastAsia" w:ascii="仿宋_GB2312" w:eastAsia="仿宋_GB2312"/>
          <w:sz w:val="32"/>
          <w:szCs w:val="24"/>
        </w:rPr>
        <w:t xml:space="preserve">灾、交通管理等工作。 </w:t>
      </w:r>
    </w:p>
    <w:p>
      <w:pPr>
        <w:spacing w:beforeLines="0" w:afterLines="0"/>
        <w:ind w:firstLine="640" w:firstLineChars="200"/>
        <w:jc w:val="left"/>
        <w:rPr>
          <w:rFonts w:hint="eastAsia" w:ascii="仿宋_GB2312" w:eastAsia="仿宋_GB2312"/>
          <w:sz w:val="32"/>
          <w:szCs w:val="24"/>
        </w:rPr>
      </w:pPr>
      <w:r>
        <w:rPr>
          <w:rFonts w:hint="eastAsia" w:ascii="仿宋_GB2312" w:eastAsia="仿宋_GB2312"/>
          <w:sz w:val="32"/>
          <w:szCs w:val="24"/>
        </w:rPr>
        <w:t xml:space="preserve">5.向上级政府反映群众的意见和要求，办理人民群众来 </w:t>
      </w:r>
    </w:p>
    <w:p>
      <w:pPr>
        <w:spacing w:beforeLines="0" w:afterLines="0"/>
        <w:jc w:val="left"/>
        <w:rPr>
          <w:rFonts w:hint="eastAsia" w:ascii="仿宋_GB2312" w:eastAsia="仿宋_GB2312"/>
          <w:sz w:val="32"/>
          <w:szCs w:val="24"/>
        </w:rPr>
      </w:pPr>
      <w:r>
        <w:rPr>
          <w:rFonts w:hint="eastAsia" w:ascii="仿宋_GB2312" w:eastAsia="仿宋_GB2312"/>
          <w:sz w:val="32"/>
          <w:szCs w:val="24"/>
        </w:rPr>
        <w:t xml:space="preserve">信来访事项，做好为居民群众服务工作。 </w:t>
      </w:r>
    </w:p>
    <w:p>
      <w:pPr>
        <w:spacing w:beforeLines="0" w:afterLines="0"/>
        <w:ind w:firstLine="640" w:firstLineChars="200"/>
        <w:outlineLvl w:val="1"/>
      </w:pPr>
      <w:r>
        <w:rPr>
          <w:rFonts w:hint="eastAsia" w:ascii="仿宋_GB2312" w:eastAsia="仿宋_GB2312"/>
          <w:sz w:val="32"/>
          <w:szCs w:val="24"/>
        </w:rPr>
        <w:t>6.办理上级人民政府交办的其他事项。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库尔勒市托布力其乡人民政府</w:t>
      </w:r>
      <w:r>
        <w:rPr>
          <w:rFonts w:hint="eastAsia" w:ascii="仿宋_GB2312" w:eastAsia="仿宋_GB2312"/>
          <w:color w:val="auto"/>
          <w:spacing w:val="0"/>
          <w:sz w:val="32"/>
          <w:szCs w:val="32"/>
          <w:highlight w:val="none"/>
          <w:lang w:eastAsia="zh-CN"/>
        </w:rPr>
        <w:t>2023年度，实有人数</w:t>
      </w:r>
      <w:r>
        <w:rPr>
          <w:rFonts w:hint="eastAsia" w:ascii="仿宋_GB2312" w:eastAsia="仿宋_GB2312"/>
          <w:color w:val="auto"/>
          <w:spacing w:val="0"/>
          <w:sz w:val="32"/>
          <w:szCs w:val="32"/>
          <w:highlight w:val="none"/>
          <w:lang w:val="zh-CN" w:eastAsia="zh-CN"/>
        </w:rPr>
        <w:t>101</w:t>
      </w:r>
      <w:r>
        <w:rPr>
          <w:rFonts w:hint="eastAsia" w:ascii="仿宋_GB2312" w:eastAsia="仿宋_GB2312"/>
          <w:color w:val="auto"/>
          <w:spacing w:val="0"/>
          <w:sz w:val="32"/>
          <w:szCs w:val="32"/>
          <w:highlight w:val="none"/>
          <w:lang w:eastAsia="zh-CN"/>
        </w:rPr>
        <w:t>人，其中：在职人员</w:t>
      </w:r>
      <w:r>
        <w:rPr>
          <w:rFonts w:hint="eastAsia" w:ascii="仿宋_GB2312" w:eastAsia="仿宋_GB2312"/>
          <w:color w:val="auto"/>
          <w:spacing w:val="0"/>
          <w:sz w:val="32"/>
          <w:szCs w:val="32"/>
          <w:highlight w:val="none"/>
          <w:lang w:val="zh-CN" w:eastAsia="zh-CN"/>
        </w:rPr>
        <w:t>85</w:t>
      </w:r>
      <w:r>
        <w:rPr>
          <w:rFonts w:hint="eastAsia" w:ascii="仿宋_GB2312" w:eastAsia="仿宋_GB2312"/>
          <w:color w:val="auto"/>
          <w:spacing w:val="0"/>
          <w:sz w:val="32"/>
          <w:szCs w:val="32"/>
          <w:highlight w:val="none"/>
          <w:lang w:eastAsia="zh-CN"/>
        </w:rPr>
        <w:t>人，离休人员</w:t>
      </w:r>
      <w:r>
        <w:rPr>
          <w:rFonts w:hint="eastAsia" w:ascii="仿宋_GB2312" w:eastAsia="仿宋_GB2312"/>
          <w:color w:val="auto"/>
          <w:spacing w:val="0"/>
          <w:sz w:val="32"/>
          <w:szCs w:val="32"/>
          <w:highlight w:val="none"/>
          <w:lang w:val="zh-CN" w:eastAsia="zh-CN"/>
        </w:rPr>
        <w:t>0</w:t>
      </w:r>
      <w:r>
        <w:rPr>
          <w:rFonts w:hint="eastAsia" w:ascii="仿宋_GB2312" w:eastAsia="仿宋_GB2312"/>
          <w:color w:val="auto"/>
          <w:spacing w:val="0"/>
          <w:sz w:val="32"/>
          <w:szCs w:val="32"/>
          <w:highlight w:val="none"/>
          <w:lang w:eastAsia="zh-CN"/>
        </w:rPr>
        <w:t>人，退休人员</w:t>
      </w:r>
      <w:r>
        <w:rPr>
          <w:rFonts w:hint="eastAsia" w:ascii="仿宋_GB2312" w:eastAsia="仿宋_GB2312"/>
          <w:color w:val="auto"/>
          <w:spacing w:val="0"/>
          <w:sz w:val="32"/>
          <w:szCs w:val="32"/>
          <w:highlight w:val="none"/>
          <w:lang w:val="zh-CN" w:eastAsia="zh-CN"/>
        </w:rPr>
        <w:t>16</w:t>
      </w:r>
      <w:r>
        <w:rPr>
          <w:rFonts w:hint="eastAsia" w:ascii="仿宋_GB2312" w:eastAsia="仿宋_GB2312"/>
          <w:color w:val="auto"/>
          <w:spacing w:val="0"/>
          <w:sz w:val="32"/>
          <w:szCs w:val="32"/>
          <w:highlight w:val="none"/>
          <w:lang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库尔勒市托布力其乡人民政府无下属预算单位，</w:t>
      </w:r>
      <w:r>
        <w:rPr>
          <w:rFonts w:hint="eastAsia" w:ascii="仿宋_GB2312" w:eastAsia="仿宋_GB2312"/>
          <w:color w:val="auto"/>
          <w:spacing w:val="0"/>
          <w:sz w:val="32"/>
          <w:szCs w:val="32"/>
          <w:highlight w:val="none"/>
          <w:lang w:eastAsia="zh-CN"/>
        </w:rPr>
        <w:t>下设</w:t>
      </w:r>
      <w:r>
        <w:rPr>
          <w:rFonts w:hint="eastAsia" w:ascii="仿宋_GB2312" w:eastAsia="仿宋_GB2312"/>
          <w:color w:val="auto"/>
          <w:spacing w:val="0"/>
          <w:sz w:val="32"/>
          <w:szCs w:val="32"/>
          <w:highlight w:val="none"/>
          <w:lang w:val="en-US" w:eastAsia="zh-CN"/>
        </w:rPr>
        <w:t>6</w:t>
      </w:r>
      <w:r>
        <w:rPr>
          <w:rFonts w:hint="eastAsia" w:ascii="仿宋_GB2312" w:eastAsia="仿宋_GB2312"/>
          <w:color w:val="auto"/>
          <w:spacing w:val="0"/>
          <w:sz w:val="32"/>
          <w:szCs w:val="32"/>
          <w:highlight w:val="none"/>
          <w:lang w:eastAsia="zh-CN"/>
        </w:rPr>
        <w:t>个处室，分别是：农业（畜牧业）发展中心，</w:t>
      </w:r>
      <w:r>
        <w:rPr>
          <w:rFonts w:hint="eastAsia" w:ascii="仿宋_GB2312" w:eastAsia="仿宋_GB2312"/>
          <w:color w:val="auto"/>
          <w:spacing w:val="0"/>
          <w:sz w:val="32"/>
          <w:szCs w:val="32"/>
          <w:highlight w:val="none"/>
          <w:lang w:val="en-US" w:eastAsia="zh-CN"/>
        </w:rPr>
        <w:t>公共文化服务中心</w:t>
      </w:r>
      <w:r>
        <w:rPr>
          <w:rFonts w:hint="eastAsia" w:ascii="仿宋_GB2312" w:eastAsia="仿宋_GB2312"/>
          <w:color w:val="auto"/>
          <w:spacing w:val="0"/>
          <w:sz w:val="32"/>
          <w:szCs w:val="32"/>
          <w:highlight w:val="none"/>
          <w:lang w:eastAsia="zh-CN"/>
        </w:rPr>
        <w:t>，社会保障（民政）服务中心，财政所（农村合作经济经营管理服务站），村镇规划建设发展服务中心（环境保护工作站），人口和计划生育生殖健康服务站。</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8,483.39万元，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8,483.39万元，使用非财政拨款结余0.00万元，年初结转和结余0.00万元。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8,483.39万元，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8,483.39万元，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增加6,233.70万元</w:t>
      </w:r>
      <w:r>
        <w:rPr>
          <w:rFonts w:hint="eastAsia" w:ascii="仿宋_GB2312" w:eastAsia="仿宋_GB2312"/>
          <w:color w:val="auto"/>
          <w:spacing w:val="0"/>
          <w:sz w:val="32"/>
          <w:szCs w:val="32"/>
          <w:highlight w:val="none"/>
          <w:lang w:eastAsia="zh-CN"/>
        </w:rPr>
        <w:t>，增长277.09%，主要原因是：</w:t>
      </w:r>
      <w:r>
        <w:rPr>
          <w:rFonts w:hint="eastAsia" w:ascii="仿宋_GB2312" w:eastAsia="仿宋_GB2312"/>
          <w:color w:val="auto"/>
          <w:spacing w:val="0"/>
          <w:sz w:val="32"/>
          <w:szCs w:val="32"/>
          <w:highlight w:val="none"/>
          <w:lang w:val="en-US" w:eastAsia="zh-CN"/>
        </w:rPr>
        <w:t>棉花价格改革补贴纳入追加预算，项目资金增加，人员工资调整</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8,483.39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8,483.39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本年支出8,483.39万元，其中：基本支出2,244.70万元，占26.46%；项目支出6,238.69万元，占73.54%；上缴上级支出0.00万元，占0.00%；经营支出0.00万元，占0.00%；对附属单位补助支出0.00万元，占0.00%。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val="0"/>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8,483.39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8,483.39</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8,483.39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8,483.39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增加6,233.70万元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增长277.09%,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棉花价格改革补贴纳入追加预算，人员工资调整</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2,340.76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8,483.39</w:t>
      </w:r>
      <w:r>
        <w:rPr>
          <w:rFonts w:hint="eastAsia" w:ascii="仿宋_GB2312" w:eastAsia="仿宋_GB2312"/>
          <w:color w:val="auto"/>
          <w:spacing w:val="0"/>
          <w:sz w:val="32"/>
          <w:szCs w:val="32"/>
          <w:highlight w:val="none"/>
          <w:lang w:eastAsia="zh-CN"/>
        </w:rPr>
        <w:t>万元，预决算差异率262.42%，主要原因是：</w:t>
      </w:r>
      <w:r>
        <w:rPr>
          <w:rFonts w:hint="eastAsia" w:ascii="仿宋_GB2312" w:eastAsia="仿宋_GB2312"/>
          <w:color w:val="auto"/>
          <w:spacing w:val="0"/>
          <w:sz w:val="32"/>
          <w:szCs w:val="32"/>
          <w:highlight w:val="none"/>
          <w:lang w:val="en-US" w:eastAsia="zh-CN"/>
        </w:rPr>
        <w:t>棉花价格改革补贴纳入追加预算，项目资金增加，人员工资调整</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2023年度一般公共预算财政拨款支出8,465.39万元，占本年支出合计的</w:t>
      </w:r>
      <w:r>
        <w:rPr>
          <w:rFonts w:hint="eastAsia" w:ascii="仿宋_GB2312" w:eastAsia="仿宋_GB2312"/>
          <w:color w:val="auto"/>
          <w:spacing w:val="0"/>
          <w:sz w:val="32"/>
          <w:szCs w:val="32"/>
          <w:highlight w:val="none"/>
          <w:lang w:val="zh-CN" w:eastAsia="zh-CN"/>
        </w:rPr>
        <w:t>99.79%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增加6,215.70万元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增长276.29%,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棉花价格改革补贴纳入追加预算，项目资金增加，人员工资调整</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2,340.76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8,465.39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261.65%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棉花价格改革补贴纳入追加预算，项目资金增加，人员工资调整</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1,543.55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18.23%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1.98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0.02%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0.53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0.01%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197.24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2.33%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115.55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1.36%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6</w:t>
      </w:r>
      <w:r>
        <w:rPr>
          <w:rFonts w:hint="eastAsia" w:ascii="仿宋_GB2312" w:hAnsi="仿宋_GB2312" w:eastAsia="仿宋_GB2312" w:cs="仿宋_GB2312"/>
          <w:color w:val="auto"/>
          <w:spacing w:val="0"/>
          <w:kern w:val="2"/>
          <w:sz w:val="32"/>
          <w:szCs w:val="32"/>
          <w:highlight w:val="none"/>
          <w:lang w:val="zh-CN" w:eastAsia="zh-CN" w:bidi="ar-SA"/>
        </w:rPr>
        <w:t>.农林水支出（类）6,471.44万元，占</w:t>
      </w:r>
      <w:r>
        <w:rPr>
          <w:rFonts w:hint="eastAsia" w:ascii="仿宋_GB2312" w:eastAsia="仿宋_GB2312" w:cs="Times New Roman"/>
          <w:color w:val="auto"/>
          <w:spacing w:val="0"/>
          <w:kern w:val="2"/>
          <w:sz w:val="32"/>
          <w:szCs w:val="32"/>
          <w:highlight w:val="none"/>
          <w:lang w:val="zh-CN" w:eastAsia="zh-CN" w:bidi="ar-SA"/>
        </w:rPr>
        <w:t>76.45%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103.10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8</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32.00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0.38%</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1.一般公共服务支出（类）人大事务（款）代表工作（项）:支出决算数为1.71万元，比上年决算增加1.71万元，增长100%，主要原因是：</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人大代表活动经费</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项目增加、支付人大代表活动经费和人大代表联络站经费</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2.一般公共服务支出（类）政府办公厅（室）及相关机构事务（款）行政运行（项）:支出决算数为1,348.30万元，比上年决算增加595.59万元，增长79.13%，主要原因是：</w:t>
      </w:r>
      <w:r>
        <w:rPr>
          <w:rFonts w:hint="eastAsia" w:eastAsia="仿宋_GB2312" w:cs="Times New Roman"/>
          <w:color w:val="000000" w:themeColor="text1"/>
          <w:kern w:val="2"/>
          <w:sz w:val="32"/>
          <w:szCs w:val="32"/>
          <w:highlight w:val="none"/>
          <w:shd w:val="clear" w:color="auto" w:fill="auto"/>
          <w:lang w:val="en-US" w:eastAsia="zh-CN" w:bidi="ar-SA"/>
          <w14:textFill>
            <w14:solidFill>
              <w14:schemeClr w14:val="tx1"/>
            </w14:solidFill>
          </w14:textFill>
        </w:rPr>
        <w:t>绩效考核奖和人员工资增加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FF0000"/>
          <w:kern w:val="2"/>
          <w:sz w:val="32"/>
          <w:szCs w:val="32"/>
          <w:highlight w:val="none"/>
          <w:lang w:val="zh-CN" w:eastAsia="zh-CN" w:bidi="ar-SA"/>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3.一般公共服务支出（类）政府办公厅（室）及相关机构事务（款）其他政府办公厅（室）及相关机构事务支出（项）:支出决算数为77.58万元，比上年决算增加17.48万元，增长29.08%，主要原因是：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支付托布力其乡隔离点餐费和历年欠款</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4.一般公共服务支出（类）纪检监察事务（款）其他纪检监察事务支出（项）:支出决算数为1.50万元，比上年决算增加0.50万元，增长50.00%，主要原因是：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托布力其乡纪检工作经费增加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shd w:val="clear" w:color="auto" w:fill="auto"/>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5.一般公共服务支出（类）组织事务（款）其他组织事务支出（项）:支出决算数为105.38万元，比上年决算减少10.69万元，下降9.21%，主要原因是：本年度我部门</w:t>
      </w:r>
      <w:r>
        <w:rPr>
          <w:rFonts w:hint="eastAsia" w:eastAsia="仿宋_GB2312" w:cs="Times New Roman"/>
          <w:color w:val="000000" w:themeColor="text1"/>
          <w:kern w:val="2"/>
          <w:sz w:val="32"/>
          <w:szCs w:val="32"/>
          <w:highlight w:val="none"/>
          <w:shd w:val="clear" w:color="auto" w:fill="auto"/>
          <w:lang w:val="en-US" w:eastAsia="zh-CN" w:bidi="ar-SA"/>
          <w14:textFill>
            <w14:solidFill>
              <w14:schemeClr w14:val="tx1"/>
            </w14:solidFill>
          </w14:textFill>
        </w:rPr>
        <w:t>访惠聚工作队补助和社区党建经费减少</w:t>
      </w:r>
      <w:r>
        <w:rPr>
          <w:rFonts w:hint="eastAsia" w:ascii="仿宋_GB2312" w:hAnsi="仿宋_GB2312" w:eastAsia="仿宋_GB2312" w:cs="仿宋_GB2312"/>
          <w:color w:val="000000" w:themeColor="text1"/>
          <w:kern w:val="2"/>
          <w:sz w:val="32"/>
          <w:szCs w:val="32"/>
          <w:highlight w:val="none"/>
          <w:shd w:val="clear" w:color="auto" w:fill="auto"/>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6.一般公共服务支出（类）宣传事务（款）其他宣传事务支出（项）:支出决算数为0.44万元，比上年决算增加0.44万元，增长100%，主要原因是：</w:t>
      </w:r>
      <w:r>
        <w:rPr>
          <w:rFonts w:hint="eastAsia" w:eastAsia="仿宋_GB2312" w:cs="Times New Roman"/>
          <w:color w:val="000000" w:themeColor="text1"/>
          <w:kern w:val="2"/>
          <w:sz w:val="32"/>
          <w:szCs w:val="32"/>
          <w:highlight w:val="none"/>
          <w:lang w:val="zh-CN" w:eastAsia="zh-CN" w:bidi="ar-SA"/>
          <w14:textFill>
            <w14:solidFill>
              <w14:schemeClr w14:val="tx1"/>
            </w14:solidFill>
          </w14:textFill>
        </w:rPr>
        <w:t>“</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扫黑打非</w:t>
      </w:r>
      <w:r>
        <w:rPr>
          <w:rFonts w:hint="eastAsia" w:eastAsia="仿宋_GB2312" w:cs="Times New Roman"/>
          <w:color w:val="000000" w:themeColor="text1"/>
          <w:kern w:val="2"/>
          <w:sz w:val="32"/>
          <w:szCs w:val="32"/>
          <w:highlight w:val="none"/>
          <w:lang w:val="zh-CN" w:eastAsia="zh-CN" w:bidi="ar-SA"/>
          <w14:textFill>
            <w14:solidFill>
              <w14:schemeClr w14:val="tx1"/>
            </w14:solidFill>
          </w14:textFill>
        </w:rPr>
        <w:t>”</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项目增加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7.一般公共服务支出（类）统战事务（款）宗教事务（项）:支出决算数为2.21万元，比上年决算增加2.21万元，增长100%，主要原因是：2023年新增</w:t>
      </w:r>
      <w:r>
        <w:rPr>
          <w:rFonts w:hint="eastAsia"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经费</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项目</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一般公共服务支出（类）统战事务（款）其他统战事务支出（项）:支出决算数为6.43万元，比上年决算减少10.22万元，下降61.38%，主要原因是：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寺管会人员补贴减少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9.国防支出（类）国防动员（款）民兵（项）:支出决算数为0.00万元，比上年决算减少4.37万元，下降100%，主要原因是：2023年开始未安排明兵相关预算</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10.教育支出（类）进修及培训（款）培训支出（项）:支出决算数为1.98万元，比上年决算增加1.95万元，增长6500.00%，主要原因是：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托布力其乡乡村干部培训人员及次数增加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11.文化旅游体育与传媒支出（类）文化和旅游（款）其他文化和旅游支出（项）:支出决算数为0.53万元，比上年决算减少37.37万元，下降98.60%，主要原因是：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文化活动及项目减少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12.社会保障和就业支出（类）行政事业单位养老支出（款）行政单位离退休（项）:支出决算数为7.95万元，比上年决算增加3.30万元，增长70.97%，主要原因是：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人员工资增加、相关人员社保相关费用增加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13.社会保障和就业支出（类）行政事业单位养老支出（款）机关事业单位基本养老保险缴费支出（项）:支出决算数为132.45万元，比上年决算增加8.26万元，增长6.65%，主要原因是：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人员工资增加、相关人员社保相关费用增加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14.社会保障和就业支出（类）行政事业单位养老支出（款）机关事业单位职业年金缴费支出（项）:支出决算数为12.62万元，比上年决算增加7.74万元，增长158.61%，主要原因是：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人员工资增加、相关人员社保相关费用增加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15.社会保障和就业支出（类）就业补助（款）公益性岗位补贴（项）:支出决算数为44.22万元，比上年决算减少225.25万元，下降83.59%，主要原因是：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公益性岗位人员减少相应工资及社保下降</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16.社会保障和就业支出（类）抚恤（款）死亡抚恤（项）:支出决算数为0.00万元，比上年决算减少22.56万元，下降100%，主要原因是：2022年一名退休人员死亡、发放死亡抚恤、2023年未发生</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17.卫生健康支出（类）公共卫生（款）突发公共卫生事件应急处理（项）:支出决算数为32.51万元，比上年决算增加21.46万元，增长194.21%，主要原因是：疫情专项经费项目相加、偿还历年欠款</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 xml:space="preserve">    18.卫生健康支出（类）计划生育事务（款）其他计划生育事务支出（项）:支出决算数为0.00万元，比上年决算减少45.88万元，下降100%，主要原因是：2023年开始计划生育工作人员工资从主科目进行核算</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19.卫生健康支出（类）行政事业单位医疗（款）行政单位医疗（项）:支出决算数为72.37万元，比上年决算增加3.54万元，增长5.15%，主要原因是：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人员工资增加、相关人员社保相关费用增加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20.卫生健康支出（类）行政事业单位医疗（款）公务员医疗补助（项）:支出决算数为10.67万元，比上年决算减少0.05万元，下降0.47%，主要原因是：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人员退休及调动原因下降</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21.节能环保支出（类）环境保护管理事务（款）其他环境保护管理事务支出（项）:支出决算数为0.00万元，比上年决算减少100.41万元，下降100%，主要原因是：2023年开始国土资源、和乡镇规划中心人员工资及相关费用从主科目进行核算</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22.农林水支出（类）农业农村（款）事业运行（项）:支出决算数为0.00万元，比上年决算减少404.02万元，下降100%，主要原因是：2023年开始农业发展中心干部工资及相关费用从主科目进行核算</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23.农林水支出（类）巩固脱贫攻坚成果衔接乡村振兴（款）农村基础设施建设（项）:支出决算数为1,000.00万元，比上年决算增加1,000.00万元，增长100%，主要原因是：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托布力其乡人居环境整治项目增加，项目资金</w:t>
      </w:r>
      <w:r>
        <w:rPr>
          <w:rFonts w:hint="eastAsia"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1,000.00</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万元</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24.农林水支出（类）巩固脱贫攻坚成果衔接乡村振兴（款）生产发展（项）:支出决算数为650.00万元，比上年决算增加650.00万元，增长100%，主要原因是：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托布力其乡特色酸奶提制增效项目和托布力其乡艾力坎土曼村人居环境项目增加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25.农林水支出（类）巩固脱贫攻坚成果衔接乡村振兴（款）其他巩固脱贫攻坚成果衔接乡村振兴支出（项）:支出决算数为34.74万元，比上年决算增加34.74万元，增长100%，主要原因是：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支付乡村振兴补助、特设刚补助、扶贫专干报酬</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26.农林水支出（类）农村综合改革（款）对村级公益事业建设的补助（项）:支出决算数为1.92万元，比上年决算增加1.92万元，增长100%，主要原因是：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支付艾力坎土曼村人居环境整治项目质保金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27.农林水支出（类）农村综合改革（款）对村民委员会和村党支部的补助（项）:支出决算数为248.00万元，比上年决算增加196.23万元，增长378.96%，主要原因是：1、我部门本年度增加</w:t>
      </w:r>
      <w:r>
        <w:rPr>
          <w:rFonts w:hint="eastAsia"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村干部</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工资</w:t>
      </w:r>
      <w:r>
        <w:rPr>
          <w:rFonts w:hint="eastAsia" w:ascii="Times New Roman" w:hAnsi="Times New Roman" w:eastAsia="仿宋_GB2312" w:cs="Times New Roman"/>
          <w:color w:val="000000" w:themeColor="text1"/>
          <w:kern w:val="2"/>
          <w:sz w:val="32"/>
          <w:szCs w:val="32"/>
          <w:highlight w:val="none"/>
          <w:lang w:val="zh-CN" w:eastAsia="zh-CN" w:bidi="ar-SA"/>
          <w14:textFill>
            <w14:solidFill>
              <w14:schemeClr w14:val="tx1"/>
            </w14:solidFill>
          </w14:textFill>
        </w:rPr>
        <w:t>和村民小组长</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工资</w:t>
      </w:r>
      <w:r>
        <w:rPr>
          <w:rFonts w:hint="eastAsia" w:eastAsia="仿宋_GB2312" w:cs="Times New Roman"/>
          <w:color w:val="000000" w:themeColor="text1"/>
          <w:kern w:val="2"/>
          <w:sz w:val="32"/>
          <w:szCs w:val="32"/>
          <w:highlight w:val="none"/>
          <w:lang w:val="zh-CN" w:eastAsia="zh-CN" w:bidi="ar-SA"/>
          <w14:textFill>
            <w14:solidFill>
              <w14:schemeClr w14:val="tx1"/>
            </w14:solidFill>
          </w14:textFill>
        </w:rPr>
        <w:t>。</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2、2023年开始</w:t>
      </w:r>
      <w:r>
        <w:rPr>
          <w:rFonts w:hint="eastAsia" w:eastAsia="仿宋_GB2312" w:cs="Times New Roman"/>
          <w:color w:val="000000" w:themeColor="text1"/>
          <w:kern w:val="2"/>
          <w:sz w:val="32"/>
          <w:szCs w:val="32"/>
          <w:highlight w:val="none"/>
          <w:lang w:val="zh-CN" w:eastAsia="zh-CN" w:bidi="ar-SA"/>
          <w14:textFill>
            <w14:solidFill>
              <w14:schemeClr w14:val="tx1"/>
            </w14:solidFill>
          </w14:textFill>
        </w:rPr>
        <w:t>村民小组运转经费、村级组织工作经费</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通过该科目进行核算</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28.农林水支出（类）目标价格补贴（款）棉花目标价格补贴（项）:支出决算数为4,536.78万元，比上年决算增加4,536.78万元，增长100%，主要原因是：2023年</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棉花价格改革补贴项目增加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29.农林水支出（类）农村综合改革（款）对村集体经济组织的补助（项）:支出决算数为0.00万元，比上年决算减少50.00万元，下降100%，主要原因是：2023年村集体经济发展项目减少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30.住房保障支出（类）住房改革支出（款）住房公积金（项）:支出决算数为103.10万元，比上年决算增加10.67万元，增长11.55%，主要原因是：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人员工资增加、人员住房公积金相应增加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31.其他支出（类）其他支出（款）其他支出（项）:支出决算数为32.00万元，比上年决算增加32.00万元，增长100%，主要原因是：</w:t>
      </w:r>
      <w:r>
        <w:rPr>
          <w:rFonts w:hint="eastAsia" w:eastAsia="仿宋_GB2312" w:cs="Times New Roman"/>
          <w:color w:val="000000" w:themeColor="text1"/>
          <w:kern w:val="2"/>
          <w:sz w:val="32"/>
          <w:szCs w:val="32"/>
          <w:highlight w:val="none"/>
          <w:lang w:val="en-US" w:eastAsia="zh-CN" w:bidi="ar-SA"/>
          <w14:textFill>
            <w14:solidFill>
              <w14:schemeClr w14:val="tx1"/>
            </w14:solidFill>
          </w14:textFill>
        </w:rPr>
        <w:t>托布力其乡“五小”工程项目增加</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2,244.70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1,865.92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医疗费、其他工资福利支出、退休费、生活补助、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378.78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办公费、印刷费、电费、邮电费、取暖费、培训费、劳务费、工会经费、福利费、公务用车运行维护费、其他商品和服务支出、办公设备购置。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“三公”经费出10.86万元，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增加3.20万元，</w:t>
      </w:r>
      <w:r>
        <w:rPr>
          <w:rFonts w:hint="eastAsia" w:ascii="仿宋_GB2312" w:eastAsia="仿宋_GB2312"/>
          <w:color w:val="auto"/>
          <w:spacing w:val="0"/>
          <w:sz w:val="32"/>
          <w:szCs w:val="32"/>
          <w:highlight w:val="none"/>
          <w:lang w:val="en-US" w:eastAsia="zh-CN"/>
        </w:rPr>
        <w:t>增长41.78%,</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支付托布力其乡车辆保险费、维修费欠款</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因公出国（境）费支出；公务用车购置及运行维护费支出10.86万元，占100.00%，比上年增加3.20万元，</w:t>
      </w:r>
      <w:r>
        <w:rPr>
          <w:rFonts w:hint="eastAsia" w:ascii="仿宋_GB2312" w:eastAsia="仿宋_GB2312"/>
          <w:color w:val="auto"/>
          <w:spacing w:val="0"/>
          <w:sz w:val="32"/>
          <w:szCs w:val="32"/>
          <w:highlight w:val="none"/>
          <w:lang w:val="en-US" w:eastAsia="zh-CN"/>
        </w:rPr>
        <w:t>增长41.78%,</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支付托布力其乡车辆保险费、维修费欠款</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我单位无公务接待支出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本部门无出国经费支出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公务用车购置及运行维护费10.86万元，其中：公务用车购置费0.00万元，公务用车运行维护费10.86万元。公务用车运行维护费开支内容包括</w:t>
      </w:r>
      <w:r>
        <w:rPr>
          <w:rFonts w:hint="eastAsia" w:ascii="仿宋_GB2312" w:eastAsia="仿宋_GB2312"/>
          <w:color w:val="auto"/>
          <w:sz w:val="32"/>
          <w:szCs w:val="32"/>
          <w:highlight w:val="none"/>
          <w:lang w:val="en-US" w:eastAsia="zh-CN"/>
        </w:rPr>
        <w:t>托布力其乡车辆保险费、维修费欠款</w:t>
      </w:r>
      <w:r>
        <w:rPr>
          <w:rFonts w:hint="eastAsia" w:ascii="仿宋_GB2312" w:eastAsia="仿宋_GB2312"/>
          <w:color w:val="auto"/>
          <w:sz w:val="32"/>
          <w:szCs w:val="32"/>
          <w:highlight w:val="none"/>
          <w:lang w:val="zh-CN" w:eastAsia="zh-CN"/>
        </w:rPr>
        <w:t>。公务用车购置数0辆，公务用车保有量14辆。国有资产占用情况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本部门公务用车无差异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本部门无公务接待费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预算数10.86万元，决算数10.86万元，预决算差异率0.00%，主要原因是：</w:t>
      </w:r>
      <w:r>
        <w:rPr>
          <w:rFonts w:hint="eastAsia" w:ascii="仿宋_GB2312" w:eastAsia="仿宋_GB2312"/>
          <w:color w:val="auto"/>
          <w:sz w:val="32"/>
          <w:szCs w:val="32"/>
          <w:highlight w:val="none"/>
          <w:lang w:val="en-US" w:eastAsia="zh-CN"/>
        </w:rPr>
        <w:t>本部门</w:t>
      </w:r>
      <w:r>
        <w:rPr>
          <w:rFonts w:hint="eastAsia" w:ascii="仿宋_GB2312" w:eastAsia="仿宋_GB2312"/>
          <w:color w:val="auto"/>
          <w:sz w:val="32"/>
          <w:szCs w:val="32"/>
          <w:highlight w:val="none"/>
          <w:lang w:val="zh-CN" w:eastAsia="zh-CN"/>
        </w:rPr>
        <w:t>“三公”经费支出</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本部门无公共车辆购置支出</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预算数10.86万元，决算数10.86万元，预决算差异率0.00%，主要原因是：</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我单位无公务接待支出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总计18.00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本年收入18.00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总计18.00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本年支出18.00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pPr>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与上年相比，增加18.00万元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增长100.00%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w:t>
      </w:r>
      <w:r>
        <w:rPr>
          <w:rFonts w:hint="eastAsia" w:eastAsia="仿宋_GB2312" w:cs="Times New Roman"/>
          <w:color w:val="auto"/>
          <w:sz w:val="32"/>
          <w:szCs w:val="32"/>
          <w:highlight w:val="none"/>
          <w:lang w:val="en-US" w:eastAsia="zh-CN"/>
        </w:rPr>
        <w:t>支付托布力其乡村民小组阵地建设欠款</w:t>
      </w:r>
      <w:r>
        <w:rPr>
          <w:rFonts w:hint="eastAsia" w:ascii="仿宋_GB2312" w:hAnsi="仿宋_GB2312" w:eastAsia="仿宋_GB2312" w:cs="仿宋_GB2312"/>
          <w:color w:val="auto"/>
          <w:sz w:val="32"/>
          <w:szCs w:val="32"/>
          <w:highlight w:val="none"/>
          <w:lang w:val="zh-CN"/>
        </w:rPr>
        <w:t>。与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18.00</w:t>
      </w:r>
      <w:r>
        <w:rPr>
          <w:rFonts w:hint="eastAsia" w:ascii="仿宋_GB2312" w:hAnsi="仿宋_GB2312" w:eastAsia="仿宋_GB2312" w:cs="仿宋_GB2312"/>
          <w:color w:val="auto"/>
          <w:sz w:val="32"/>
          <w:szCs w:val="32"/>
          <w:highlight w:val="none"/>
          <w:lang w:val="zh-CN"/>
        </w:rPr>
        <w:t>万元，预决算差异率100.00%</w:t>
      </w:r>
      <w:r>
        <w:rPr>
          <w:rFonts w:hint="eastAsia" w:ascii="仿宋_GB2312" w:hAnsi="仿宋_GB2312" w:eastAsia="仿宋_GB2312" w:cs="仿宋_GB2312"/>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此项目资金纳入追加预算</w:t>
      </w:r>
      <w:r>
        <w:rPr>
          <w:rFonts w:hint="eastAsia" w:ascii="仿宋_GB2312" w:hAnsi="仿宋_GB2312" w:eastAsia="仿宋_GB2312" w:cs="仿宋_GB2312"/>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zh-CN" w:eastAsia="zh-CN"/>
        </w:rPr>
        <w:t>18.00</w:t>
      </w:r>
      <w:r>
        <w:rPr>
          <w:rFonts w:hint="eastAsia" w:ascii="仿宋_GB2312" w:hAnsi="仿宋_GB2312" w:eastAsia="仿宋_GB2312" w:cs="仿宋_GB2312"/>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1.城乡社区支出（类）国有土地使用权出让收入安排的支出（款）其他国有土地使用权出让收入安排的支出（项）:支出决算数为18.00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18.00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100%，主要原因是：</w:t>
      </w:r>
      <w:r>
        <w:rPr>
          <w:rFonts w:hint="eastAsia" w:eastAsia="仿宋_GB2312" w:cs="Times New Roman"/>
          <w:color w:val="auto"/>
          <w:sz w:val="32"/>
          <w:szCs w:val="32"/>
          <w:highlight w:val="none"/>
          <w:lang w:val="en-US" w:eastAsia="zh-CN"/>
        </w:rPr>
        <w:t>支付托布力其乡村民小组阵地建设欠款，此项目资金纳入追加预算</w:t>
      </w:r>
      <w:r>
        <w:rPr>
          <w:rFonts w:hint="eastAsia" w:ascii="仿宋_GB2312" w:hAnsi="仿宋_GB2312" w:eastAsia="仿宋_GB2312" w:cs="仿宋_GB2312"/>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sz w:val="32"/>
          <w:szCs w:val="32"/>
          <w:highlight w:val="red"/>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库尔勒市托布力其乡人民政府（行政单位和参照公务员法管理事业单位）机关运行经费支出378.78万元，</w:t>
      </w:r>
      <w:r>
        <w:rPr>
          <w:rFonts w:hint="eastAsia" w:ascii="仿宋_GB2312" w:hAnsi="仿宋_GB2312" w:eastAsia="仿宋_GB2312" w:cs="仿宋_GB2312"/>
          <w:color w:val="auto"/>
          <w:sz w:val="32"/>
          <w:szCs w:val="32"/>
          <w:highlight w:val="none"/>
          <w:lang w:val="zh-CN" w:eastAsia="zh-CN"/>
        </w:rPr>
        <w:t>比上年增加247.73万元，增长189.03%，主要原因是：</w:t>
      </w:r>
      <w:r>
        <w:rPr>
          <w:rFonts w:hint="eastAsia" w:ascii="仿宋_GB2312" w:hAnsi="仿宋_GB2312" w:eastAsia="仿宋_GB2312" w:cs="仿宋_GB2312"/>
          <w:color w:val="auto"/>
          <w:sz w:val="32"/>
          <w:szCs w:val="32"/>
          <w:highlight w:val="none"/>
          <w:lang w:val="en-US" w:eastAsia="zh-CN"/>
        </w:rPr>
        <w:t>1.我部门2023年支付2022年</w:t>
      </w:r>
      <w:r>
        <w:rPr>
          <w:rFonts w:hint="eastAsia" w:eastAsia="仿宋_GB2312" w:cs="Times New Roman"/>
          <w:color w:val="auto"/>
          <w:sz w:val="32"/>
          <w:szCs w:val="32"/>
          <w:highlight w:val="none"/>
          <w:lang w:val="en-US" w:eastAsia="zh-CN"/>
        </w:rPr>
        <w:t>疫情防控经费支出，导致</w:t>
      </w:r>
      <w:r>
        <w:rPr>
          <w:rFonts w:hint="eastAsia" w:ascii="Times New Roman" w:hAnsi="Times New Roman" w:eastAsia="仿宋_GB2312" w:cs="Times New Roman"/>
          <w:color w:val="auto"/>
          <w:sz w:val="32"/>
          <w:szCs w:val="32"/>
          <w:highlight w:val="none"/>
          <w:lang w:val="en-US" w:eastAsia="zh-CN"/>
        </w:rPr>
        <w:t>机关运行经费支出</w:t>
      </w:r>
      <w:r>
        <w:rPr>
          <w:rFonts w:hint="eastAsia" w:eastAsia="仿宋_GB2312" w:cs="Times New Roman"/>
          <w:color w:val="auto"/>
          <w:sz w:val="32"/>
          <w:szCs w:val="32"/>
          <w:highlight w:val="none"/>
          <w:lang w:val="en-US" w:eastAsia="zh-CN"/>
        </w:rPr>
        <w:t>比上年增加。2.使用土地租赁金支付往年办公费欠款，导致</w:t>
      </w:r>
      <w:r>
        <w:rPr>
          <w:rFonts w:hint="eastAsia" w:ascii="Times New Roman" w:hAnsi="Times New Roman" w:eastAsia="仿宋_GB2312" w:cs="Times New Roman"/>
          <w:color w:val="auto"/>
          <w:sz w:val="32"/>
          <w:szCs w:val="32"/>
          <w:highlight w:val="none"/>
          <w:lang w:val="en-US" w:eastAsia="zh-CN"/>
        </w:rPr>
        <w:t>机关运行经费支出</w:t>
      </w:r>
      <w:r>
        <w:rPr>
          <w:rFonts w:hint="eastAsia" w:eastAsia="仿宋_GB2312" w:cs="Times New Roman"/>
          <w:color w:val="auto"/>
          <w:sz w:val="32"/>
          <w:szCs w:val="32"/>
          <w:highlight w:val="none"/>
          <w:lang w:val="en-US" w:eastAsia="zh-CN"/>
        </w:rPr>
        <w:t>比上年增加。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1,022.13万元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其中：政府采购货物支出218.94万元、政府采购工程支出582.89万元、政府采购服务支出220.30万元。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授予中小企业合同金额1,009.56万元，占政府采购支出总额的98.77%，其中：授予小微企业合同金额234.08万元，占政府采购支出总额的22.90%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2,041.89</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屋9,331.69平方米，价值1,048.18万元。车辆14辆，价值125.82万元，其中：副部（省）级及以上领导用车0辆、主要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用车0辆、机要通信用车0辆、应急保障用车0辆、执法执勤用车6辆、特种专业技术用车0辆、离退休干部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用车0辆、其他用车8辆，其他用车主要是：</w:t>
      </w:r>
      <w:r>
        <w:rPr>
          <w:rFonts w:hint="eastAsia" w:eastAsia="仿宋_GB2312" w:cs="Times New Roman"/>
          <w:color w:val="auto"/>
          <w:sz w:val="32"/>
          <w:szCs w:val="32"/>
          <w:highlight w:val="none"/>
          <w:lang w:val="en-US" w:eastAsia="zh-CN"/>
        </w:rPr>
        <w:t>一般公务用车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widowControl/>
        <w:suppressLineNumbers w:val="0"/>
        <w:ind w:firstLine="640" w:firstLineChars="200"/>
        <w:jc w:val="left"/>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预算总额8483.39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8483.39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全年预算数4672.05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全年执行数4591.98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hAnsi="仿宋_GB2312" w:eastAsia="仿宋_GB2312" w:cs="仿宋_GB2312"/>
          <w:color w:val="auto"/>
          <w:kern w:val="0"/>
          <w:sz w:val="32"/>
          <w:szCs w:val="32"/>
          <w:highlight w:val="none"/>
          <w:lang w:val="en-US" w:eastAsia="zh-CN"/>
        </w:rPr>
        <w:t>一是我部门严格按照年初预算以及单位</w:t>
      </w:r>
      <w:bookmarkStart w:id="48" w:name="_GoBack"/>
      <w:bookmarkEnd w:id="48"/>
      <w:r>
        <w:rPr>
          <w:rFonts w:hint="eastAsia" w:ascii="仿宋_GB2312" w:hAnsi="仿宋_GB2312" w:eastAsia="仿宋_GB2312" w:cs="仿宋_GB2312"/>
          <w:color w:val="auto"/>
          <w:kern w:val="0"/>
          <w:sz w:val="32"/>
          <w:szCs w:val="32"/>
          <w:highlight w:val="none"/>
          <w:lang w:val="en-US" w:eastAsia="zh-CN"/>
        </w:rPr>
        <w:t>年度工作计划执行预算，严格按照相关规定进行资金管理，做到专款专用、科学管理，每笔开支都有相关经办人员签字，做到程序规范，开支合理，勤俭节约，最大限度地提高项目经费的使用效率，保证了项目的顺利进行；二是我部门通过对绩效的进展和效果进行持续的监控，发现并纠正绩效目标实现过程中的各种偏差，以确保本部门绩效目标实现。对单位年初所确定的整体绩效指标、年度预期目标进行 3 个不同时期，3 个不同阶段的监控，对部门整体前期、中期、后期都有清晰的了解。</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eastAsia="zh-CN"/>
        </w:rPr>
        <w:t>发现的问题及原因：</w:t>
      </w:r>
      <w:r>
        <w:rPr>
          <w:rFonts w:hint="eastAsia" w:ascii="仿宋_GB2312" w:hAnsi="仿宋_GB2312" w:eastAsia="仿宋_GB2312" w:cs="仿宋_GB2312"/>
          <w:color w:val="auto"/>
          <w:kern w:val="0"/>
          <w:sz w:val="32"/>
          <w:szCs w:val="32"/>
          <w:highlight w:val="none"/>
          <w:lang w:val="en-US" w:eastAsia="zh-CN"/>
        </w:rPr>
        <w:t>一是对预算绩效的认识还不够深入，相关知识了解还不够、掌握还不够多，把绩效管理简单等同于工作目标、工作考核和业务管理；二是资金管理水平有待进一步提高，财务审核还需进一步加强。下一步改进措施：一是在日常绩效监控工作中存在着一定程度的“重分配、轻管理、重支出、轻绩效”的情况，造成该问题的主要原因是自身绩效理念较薄弱，单位绩效目标编制仍有缺失，需要进一步加强对资金绩效管理的重视程度。二是财务人员面对当前绩效管理工作既没有现成的经验可供借鉴，又缺乏专业性很强的技能储备，只能是边工作、边学习、边积累，短期内部分工作只能停留在表面，难以做到程序规范、管理科学，难以满足当前绩效管理要求，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0288" behindDoc="0" locked="0" layoutInCell="1" allowOverlap="1">
            <wp:simplePos x="0" y="0"/>
            <wp:positionH relativeFrom="column">
              <wp:posOffset>-194310</wp:posOffset>
            </wp:positionH>
            <wp:positionV relativeFrom="paragraph">
              <wp:posOffset>38735</wp:posOffset>
            </wp:positionV>
            <wp:extent cx="6076315" cy="8864600"/>
            <wp:effectExtent l="0" t="0" r="635" b="1270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6076315" cy="88646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1312" behindDoc="0" locked="0" layoutInCell="1" allowOverlap="1">
            <wp:simplePos x="0" y="0"/>
            <wp:positionH relativeFrom="column">
              <wp:posOffset>-344170</wp:posOffset>
            </wp:positionH>
            <wp:positionV relativeFrom="paragraph">
              <wp:posOffset>148590</wp:posOffset>
            </wp:positionV>
            <wp:extent cx="5871845" cy="8608060"/>
            <wp:effectExtent l="0" t="0" r="14605" b="254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6"/>
                    <a:stretch>
                      <a:fillRect/>
                    </a:stretch>
                  </pic:blipFill>
                  <pic:spPr>
                    <a:xfrm>
                      <a:off x="0" y="0"/>
                      <a:ext cx="5871845" cy="860806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2336" behindDoc="0" locked="0" layoutInCell="1" allowOverlap="1">
            <wp:simplePos x="0" y="0"/>
            <wp:positionH relativeFrom="column">
              <wp:posOffset>-336550</wp:posOffset>
            </wp:positionH>
            <wp:positionV relativeFrom="paragraph">
              <wp:posOffset>-53975</wp:posOffset>
            </wp:positionV>
            <wp:extent cx="5778500" cy="8800465"/>
            <wp:effectExtent l="0" t="0" r="12700" b="635"/>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7"/>
                    <a:stretch>
                      <a:fillRect/>
                    </a:stretch>
                  </pic:blipFill>
                  <pic:spPr>
                    <a:xfrm>
                      <a:off x="0" y="0"/>
                      <a:ext cx="5778500" cy="880046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3360" behindDoc="0" locked="0" layoutInCell="1" allowOverlap="1">
            <wp:simplePos x="0" y="0"/>
            <wp:positionH relativeFrom="column">
              <wp:posOffset>-138430</wp:posOffset>
            </wp:positionH>
            <wp:positionV relativeFrom="paragraph">
              <wp:posOffset>-22860</wp:posOffset>
            </wp:positionV>
            <wp:extent cx="5734050" cy="8666480"/>
            <wp:effectExtent l="0" t="0" r="0" b="1270"/>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5734050" cy="86664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4384" behindDoc="0" locked="0" layoutInCell="1" allowOverlap="1">
            <wp:simplePos x="0" y="0"/>
            <wp:positionH relativeFrom="column">
              <wp:posOffset>-288290</wp:posOffset>
            </wp:positionH>
            <wp:positionV relativeFrom="paragraph">
              <wp:posOffset>216535</wp:posOffset>
            </wp:positionV>
            <wp:extent cx="5666740" cy="8498840"/>
            <wp:effectExtent l="0" t="0" r="10160" b="16510"/>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9"/>
                    <a:stretch>
                      <a:fillRect/>
                    </a:stretch>
                  </pic:blipFill>
                  <pic:spPr>
                    <a:xfrm>
                      <a:off x="0" y="0"/>
                      <a:ext cx="5666740" cy="849884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8480" behindDoc="0" locked="0" layoutInCell="1" allowOverlap="1">
            <wp:simplePos x="0" y="0"/>
            <wp:positionH relativeFrom="column">
              <wp:posOffset>-238760</wp:posOffset>
            </wp:positionH>
            <wp:positionV relativeFrom="paragraph">
              <wp:posOffset>80010</wp:posOffset>
            </wp:positionV>
            <wp:extent cx="5773420" cy="8458200"/>
            <wp:effectExtent l="0" t="0" r="17780"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5773420" cy="84582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5408" behindDoc="0" locked="0" layoutInCell="1" allowOverlap="1">
            <wp:simplePos x="0" y="0"/>
            <wp:positionH relativeFrom="column">
              <wp:posOffset>-328930</wp:posOffset>
            </wp:positionH>
            <wp:positionV relativeFrom="paragraph">
              <wp:posOffset>383540</wp:posOffset>
            </wp:positionV>
            <wp:extent cx="5854700" cy="3434080"/>
            <wp:effectExtent l="0" t="0" r="12700" b="13970"/>
            <wp:wrapSquare wrapText="bothSides"/>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1"/>
                    <a:stretch>
                      <a:fillRect/>
                    </a:stretch>
                  </pic:blipFill>
                  <pic:spPr>
                    <a:xfrm>
                      <a:off x="0" y="0"/>
                      <a:ext cx="5854700" cy="34340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6432" behindDoc="0" locked="0" layoutInCell="1" allowOverlap="1">
            <wp:simplePos x="0" y="0"/>
            <wp:positionH relativeFrom="column">
              <wp:posOffset>-186055</wp:posOffset>
            </wp:positionH>
            <wp:positionV relativeFrom="paragraph">
              <wp:posOffset>332740</wp:posOffset>
            </wp:positionV>
            <wp:extent cx="5596255" cy="3477895"/>
            <wp:effectExtent l="0" t="0" r="4445" b="8255"/>
            <wp:wrapSquare wrapText="bothSides"/>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5596255" cy="347789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7456" behindDoc="0" locked="0" layoutInCell="1" allowOverlap="1">
            <wp:simplePos x="0" y="0"/>
            <wp:positionH relativeFrom="column">
              <wp:posOffset>-384810</wp:posOffset>
            </wp:positionH>
            <wp:positionV relativeFrom="paragraph">
              <wp:posOffset>565150</wp:posOffset>
            </wp:positionV>
            <wp:extent cx="5979160" cy="3402965"/>
            <wp:effectExtent l="0" t="0" r="2540" b="6985"/>
            <wp:wrapSquare wrapText="bothSides"/>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3"/>
                    <a:stretch>
                      <a:fillRect/>
                    </a:stretch>
                  </pic:blipFill>
                  <pic:spPr>
                    <a:xfrm>
                      <a:off x="0" y="0"/>
                      <a:ext cx="5979160" cy="340296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6B665254"/>
    <w:multiLevelType w:val="singleLevel"/>
    <w:tmpl w:val="6B665254"/>
    <w:lvl w:ilvl="0" w:tentative="0">
      <w:start w:val="8"/>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jZDkzNDQ4NTc2YzZkMWRmMjYwMjhkYzI4NjdmYTYifQ=="/>
    <w:docVar w:name="KSO_WPS_MARK_KEY" w:val="41ee2a61-2d54-4f93-83be-afdb9a40d732"/>
  </w:docVars>
  <w:rsids>
    <w:rsidRoot w:val="00000000"/>
    <w:rsid w:val="00213C59"/>
    <w:rsid w:val="003210CE"/>
    <w:rsid w:val="003607A9"/>
    <w:rsid w:val="00A065AC"/>
    <w:rsid w:val="00A72CE6"/>
    <w:rsid w:val="00B70D59"/>
    <w:rsid w:val="00F52A8D"/>
    <w:rsid w:val="0127282F"/>
    <w:rsid w:val="015E1585"/>
    <w:rsid w:val="019404F8"/>
    <w:rsid w:val="01ED22F2"/>
    <w:rsid w:val="025213E6"/>
    <w:rsid w:val="026951B2"/>
    <w:rsid w:val="02BD3108"/>
    <w:rsid w:val="02F73D26"/>
    <w:rsid w:val="030763A2"/>
    <w:rsid w:val="03343307"/>
    <w:rsid w:val="034D4FEF"/>
    <w:rsid w:val="035D1785"/>
    <w:rsid w:val="037930C4"/>
    <w:rsid w:val="039F47CE"/>
    <w:rsid w:val="03BD5310"/>
    <w:rsid w:val="03E05CE8"/>
    <w:rsid w:val="03F973EE"/>
    <w:rsid w:val="043E5B56"/>
    <w:rsid w:val="04C04386"/>
    <w:rsid w:val="04C54D6A"/>
    <w:rsid w:val="04D1736D"/>
    <w:rsid w:val="04D96608"/>
    <w:rsid w:val="04F210E4"/>
    <w:rsid w:val="04FA68C4"/>
    <w:rsid w:val="053F5AE6"/>
    <w:rsid w:val="05761303"/>
    <w:rsid w:val="057C0B0F"/>
    <w:rsid w:val="05AB4A15"/>
    <w:rsid w:val="05EF4B48"/>
    <w:rsid w:val="05F76ECA"/>
    <w:rsid w:val="06792773"/>
    <w:rsid w:val="069E36E5"/>
    <w:rsid w:val="06FD75CA"/>
    <w:rsid w:val="07093795"/>
    <w:rsid w:val="07631B4E"/>
    <w:rsid w:val="07804730"/>
    <w:rsid w:val="079052BE"/>
    <w:rsid w:val="07D07105"/>
    <w:rsid w:val="07D46EDB"/>
    <w:rsid w:val="07D5775A"/>
    <w:rsid w:val="08145C21"/>
    <w:rsid w:val="08422688"/>
    <w:rsid w:val="085854ED"/>
    <w:rsid w:val="086F134E"/>
    <w:rsid w:val="0879188F"/>
    <w:rsid w:val="08A0354D"/>
    <w:rsid w:val="08CD4C49"/>
    <w:rsid w:val="08F4094A"/>
    <w:rsid w:val="09114954"/>
    <w:rsid w:val="095A5B83"/>
    <w:rsid w:val="096466E3"/>
    <w:rsid w:val="0968304D"/>
    <w:rsid w:val="096E625D"/>
    <w:rsid w:val="098E7DFD"/>
    <w:rsid w:val="09AF3D17"/>
    <w:rsid w:val="0A7809B7"/>
    <w:rsid w:val="0A7B4867"/>
    <w:rsid w:val="0A840954"/>
    <w:rsid w:val="0A9928ED"/>
    <w:rsid w:val="0B1141A8"/>
    <w:rsid w:val="0B595A68"/>
    <w:rsid w:val="0B61769D"/>
    <w:rsid w:val="0B7C6C33"/>
    <w:rsid w:val="0B8C3ECC"/>
    <w:rsid w:val="0B9C639D"/>
    <w:rsid w:val="0BA0733B"/>
    <w:rsid w:val="0BB052B2"/>
    <w:rsid w:val="0BD33FFC"/>
    <w:rsid w:val="0BE97AC1"/>
    <w:rsid w:val="0BF1655F"/>
    <w:rsid w:val="0C1C4780"/>
    <w:rsid w:val="0C3613A3"/>
    <w:rsid w:val="0C497A0A"/>
    <w:rsid w:val="0C5E519C"/>
    <w:rsid w:val="0C7227A7"/>
    <w:rsid w:val="0C8E3137"/>
    <w:rsid w:val="0C925E4F"/>
    <w:rsid w:val="0CA52EE8"/>
    <w:rsid w:val="0CAF366D"/>
    <w:rsid w:val="0CBD6988"/>
    <w:rsid w:val="0CD208AC"/>
    <w:rsid w:val="0D172DAA"/>
    <w:rsid w:val="0D19120E"/>
    <w:rsid w:val="0D4903E8"/>
    <w:rsid w:val="0D7A4A46"/>
    <w:rsid w:val="0E640559"/>
    <w:rsid w:val="0E79731F"/>
    <w:rsid w:val="0EE13CE8"/>
    <w:rsid w:val="0F1113DA"/>
    <w:rsid w:val="0F78534A"/>
    <w:rsid w:val="0F89358A"/>
    <w:rsid w:val="0F8C6D51"/>
    <w:rsid w:val="0F925C5D"/>
    <w:rsid w:val="0FA32D5C"/>
    <w:rsid w:val="103552D8"/>
    <w:rsid w:val="105B0B5E"/>
    <w:rsid w:val="108D303E"/>
    <w:rsid w:val="112E58D0"/>
    <w:rsid w:val="116C01A7"/>
    <w:rsid w:val="11731CAC"/>
    <w:rsid w:val="119500A0"/>
    <w:rsid w:val="11A5744D"/>
    <w:rsid w:val="11C0733B"/>
    <w:rsid w:val="11D50D17"/>
    <w:rsid w:val="120E0809"/>
    <w:rsid w:val="125475FF"/>
    <w:rsid w:val="127F665A"/>
    <w:rsid w:val="12952B71"/>
    <w:rsid w:val="12F7068C"/>
    <w:rsid w:val="13E308BE"/>
    <w:rsid w:val="14207DC0"/>
    <w:rsid w:val="1495264E"/>
    <w:rsid w:val="149B6357"/>
    <w:rsid w:val="14B932DA"/>
    <w:rsid w:val="150A66AF"/>
    <w:rsid w:val="154C1139"/>
    <w:rsid w:val="158C5B77"/>
    <w:rsid w:val="160D1149"/>
    <w:rsid w:val="163563C0"/>
    <w:rsid w:val="164315EF"/>
    <w:rsid w:val="16557DFE"/>
    <w:rsid w:val="167268FB"/>
    <w:rsid w:val="16770D0A"/>
    <w:rsid w:val="167877A3"/>
    <w:rsid w:val="16931639"/>
    <w:rsid w:val="169A0039"/>
    <w:rsid w:val="16B22323"/>
    <w:rsid w:val="16C207F4"/>
    <w:rsid w:val="16D50C50"/>
    <w:rsid w:val="16E120E1"/>
    <w:rsid w:val="17385A05"/>
    <w:rsid w:val="173B3901"/>
    <w:rsid w:val="176747F9"/>
    <w:rsid w:val="17884D4C"/>
    <w:rsid w:val="17954A6E"/>
    <w:rsid w:val="17BE2C86"/>
    <w:rsid w:val="17DF4C54"/>
    <w:rsid w:val="180059E9"/>
    <w:rsid w:val="182C7660"/>
    <w:rsid w:val="184510FD"/>
    <w:rsid w:val="18A9373A"/>
    <w:rsid w:val="18E42A15"/>
    <w:rsid w:val="190648B0"/>
    <w:rsid w:val="19071D6C"/>
    <w:rsid w:val="191954D8"/>
    <w:rsid w:val="19D26CD4"/>
    <w:rsid w:val="19E60D19"/>
    <w:rsid w:val="1A3E3450"/>
    <w:rsid w:val="1A7A27CE"/>
    <w:rsid w:val="1A7E639A"/>
    <w:rsid w:val="1AD807E5"/>
    <w:rsid w:val="1B39345B"/>
    <w:rsid w:val="1BEC5483"/>
    <w:rsid w:val="1BFB2A1F"/>
    <w:rsid w:val="1C013703"/>
    <w:rsid w:val="1C015D4A"/>
    <w:rsid w:val="1C290ED5"/>
    <w:rsid w:val="1C317E4F"/>
    <w:rsid w:val="1C472464"/>
    <w:rsid w:val="1C677F19"/>
    <w:rsid w:val="1D22799A"/>
    <w:rsid w:val="1D5C1A72"/>
    <w:rsid w:val="1D996C35"/>
    <w:rsid w:val="1DAF458D"/>
    <w:rsid w:val="1E086ACE"/>
    <w:rsid w:val="1E4F22A9"/>
    <w:rsid w:val="1E62130A"/>
    <w:rsid w:val="1E97358B"/>
    <w:rsid w:val="1EAA4A5F"/>
    <w:rsid w:val="1EBB46A7"/>
    <w:rsid w:val="1EE869A7"/>
    <w:rsid w:val="1F3F37CF"/>
    <w:rsid w:val="1F9919A4"/>
    <w:rsid w:val="1FA15E62"/>
    <w:rsid w:val="1FED69B6"/>
    <w:rsid w:val="1FFE4B64"/>
    <w:rsid w:val="2064678E"/>
    <w:rsid w:val="20AB45AE"/>
    <w:rsid w:val="20B050AD"/>
    <w:rsid w:val="20DC1AB9"/>
    <w:rsid w:val="20DD6197"/>
    <w:rsid w:val="212631E0"/>
    <w:rsid w:val="2138666F"/>
    <w:rsid w:val="21551C12"/>
    <w:rsid w:val="21742080"/>
    <w:rsid w:val="21A53757"/>
    <w:rsid w:val="21F879E1"/>
    <w:rsid w:val="220A5DC1"/>
    <w:rsid w:val="221236C6"/>
    <w:rsid w:val="222E1AEE"/>
    <w:rsid w:val="22A00925"/>
    <w:rsid w:val="22D7662C"/>
    <w:rsid w:val="22EB2862"/>
    <w:rsid w:val="231E44B6"/>
    <w:rsid w:val="23326B7F"/>
    <w:rsid w:val="2380045B"/>
    <w:rsid w:val="23BC04D2"/>
    <w:rsid w:val="23EF1892"/>
    <w:rsid w:val="23F3268C"/>
    <w:rsid w:val="243A0643"/>
    <w:rsid w:val="245E26BB"/>
    <w:rsid w:val="246772AC"/>
    <w:rsid w:val="2483647E"/>
    <w:rsid w:val="24A32D55"/>
    <w:rsid w:val="24C127F4"/>
    <w:rsid w:val="24CE6D9A"/>
    <w:rsid w:val="25292727"/>
    <w:rsid w:val="252E5CA9"/>
    <w:rsid w:val="256F7692"/>
    <w:rsid w:val="25BA2154"/>
    <w:rsid w:val="25C8773F"/>
    <w:rsid w:val="25F27DF0"/>
    <w:rsid w:val="26235823"/>
    <w:rsid w:val="264A7253"/>
    <w:rsid w:val="26696153"/>
    <w:rsid w:val="26F0170C"/>
    <w:rsid w:val="26FE3B9A"/>
    <w:rsid w:val="27201D62"/>
    <w:rsid w:val="27286E73"/>
    <w:rsid w:val="27306A0F"/>
    <w:rsid w:val="27CF2642"/>
    <w:rsid w:val="27D7522E"/>
    <w:rsid w:val="27E777F5"/>
    <w:rsid w:val="27EA1D4C"/>
    <w:rsid w:val="27EA2E41"/>
    <w:rsid w:val="282459E2"/>
    <w:rsid w:val="283A7FE5"/>
    <w:rsid w:val="285F51FF"/>
    <w:rsid w:val="28DA4193"/>
    <w:rsid w:val="28DF2665"/>
    <w:rsid w:val="29072599"/>
    <w:rsid w:val="291029F3"/>
    <w:rsid w:val="2940239D"/>
    <w:rsid w:val="29692A2D"/>
    <w:rsid w:val="29CB58F0"/>
    <w:rsid w:val="2A053397"/>
    <w:rsid w:val="2A11148A"/>
    <w:rsid w:val="2A145E96"/>
    <w:rsid w:val="2A2131BB"/>
    <w:rsid w:val="2A3301EA"/>
    <w:rsid w:val="2AEC7D26"/>
    <w:rsid w:val="2AF13F56"/>
    <w:rsid w:val="2AF5378F"/>
    <w:rsid w:val="2BB94DBF"/>
    <w:rsid w:val="2BF37410"/>
    <w:rsid w:val="2C6F314E"/>
    <w:rsid w:val="2C762662"/>
    <w:rsid w:val="2CC206BE"/>
    <w:rsid w:val="2CFE3371"/>
    <w:rsid w:val="2D036CF2"/>
    <w:rsid w:val="2D1136DF"/>
    <w:rsid w:val="2D20606D"/>
    <w:rsid w:val="2D6729FE"/>
    <w:rsid w:val="2DB87198"/>
    <w:rsid w:val="2DB93C54"/>
    <w:rsid w:val="2E21172D"/>
    <w:rsid w:val="2E3D144C"/>
    <w:rsid w:val="2E891204"/>
    <w:rsid w:val="2F3F0A28"/>
    <w:rsid w:val="2F422AFA"/>
    <w:rsid w:val="2FBF7029"/>
    <w:rsid w:val="2FD0187F"/>
    <w:rsid w:val="2FD27414"/>
    <w:rsid w:val="2FFE4BB0"/>
    <w:rsid w:val="300E7B60"/>
    <w:rsid w:val="300F6E18"/>
    <w:rsid w:val="30862F5F"/>
    <w:rsid w:val="30A4775A"/>
    <w:rsid w:val="30C91E89"/>
    <w:rsid w:val="314029C9"/>
    <w:rsid w:val="316377EC"/>
    <w:rsid w:val="31C63837"/>
    <w:rsid w:val="31C82E39"/>
    <w:rsid w:val="31CD4ADC"/>
    <w:rsid w:val="32006B1A"/>
    <w:rsid w:val="324C7B9C"/>
    <w:rsid w:val="32601BAD"/>
    <w:rsid w:val="329F6389"/>
    <w:rsid w:val="32D02171"/>
    <w:rsid w:val="332C7A4F"/>
    <w:rsid w:val="3389023A"/>
    <w:rsid w:val="33CB74FA"/>
    <w:rsid w:val="33EA4C8B"/>
    <w:rsid w:val="34362917"/>
    <w:rsid w:val="343642F2"/>
    <w:rsid w:val="343F3010"/>
    <w:rsid w:val="345D0A00"/>
    <w:rsid w:val="34713BFD"/>
    <w:rsid w:val="34C13589"/>
    <w:rsid w:val="353369E3"/>
    <w:rsid w:val="355F04F7"/>
    <w:rsid w:val="35B21E0B"/>
    <w:rsid w:val="35BC4D10"/>
    <w:rsid w:val="35E00D72"/>
    <w:rsid w:val="35E65222"/>
    <w:rsid w:val="35F30030"/>
    <w:rsid w:val="36965B9D"/>
    <w:rsid w:val="36B345F9"/>
    <w:rsid w:val="36C549FD"/>
    <w:rsid w:val="37A755DD"/>
    <w:rsid w:val="37CE3D27"/>
    <w:rsid w:val="37F33BFE"/>
    <w:rsid w:val="37F94FA0"/>
    <w:rsid w:val="380D3381"/>
    <w:rsid w:val="38115B1F"/>
    <w:rsid w:val="385E3AC3"/>
    <w:rsid w:val="387D6B9E"/>
    <w:rsid w:val="38972CDD"/>
    <w:rsid w:val="38B75FF0"/>
    <w:rsid w:val="38D45016"/>
    <w:rsid w:val="38D90432"/>
    <w:rsid w:val="3914510A"/>
    <w:rsid w:val="3926770B"/>
    <w:rsid w:val="397732F2"/>
    <w:rsid w:val="3982065B"/>
    <w:rsid w:val="398D3668"/>
    <w:rsid w:val="39DA0497"/>
    <w:rsid w:val="39FD4375"/>
    <w:rsid w:val="3A0D3FB2"/>
    <w:rsid w:val="3A893816"/>
    <w:rsid w:val="3A893B6D"/>
    <w:rsid w:val="3A9F4941"/>
    <w:rsid w:val="3AA53C58"/>
    <w:rsid w:val="3AB81E06"/>
    <w:rsid w:val="3AD1763A"/>
    <w:rsid w:val="3B196883"/>
    <w:rsid w:val="3B6716E3"/>
    <w:rsid w:val="3B6C6B2D"/>
    <w:rsid w:val="3C1A2E06"/>
    <w:rsid w:val="3C242659"/>
    <w:rsid w:val="3C96719C"/>
    <w:rsid w:val="3CA72BE8"/>
    <w:rsid w:val="3CDC1E1E"/>
    <w:rsid w:val="3CF37F8C"/>
    <w:rsid w:val="3D137554"/>
    <w:rsid w:val="3D232550"/>
    <w:rsid w:val="3D5275AC"/>
    <w:rsid w:val="3DCC2473"/>
    <w:rsid w:val="3DEB0883"/>
    <w:rsid w:val="3E2527BF"/>
    <w:rsid w:val="3E3E2BD2"/>
    <w:rsid w:val="3E536525"/>
    <w:rsid w:val="3E70484C"/>
    <w:rsid w:val="3E731662"/>
    <w:rsid w:val="3E8168DD"/>
    <w:rsid w:val="3EA739C4"/>
    <w:rsid w:val="3EA7725F"/>
    <w:rsid w:val="3EB03713"/>
    <w:rsid w:val="3EBF1A11"/>
    <w:rsid w:val="3EC52607"/>
    <w:rsid w:val="3EEC6CEF"/>
    <w:rsid w:val="3F183429"/>
    <w:rsid w:val="3FB77A1D"/>
    <w:rsid w:val="3FB9319F"/>
    <w:rsid w:val="3FDC3674"/>
    <w:rsid w:val="3FED7F8A"/>
    <w:rsid w:val="40081669"/>
    <w:rsid w:val="40094AEF"/>
    <w:rsid w:val="402373D7"/>
    <w:rsid w:val="404E5AB0"/>
    <w:rsid w:val="405470BD"/>
    <w:rsid w:val="40794A29"/>
    <w:rsid w:val="40834692"/>
    <w:rsid w:val="409C015C"/>
    <w:rsid w:val="40C05337"/>
    <w:rsid w:val="410F60F4"/>
    <w:rsid w:val="41431AD5"/>
    <w:rsid w:val="414B3C0F"/>
    <w:rsid w:val="417C1CE7"/>
    <w:rsid w:val="41900018"/>
    <w:rsid w:val="41944406"/>
    <w:rsid w:val="41CE128F"/>
    <w:rsid w:val="41DA6F12"/>
    <w:rsid w:val="42052CE7"/>
    <w:rsid w:val="42171FB1"/>
    <w:rsid w:val="422B598D"/>
    <w:rsid w:val="428515AF"/>
    <w:rsid w:val="4298152B"/>
    <w:rsid w:val="42C10D7B"/>
    <w:rsid w:val="42DD0344"/>
    <w:rsid w:val="43036C1F"/>
    <w:rsid w:val="434E6957"/>
    <w:rsid w:val="43763662"/>
    <w:rsid w:val="4389136D"/>
    <w:rsid w:val="43BA0E31"/>
    <w:rsid w:val="43C15147"/>
    <w:rsid w:val="43E14DD2"/>
    <w:rsid w:val="43F800E9"/>
    <w:rsid w:val="44112663"/>
    <w:rsid w:val="441251DA"/>
    <w:rsid w:val="443A7E4B"/>
    <w:rsid w:val="444A7D08"/>
    <w:rsid w:val="449940A1"/>
    <w:rsid w:val="450421DA"/>
    <w:rsid w:val="452F5B3A"/>
    <w:rsid w:val="453B14C6"/>
    <w:rsid w:val="454E7FD2"/>
    <w:rsid w:val="46061BDC"/>
    <w:rsid w:val="460B4326"/>
    <w:rsid w:val="461404F8"/>
    <w:rsid w:val="463B7FB0"/>
    <w:rsid w:val="46413018"/>
    <w:rsid w:val="464B7E04"/>
    <w:rsid w:val="468041AA"/>
    <w:rsid w:val="468123C6"/>
    <w:rsid w:val="46901EEE"/>
    <w:rsid w:val="469C74D2"/>
    <w:rsid w:val="47445515"/>
    <w:rsid w:val="474B4782"/>
    <w:rsid w:val="478D0E35"/>
    <w:rsid w:val="47A652CA"/>
    <w:rsid w:val="47D90D14"/>
    <w:rsid w:val="47DE1152"/>
    <w:rsid w:val="480F7968"/>
    <w:rsid w:val="48120331"/>
    <w:rsid w:val="48387FB0"/>
    <w:rsid w:val="483A6114"/>
    <w:rsid w:val="488727DB"/>
    <w:rsid w:val="48B82268"/>
    <w:rsid w:val="48C354B3"/>
    <w:rsid w:val="493D58B5"/>
    <w:rsid w:val="494A7A04"/>
    <w:rsid w:val="49605EF7"/>
    <w:rsid w:val="499E790A"/>
    <w:rsid w:val="4A0A26D2"/>
    <w:rsid w:val="4A2019A5"/>
    <w:rsid w:val="4A241A0B"/>
    <w:rsid w:val="4A5C2BD7"/>
    <w:rsid w:val="4A69571C"/>
    <w:rsid w:val="4A7919A9"/>
    <w:rsid w:val="4A7B2875"/>
    <w:rsid w:val="4A934476"/>
    <w:rsid w:val="4AAA220A"/>
    <w:rsid w:val="4AB965F6"/>
    <w:rsid w:val="4AE12E67"/>
    <w:rsid w:val="4B0F16A1"/>
    <w:rsid w:val="4B4C0111"/>
    <w:rsid w:val="4B8553A9"/>
    <w:rsid w:val="4BDB3730"/>
    <w:rsid w:val="4C200F7A"/>
    <w:rsid w:val="4CD22B86"/>
    <w:rsid w:val="4CEE3180"/>
    <w:rsid w:val="4D0F4AF6"/>
    <w:rsid w:val="4DB97DFD"/>
    <w:rsid w:val="4DF94F37"/>
    <w:rsid w:val="4E0A1DD5"/>
    <w:rsid w:val="4E107032"/>
    <w:rsid w:val="4E3160E5"/>
    <w:rsid w:val="4E4D37AF"/>
    <w:rsid w:val="4E5B6CA7"/>
    <w:rsid w:val="4E8C6496"/>
    <w:rsid w:val="4EFD18DE"/>
    <w:rsid w:val="4F144236"/>
    <w:rsid w:val="4F663C87"/>
    <w:rsid w:val="4F7E29A8"/>
    <w:rsid w:val="4F891D00"/>
    <w:rsid w:val="4F9E1FFC"/>
    <w:rsid w:val="4FD044E2"/>
    <w:rsid w:val="50447CC2"/>
    <w:rsid w:val="50874A7C"/>
    <w:rsid w:val="50895EE7"/>
    <w:rsid w:val="50921B9D"/>
    <w:rsid w:val="50D16158"/>
    <w:rsid w:val="50DB5F45"/>
    <w:rsid w:val="50EF17D8"/>
    <w:rsid w:val="51025EB1"/>
    <w:rsid w:val="51141503"/>
    <w:rsid w:val="513C450E"/>
    <w:rsid w:val="517D5B2F"/>
    <w:rsid w:val="518D0ED5"/>
    <w:rsid w:val="521340F1"/>
    <w:rsid w:val="525C687F"/>
    <w:rsid w:val="5262672A"/>
    <w:rsid w:val="528F21D9"/>
    <w:rsid w:val="52A3740A"/>
    <w:rsid w:val="52A463C2"/>
    <w:rsid w:val="52F647F7"/>
    <w:rsid w:val="52F92565"/>
    <w:rsid w:val="534C3101"/>
    <w:rsid w:val="534D45AF"/>
    <w:rsid w:val="534F2F8B"/>
    <w:rsid w:val="5354669D"/>
    <w:rsid w:val="538C3040"/>
    <w:rsid w:val="53AE735E"/>
    <w:rsid w:val="53D03877"/>
    <w:rsid w:val="53D67FD8"/>
    <w:rsid w:val="541C4A00"/>
    <w:rsid w:val="542F73CA"/>
    <w:rsid w:val="5430786D"/>
    <w:rsid w:val="544846CA"/>
    <w:rsid w:val="545A1D2A"/>
    <w:rsid w:val="547C4D07"/>
    <w:rsid w:val="54913481"/>
    <w:rsid w:val="54922F69"/>
    <w:rsid w:val="54C811C0"/>
    <w:rsid w:val="556354D4"/>
    <w:rsid w:val="556A442D"/>
    <w:rsid w:val="55945174"/>
    <w:rsid w:val="55DA564E"/>
    <w:rsid w:val="55E816A3"/>
    <w:rsid w:val="5604127D"/>
    <w:rsid w:val="56044E6C"/>
    <w:rsid w:val="56166703"/>
    <w:rsid w:val="56510474"/>
    <w:rsid w:val="565C45B5"/>
    <w:rsid w:val="56861525"/>
    <w:rsid w:val="569D39E4"/>
    <w:rsid w:val="56A93273"/>
    <w:rsid w:val="56BD550C"/>
    <w:rsid w:val="56E07045"/>
    <w:rsid w:val="56FF28AF"/>
    <w:rsid w:val="57540E7D"/>
    <w:rsid w:val="577B4878"/>
    <w:rsid w:val="57926973"/>
    <w:rsid w:val="57994DA4"/>
    <w:rsid w:val="57D1482F"/>
    <w:rsid w:val="57DF18B7"/>
    <w:rsid w:val="57FB7266"/>
    <w:rsid w:val="58175352"/>
    <w:rsid w:val="581F2200"/>
    <w:rsid w:val="582B60F2"/>
    <w:rsid w:val="583059FA"/>
    <w:rsid w:val="584A0929"/>
    <w:rsid w:val="58821063"/>
    <w:rsid w:val="58CD2491"/>
    <w:rsid w:val="591B41B2"/>
    <w:rsid w:val="59254A26"/>
    <w:rsid w:val="59326325"/>
    <w:rsid w:val="5951069F"/>
    <w:rsid w:val="595C505B"/>
    <w:rsid w:val="595E55C3"/>
    <w:rsid w:val="596E7E20"/>
    <w:rsid w:val="5A2569BD"/>
    <w:rsid w:val="5A5D23AA"/>
    <w:rsid w:val="5A60780B"/>
    <w:rsid w:val="5A6C1F62"/>
    <w:rsid w:val="5AB34579"/>
    <w:rsid w:val="5AB40E78"/>
    <w:rsid w:val="5AEC7339"/>
    <w:rsid w:val="5AFC6609"/>
    <w:rsid w:val="5B113480"/>
    <w:rsid w:val="5B6B43BA"/>
    <w:rsid w:val="5BB179A1"/>
    <w:rsid w:val="5BD456CE"/>
    <w:rsid w:val="5BFF0CFA"/>
    <w:rsid w:val="5C0D1F49"/>
    <w:rsid w:val="5CBB0CE2"/>
    <w:rsid w:val="5CC17177"/>
    <w:rsid w:val="5CF306BC"/>
    <w:rsid w:val="5D3F3D64"/>
    <w:rsid w:val="5D833043"/>
    <w:rsid w:val="5DD92690"/>
    <w:rsid w:val="5DDB1CFD"/>
    <w:rsid w:val="5E126AF0"/>
    <w:rsid w:val="5E7E6D93"/>
    <w:rsid w:val="5E9F2538"/>
    <w:rsid w:val="5ED44800"/>
    <w:rsid w:val="5EF850E8"/>
    <w:rsid w:val="5F066FCF"/>
    <w:rsid w:val="5F350BDE"/>
    <w:rsid w:val="5F5D0D88"/>
    <w:rsid w:val="5F61632C"/>
    <w:rsid w:val="5FA17648"/>
    <w:rsid w:val="5FCF5AC9"/>
    <w:rsid w:val="5FE369DB"/>
    <w:rsid w:val="5FE705CB"/>
    <w:rsid w:val="6007714E"/>
    <w:rsid w:val="603D5080"/>
    <w:rsid w:val="605D5223"/>
    <w:rsid w:val="606842D0"/>
    <w:rsid w:val="607847F3"/>
    <w:rsid w:val="60D0261B"/>
    <w:rsid w:val="618E3791"/>
    <w:rsid w:val="61947DCA"/>
    <w:rsid w:val="61A46A97"/>
    <w:rsid w:val="61D1382F"/>
    <w:rsid w:val="61F114A2"/>
    <w:rsid w:val="620F2CAB"/>
    <w:rsid w:val="622B0ABA"/>
    <w:rsid w:val="622D14EC"/>
    <w:rsid w:val="62512BB4"/>
    <w:rsid w:val="625D7D1A"/>
    <w:rsid w:val="62660469"/>
    <w:rsid w:val="62D55FA1"/>
    <w:rsid w:val="62DD7D21"/>
    <w:rsid w:val="6360162E"/>
    <w:rsid w:val="637D586B"/>
    <w:rsid w:val="63A5560B"/>
    <w:rsid w:val="63D72CF1"/>
    <w:rsid w:val="63E73919"/>
    <w:rsid w:val="63E9091F"/>
    <w:rsid w:val="64322AF9"/>
    <w:rsid w:val="64987FC5"/>
    <w:rsid w:val="64A50C7B"/>
    <w:rsid w:val="64CE7E7B"/>
    <w:rsid w:val="64D6010D"/>
    <w:rsid w:val="64D70175"/>
    <w:rsid w:val="64D82665"/>
    <w:rsid w:val="64E47C96"/>
    <w:rsid w:val="651E5741"/>
    <w:rsid w:val="654D5615"/>
    <w:rsid w:val="655D7702"/>
    <w:rsid w:val="658A4877"/>
    <w:rsid w:val="65A00902"/>
    <w:rsid w:val="65AC6EDD"/>
    <w:rsid w:val="65D97752"/>
    <w:rsid w:val="65DC383B"/>
    <w:rsid w:val="66085536"/>
    <w:rsid w:val="66105BF7"/>
    <w:rsid w:val="66150023"/>
    <w:rsid w:val="6628010D"/>
    <w:rsid w:val="669A3CE4"/>
    <w:rsid w:val="669B4528"/>
    <w:rsid w:val="66CC12D7"/>
    <w:rsid w:val="670450B2"/>
    <w:rsid w:val="67134CEF"/>
    <w:rsid w:val="671F1ABD"/>
    <w:rsid w:val="67521A59"/>
    <w:rsid w:val="67C304AB"/>
    <w:rsid w:val="683F0658"/>
    <w:rsid w:val="684507A5"/>
    <w:rsid w:val="689C6793"/>
    <w:rsid w:val="68DB0208"/>
    <w:rsid w:val="68FB170C"/>
    <w:rsid w:val="691B3D98"/>
    <w:rsid w:val="693748F0"/>
    <w:rsid w:val="69846A0E"/>
    <w:rsid w:val="698955B3"/>
    <w:rsid w:val="69AA1366"/>
    <w:rsid w:val="69AD798C"/>
    <w:rsid w:val="69D005C0"/>
    <w:rsid w:val="69D80B96"/>
    <w:rsid w:val="69F47AD7"/>
    <w:rsid w:val="6A0A525D"/>
    <w:rsid w:val="6A176522"/>
    <w:rsid w:val="6A2C39D4"/>
    <w:rsid w:val="6A3C05A5"/>
    <w:rsid w:val="6AB36254"/>
    <w:rsid w:val="6B6658F5"/>
    <w:rsid w:val="6B68175F"/>
    <w:rsid w:val="6BC60396"/>
    <w:rsid w:val="6BC829D5"/>
    <w:rsid w:val="6BFD799F"/>
    <w:rsid w:val="6C4A2E5A"/>
    <w:rsid w:val="6C8138D0"/>
    <w:rsid w:val="6CEF0725"/>
    <w:rsid w:val="6CFA1FA8"/>
    <w:rsid w:val="6D372CCD"/>
    <w:rsid w:val="6D4B2604"/>
    <w:rsid w:val="6D8030E4"/>
    <w:rsid w:val="6DBE51A6"/>
    <w:rsid w:val="6E0E35C4"/>
    <w:rsid w:val="6E0F7A08"/>
    <w:rsid w:val="6E3947F5"/>
    <w:rsid w:val="6E6733A0"/>
    <w:rsid w:val="6E6E3938"/>
    <w:rsid w:val="6E9C74ED"/>
    <w:rsid w:val="6EDA7323"/>
    <w:rsid w:val="6EF72976"/>
    <w:rsid w:val="6F42616A"/>
    <w:rsid w:val="6F795A80"/>
    <w:rsid w:val="6F7C1D2E"/>
    <w:rsid w:val="6F885D18"/>
    <w:rsid w:val="6F8E0407"/>
    <w:rsid w:val="6F964B5C"/>
    <w:rsid w:val="6FDD069F"/>
    <w:rsid w:val="702B4D16"/>
    <w:rsid w:val="70AA6621"/>
    <w:rsid w:val="70C2245D"/>
    <w:rsid w:val="7111480F"/>
    <w:rsid w:val="71261F49"/>
    <w:rsid w:val="712E6956"/>
    <w:rsid w:val="71473612"/>
    <w:rsid w:val="71504F32"/>
    <w:rsid w:val="7152309F"/>
    <w:rsid w:val="718F7F65"/>
    <w:rsid w:val="71C73F71"/>
    <w:rsid w:val="71DA5F6C"/>
    <w:rsid w:val="71DA6992"/>
    <w:rsid w:val="727B234E"/>
    <w:rsid w:val="72BB0989"/>
    <w:rsid w:val="72D068C7"/>
    <w:rsid w:val="72E42ED8"/>
    <w:rsid w:val="72FC34C3"/>
    <w:rsid w:val="73147E49"/>
    <w:rsid w:val="735F4CB9"/>
    <w:rsid w:val="73674C62"/>
    <w:rsid w:val="73845865"/>
    <w:rsid w:val="739B6D9E"/>
    <w:rsid w:val="73A962BD"/>
    <w:rsid w:val="73BC1D76"/>
    <w:rsid w:val="73E32E3A"/>
    <w:rsid w:val="73FB6630"/>
    <w:rsid w:val="741C59A4"/>
    <w:rsid w:val="747769B3"/>
    <w:rsid w:val="748D790E"/>
    <w:rsid w:val="749820CC"/>
    <w:rsid w:val="74CE04EC"/>
    <w:rsid w:val="74E76DCD"/>
    <w:rsid w:val="751D7C0A"/>
    <w:rsid w:val="75404322"/>
    <w:rsid w:val="75722D56"/>
    <w:rsid w:val="75DB5477"/>
    <w:rsid w:val="75EA0FC7"/>
    <w:rsid w:val="75F84D94"/>
    <w:rsid w:val="75FC6AC3"/>
    <w:rsid w:val="7616619B"/>
    <w:rsid w:val="76660D7C"/>
    <w:rsid w:val="766C5968"/>
    <w:rsid w:val="76BE0C8F"/>
    <w:rsid w:val="76C2126B"/>
    <w:rsid w:val="76CD53B2"/>
    <w:rsid w:val="76E6594C"/>
    <w:rsid w:val="77066F90"/>
    <w:rsid w:val="770719AC"/>
    <w:rsid w:val="774535D4"/>
    <w:rsid w:val="774F1335"/>
    <w:rsid w:val="776526CC"/>
    <w:rsid w:val="77A262E1"/>
    <w:rsid w:val="77B13C33"/>
    <w:rsid w:val="77B463B0"/>
    <w:rsid w:val="77DC095A"/>
    <w:rsid w:val="77ED6F44"/>
    <w:rsid w:val="77F45548"/>
    <w:rsid w:val="77FC440B"/>
    <w:rsid w:val="780C471B"/>
    <w:rsid w:val="784E7CA6"/>
    <w:rsid w:val="78574801"/>
    <w:rsid w:val="7873527F"/>
    <w:rsid w:val="790A6425"/>
    <w:rsid w:val="790E2D96"/>
    <w:rsid w:val="791B54B2"/>
    <w:rsid w:val="791E0E0D"/>
    <w:rsid w:val="793C0F89"/>
    <w:rsid w:val="795A0A34"/>
    <w:rsid w:val="796C6DEE"/>
    <w:rsid w:val="797339C3"/>
    <w:rsid w:val="79D57D57"/>
    <w:rsid w:val="79F00650"/>
    <w:rsid w:val="7A6242BF"/>
    <w:rsid w:val="7A794513"/>
    <w:rsid w:val="7A7F3F52"/>
    <w:rsid w:val="7A9B3811"/>
    <w:rsid w:val="7AB467DA"/>
    <w:rsid w:val="7AB9318D"/>
    <w:rsid w:val="7AD4263D"/>
    <w:rsid w:val="7AE952D2"/>
    <w:rsid w:val="7B751F2E"/>
    <w:rsid w:val="7B8F5EE0"/>
    <w:rsid w:val="7BB607FE"/>
    <w:rsid w:val="7C3F2334"/>
    <w:rsid w:val="7C7248A0"/>
    <w:rsid w:val="7C976D69"/>
    <w:rsid w:val="7CAE6997"/>
    <w:rsid w:val="7CC12DDF"/>
    <w:rsid w:val="7CD752DA"/>
    <w:rsid w:val="7CDE40AB"/>
    <w:rsid w:val="7CF057E2"/>
    <w:rsid w:val="7D1548B5"/>
    <w:rsid w:val="7D2255A1"/>
    <w:rsid w:val="7DF84014"/>
    <w:rsid w:val="7E207949"/>
    <w:rsid w:val="7E5C0A47"/>
    <w:rsid w:val="7E670C75"/>
    <w:rsid w:val="7ED548F2"/>
    <w:rsid w:val="7EE24272"/>
    <w:rsid w:val="7EEA6053"/>
    <w:rsid w:val="7F1B1B32"/>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9">
    <w:name w:val="index 1"/>
    <w:basedOn w:val="1"/>
    <w:next w:val="1"/>
    <w:unhideWhenUsed/>
    <w:qFormat/>
    <w:uiPriority w:val="99"/>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9</TotalTime>
  <ScaleCrop>false</ScaleCrop>
  <LinksUpToDate>false</LinksUpToDate>
  <CharactersWithSpaces>22618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2024-11-21T11:17:09Z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D624B15633CD43C8BF9435464A96BF70</vt:lpwstr>
  </property>
</Properties>
</file>