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库尔勒市恰尔巴格乡人民政府</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hint="eastAsia" w:ascii="仿宋_GB2312" w:eastAsia="仿宋_GB2312"/>
          <w:color w:val="auto"/>
          <w:sz w:val="32"/>
          <w:szCs w:val="32"/>
          <w:highlight w:val="none"/>
        </w:rPr>
      </w:pPr>
      <w:r>
        <w:rPr>
          <w:rFonts w:hint="eastAsia" w:ascii="仿宋_GB2312" w:eastAsia="仿宋_GB2312"/>
          <w:sz w:val="32"/>
          <w:szCs w:val="32"/>
        </w:rPr>
        <w:t>新疆巴州库尔勒市</w:t>
      </w:r>
      <w:r>
        <w:rPr>
          <w:rFonts w:hint="eastAsia" w:ascii="仿宋_GB2312" w:eastAsia="仿宋_GB2312"/>
          <w:color w:val="auto"/>
          <w:sz w:val="32"/>
          <w:szCs w:val="32"/>
          <w:highlight w:val="none"/>
        </w:rPr>
        <w:t>恰尔巴格乡人民政府位于库尔勒市交通西路,是一，二三产业同步发展，生产结构合理的城郊乡。主要职能：宣传、执行党的路线、方针、政策和国家法律、法规，保证上级党委政府决议、决定的落实，对居民进行思想政治教育和社会主义法治宣传；组织领导乡经济工作，制定乡经济发展规划，检查、督促各经济组织开展工作，负责乡财政预算和收支管理。加强外来人口管理，开展民事调解，保护老人、儿童、妇女、残疾人和青少年的合法权益，保障辖区内政治稳定和社会安定。开展党的建设、群众文化、科普、精神文明、爱国卫生、计划生育、环境卫生、绿化美化、民政、社会保障、健康教育等工作，配合有关部门做好防控、防汛防震、抢险救灾、交通管理等工作；向上级政府反映群众的意见和要求，办理人民群众来信来访事项，做好为居民群众服务工作；完成上级政府交办的其他事项。</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1、执行本级人民代表大会的决议和上级国家行政机关的决定和命令，发布决定和命令。</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2、执行本行政区域内的经济和社会发展计划、预算，管理本行政区域内的经济、教育、科学、文化、卫生、体育事业、财政、民政、司法行政、计划生育等行政工作。</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3、保护社会主义的全民所有的财产和劳动群众集体所有的财产，保护公民私人所有的合法财产，维护社会秩序，保障公民的人身权利、民主权利和其他权利。</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4、保护各种经济组织的合法权益。</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5、保障少数民族的权利和尊重少数民族的风俗习惯。</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6、办理上级人民政府交办的其他事项</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widowControl/>
        <w:spacing w:line="560" w:lineRule="exact"/>
        <w:ind w:firstLine="640"/>
        <w:jc w:val="left"/>
        <w:rPr>
          <w:rFonts w:hint="eastAsia" w:ascii="Calibri" w:hAnsi="仿宋" w:eastAsia="仿宋_GB2312"/>
          <w:sz w:val="32"/>
          <w:szCs w:val="32"/>
          <w:lang w:eastAsia="zh-CN"/>
        </w:rPr>
      </w:pPr>
      <w:r>
        <w:rPr>
          <w:rFonts w:hint="eastAsia" w:ascii="仿宋_GB2312" w:eastAsia="仿宋_GB2312"/>
          <w:color w:val="auto"/>
          <w:sz w:val="32"/>
          <w:szCs w:val="32"/>
          <w:highlight w:val="none"/>
          <w:lang w:val="en-US" w:eastAsia="zh-CN"/>
        </w:rPr>
        <w:t>库尔勒市恰尔巴格乡人民政府</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79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val="en-US" w:eastAsia="zh-CN"/>
        </w:rPr>
        <w:t xml:space="preserve">    </w:t>
      </w:r>
    </w:p>
    <w:p>
      <w:pPr>
        <w:widowControl/>
        <w:spacing w:line="560" w:lineRule="exact"/>
        <w:ind w:firstLine="640"/>
        <w:jc w:val="left"/>
        <w:rPr>
          <w:rFonts w:hint="eastAsia" w:ascii="Calibri" w:hAnsi="仿宋" w:eastAsia="仿宋_GB2312"/>
          <w:sz w:val="32"/>
          <w:szCs w:val="32"/>
          <w:lang w:eastAsia="zh-CN"/>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lang w:val="en-US" w:eastAsia="zh-CN"/>
        </w:rPr>
        <w:t>6</w:t>
      </w:r>
      <w:r>
        <w:rPr>
          <w:rFonts w:hint="eastAsia" w:ascii="仿宋_GB2312" w:hAnsi="黑体" w:eastAsia="仿宋_GB2312" w:cs="宋体"/>
          <w:bCs/>
          <w:kern w:val="0"/>
          <w:sz w:val="32"/>
          <w:szCs w:val="32"/>
        </w:rPr>
        <w:t>个处室，分别是：</w:t>
      </w:r>
      <w:r>
        <w:rPr>
          <w:rFonts w:hint="eastAsia" w:ascii="Calibri" w:hAnsi="仿宋" w:eastAsia="仿宋_GB2312"/>
          <w:sz w:val="32"/>
          <w:szCs w:val="32"/>
        </w:rPr>
        <w:t>农业（畜牧业）发展中心，文化体育广播电视服务中心，社会保障（民政）服务中心，(财政所)农村合作经济经营管理服务站），村镇规划建设发展服务中心（环境保护工作站），人口和计划生育生殖健康服务站</w:t>
      </w:r>
      <w:r>
        <w:rPr>
          <w:rFonts w:hint="eastAsia" w:ascii="Calibri" w:hAnsi="仿宋"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p>
    <w:p>
      <w:pPr>
        <w:pStyle w:val="2"/>
        <w:numPr>
          <w:ilvl w:val="0"/>
          <w:numId w:val="0"/>
        </w:numPr>
        <w:rPr>
          <w:rFonts w:hint="eastAsia" w:ascii="黑体" w:hAnsi="黑体" w:eastAsia="黑体"/>
          <w:color w:val="auto"/>
          <w:sz w:val="32"/>
          <w:szCs w:val="32"/>
          <w:highlight w:val="none"/>
        </w:rPr>
      </w:pPr>
    </w:p>
    <w:p>
      <w:pPr>
        <w:rPr>
          <w:rFonts w:hint="eastAsia" w:ascii="黑体" w:hAnsi="黑体" w:eastAsia="黑体"/>
          <w:color w:val="auto"/>
          <w:sz w:val="32"/>
          <w:szCs w:val="32"/>
          <w:highlight w:val="none"/>
        </w:rPr>
      </w:pPr>
    </w:p>
    <w:p>
      <w:pPr>
        <w:pStyle w:val="2"/>
        <w:numPr>
          <w:ilvl w:val="0"/>
          <w:numId w:val="0"/>
        </w:numPr>
        <w:ind w:left="851" w:leftChars="0"/>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3,637.79万元，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3,637.79万元，使用非财政拨款结余0.00万元，年初结转和结余0.00万元。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3,637.79万元，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3,637.79万元，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val="en-US" w:eastAsia="zh-CN"/>
        </w:rPr>
        <w:t>收入支出总体与上年相比</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zh-CN" w:eastAsia="zh-CN"/>
        </w:rPr>
        <w:t>增加1,129.45万元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zh-CN" w:eastAsia="zh-CN"/>
        </w:rPr>
        <w:t>增长45.03%</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2023年乡村振兴项目，五小工程、干部周转宿舍等项目增加的原</w:t>
      </w:r>
      <w:r>
        <w:rPr>
          <w:rFonts w:hint="eastAsia" w:ascii="仿宋_GB2312" w:eastAsia="仿宋_GB2312"/>
          <w:color w:val="auto"/>
          <w:spacing w:val="0"/>
          <w:sz w:val="32"/>
          <w:szCs w:val="32"/>
          <w:highlight w:val="none"/>
          <w:lang w:val="en-US" w:eastAsia="zh-CN"/>
        </w:rPr>
        <w:t>因，收入支出总体与上年相比增加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3,637.79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3,607.08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99.16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30.71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0.84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本年支出3,637.79万元，其中：基本支出2,330.74万元，占64.07%；项目支出1,307.05万元，占35.93%；上缴上级支出0.00万元，占0.00%；经营支出0.00万元，占0.00%；对附属单位补助支出0.00万元，占0.00%。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eastAsia="zh-CN"/>
        </w:rPr>
      </w:pPr>
      <w:r>
        <w:rPr>
          <w:rFonts w:hint="eastAsia" w:ascii="Times New Roman" w:hAnsi="Times New Roman" w:eastAsia="仿宋_GB2312" w:cs="仿宋_GB2312"/>
          <w:color w:val="auto"/>
          <w:sz w:val="32"/>
          <w:szCs w:val="32"/>
          <w:highlight w:val="none"/>
          <w:lang w:val="zh-CN" w:eastAsia="zh-CN"/>
        </w:rPr>
        <w:t>2023年度财政拨款收入</w:t>
      </w:r>
      <w:r>
        <w:rPr>
          <w:rFonts w:hint="eastAsia" w:ascii="Times New Roman" w:hAnsi="Times New Roman" w:eastAsia="仿宋_GB2312" w:cs="仿宋_GB2312"/>
          <w:color w:val="auto"/>
          <w:sz w:val="32"/>
          <w:szCs w:val="32"/>
          <w:highlight w:val="none"/>
          <w:lang w:val="en-US" w:eastAsia="zh-CN"/>
        </w:rPr>
        <w:t>总计</w:t>
      </w:r>
      <w:r>
        <w:rPr>
          <w:rFonts w:hint="eastAsia" w:ascii="Times New Roman" w:hAnsi="Times New Roman" w:eastAsia="仿宋_GB2312" w:cs="仿宋_GB2312"/>
          <w:color w:val="auto"/>
          <w:sz w:val="32"/>
          <w:szCs w:val="32"/>
          <w:highlight w:val="none"/>
          <w:lang w:val="zh-CN" w:eastAsia="zh-CN"/>
        </w:rPr>
        <w:t>3,607.08万元，</w:t>
      </w:r>
      <w:r>
        <w:rPr>
          <w:rFonts w:hint="eastAsia" w:ascii="Times New Roman" w:hAnsi="Times New Roman" w:eastAsia="仿宋_GB2312" w:cs="仿宋_GB2312"/>
          <w:color w:val="auto"/>
          <w:sz w:val="32"/>
          <w:szCs w:val="32"/>
          <w:highlight w:val="none"/>
          <w:lang w:val="en-US" w:eastAsia="zh-CN"/>
        </w:rPr>
        <w:t>其中：年初财政拨款结转和结余</w:t>
      </w:r>
      <w:r>
        <w:rPr>
          <w:rFonts w:hint="eastAsia" w:ascii="Times New Roman" w:hAnsi="Times New Roman" w:eastAsia="仿宋_GB2312" w:cs="仿宋_GB2312"/>
          <w:color w:val="auto"/>
          <w:sz w:val="32"/>
          <w:szCs w:val="32"/>
          <w:highlight w:val="none"/>
          <w:lang w:val="zh-CN" w:eastAsia="zh-CN"/>
        </w:rPr>
        <w:t>0.00万元，</w:t>
      </w:r>
      <w:r>
        <w:rPr>
          <w:rFonts w:hint="eastAsia" w:ascii="Times New Roman" w:hAnsi="Times New Roman" w:eastAsia="仿宋_GB2312" w:cs="仿宋_GB2312"/>
          <w:color w:val="auto"/>
          <w:sz w:val="32"/>
          <w:szCs w:val="32"/>
          <w:highlight w:val="none"/>
          <w:lang w:val="en-US" w:eastAsia="zh-CN"/>
        </w:rPr>
        <w:t>本年财政拨款收入</w:t>
      </w:r>
      <w:r>
        <w:rPr>
          <w:rFonts w:hint="eastAsia" w:ascii="Times New Roman" w:hAnsi="Times New Roman" w:eastAsia="仿宋_GB2312" w:cs="仿宋_GB2312"/>
          <w:color w:val="auto"/>
          <w:sz w:val="32"/>
          <w:szCs w:val="32"/>
          <w:highlight w:val="none"/>
          <w:lang w:val="zh-CN" w:eastAsia="zh-CN"/>
        </w:rPr>
        <w:t>3,607.08万元。财政拨款支出</w:t>
      </w:r>
      <w:r>
        <w:rPr>
          <w:rFonts w:hint="eastAsia" w:ascii="Times New Roman" w:hAnsi="Times New Roman" w:eastAsia="仿宋_GB2312" w:cs="仿宋_GB2312"/>
          <w:color w:val="auto"/>
          <w:sz w:val="32"/>
          <w:szCs w:val="32"/>
          <w:highlight w:val="none"/>
          <w:lang w:val="en-US" w:eastAsia="zh-CN"/>
        </w:rPr>
        <w:t>总计</w:t>
      </w:r>
      <w:r>
        <w:rPr>
          <w:rFonts w:hint="eastAsia" w:ascii="Times New Roman" w:hAnsi="Times New Roman" w:eastAsia="仿宋_GB2312" w:cs="仿宋_GB2312"/>
          <w:color w:val="auto"/>
          <w:sz w:val="32"/>
          <w:szCs w:val="32"/>
          <w:highlight w:val="none"/>
          <w:lang w:val="zh-CN" w:eastAsia="zh-CN"/>
        </w:rPr>
        <w:t>3,607.08万元，</w:t>
      </w:r>
      <w:r>
        <w:rPr>
          <w:rFonts w:hint="eastAsia" w:ascii="Times New Roman" w:hAnsi="Times New Roman" w:eastAsia="仿宋_GB2312" w:cs="仿宋_GB2312"/>
          <w:color w:val="auto"/>
          <w:sz w:val="32"/>
          <w:szCs w:val="32"/>
          <w:highlight w:val="none"/>
          <w:lang w:val="en-US" w:eastAsia="zh-CN"/>
        </w:rPr>
        <w:t>其中：年末财政拨款结转和结余</w:t>
      </w:r>
      <w:r>
        <w:rPr>
          <w:rFonts w:hint="eastAsia" w:ascii="Times New Roman" w:hAnsi="Times New Roman" w:eastAsia="仿宋_GB2312" w:cs="仿宋_GB2312"/>
          <w:color w:val="auto"/>
          <w:sz w:val="32"/>
          <w:szCs w:val="32"/>
          <w:highlight w:val="none"/>
          <w:lang w:val="zh-CN" w:eastAsia="zh-CN"/>
        </w:rPr>
        <w:t>0.00万元，</w:t>
      </w:r>
      <w:r>
        <w:rPr>
          <w:rFonts w:hint="eastAsia" w:ascii="Times New Roman" w:hAnsi="Times New Roman" w:eastAsia="仿宋_GB2312" w:cs="仿宋_GB2312"/>
          <w:color w:val="auto"/>
          <w:sz w:val="32"/>
          <w:szCs w:val="32"/>
          <w:highlight w:val="none"/>
          <w:lang w:val="en-US" w:eastAsia="zh-CN"/>
        </w:rPr>
        <w:t>本年财政拨款支出</w:t>
      </w:r>
      <w:r>
        <w:rPr>
          <w:rFonts w:hint="eastAsia" w:ascii="Times New Roman" w:hAnsi="Times New Roman" w:eastAsia="仿宋_GB2312" w:cs="仿宋_GB2312"/>
          <w:color w:val="auto"/>
          <w:sz w:val="32"/>
          <w:szCs w:val="32"/>
          <w:highlight w:val="none"/>
          <w:lang w:val="zh-CN" w:eastAsia="zh-CN"/>
        </w:rPr>
        <w:t>3,607.08万元。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zh-CN" w:eastAsia="zh-CN"/>
        </w:rPr>
        <w:t>财政拨款收入支出总体与上年相比</w:t>
      </w:r>
      <w:r>
        <w:rPr>
          <w:rFonts w:hint="eastAsia" w:ascii="Times New Roman" w:hAnsi="Times New Roman" w:eastAsia="仿宋_GB2312" w:cs="仿宋_GB2312"/>
          <w:color w:val="auto"/>
          <w:sz w:val="32"/>
          <w:szCs w:val="32"/>
          <w:highlight w:val="none"/>
          <w:lang w:val="en-US" w:eastAsia="zh-CN"/>
        </w:rPr>
        <w:t>,</w:t>
      </w:r>
      <w:r>
        <w:rPr>
          <w:rFonts w:hint="eastAsia" w:ascii="Times New Roman" w:hAnsi="Times New Roman" w:eastAsia="仿宋_GB2312" w:cs="仿宋_GB2312"/>
          <w:color w:val="auto"/>
          <w:sz w:val="32"/>
          <w:szCs w:val="32"/>
          <w:highlight w:val="none"/>
          <w:lang w:val="zh-CN" w:eastAsia="zh-CN"/>
        </w:rPr>
        <w:t>增加1,169.07万元，增长47.95%，主要原因是：</w:t>
      </w:r>
      <w:r>
        <w:rPr>
          <w:rFonts w:hint="eastAsia" w:ascii="Times New Roman" w:hAnsi="Times New Roman" w:eastAsia="仿宋_GB2312" w:cs="仿宋_GB2312"/>
          <w:color w:val="auto"/>
          <w:sz w:val="32"/>
          <w:szCs w:val="32"/>
          <w:highlight w:val="none"/>
          <w:lang w:val="en-US" w:eastAsia="zh-CN"/>
        </w:rPr>
        <w:t>2023年我单位增加“88号永安商业街”项目拆迁款及“春节前解决农民工工资”项目总共694万；增加3个乡村振兴项目269.1万元；增加干部周转宿舍及村级阵地建设项目205.97万元</w:t>
      </w:r>
      <w:r>
        <w:rPr>
          <w:rFonts w:hint="eastAsia" w:ascii="Times New Roman" w:hAnsi="Times New Roman" w:eastAsia="仿宋_GB2312" w:cs="仿宋_GB2312"/>
          <w:color w:val="auto"/>
          <w:sz w:val="32"/>
          <w:szCs w:val="32"/>
          <w:highlight w:val="none"/>
          <w:lang w:val="zh-CN" w:eastAsia="zh-CN"/>
        </w:rPr>
        <w:t>。与年初预算相比，年初预算数2,210.37万元，决算数3,607.08万元，预决算差异率63.19%，主要原因是：</w:t>
      </w:r>
      <w:r>
        <w:rPr>
          <w:rFonts w:hint="eastAsia" w:ascii="Times New Roman" w:hAnsi="Times New Roman" w:eastAsia="仿宋_GB2312" w:cs="仿宋_GB2312"/>
          <w:color w:val="auto"/>
          <w:sz w:val="32"/>
          <w:szCs w:val="32"/>
          <w:highlight w:val="none"/>
          <w:lang w:val="en-US" w:eastAsia="zh-CN"/>
        </w:rPr>
        <w:t>2023年乡村振兴项目，五小工程、干部周转宿舍及村级阵地建设等项目增加的原因与年初预</w:t>
      </w:r>
      <w:r>
        <w:rPr>
          <w:rFonts w:hint="eastAsia" w:ascii="仿宋_GB2312" w:eastAsia="仿宋_GB2312"/>
          <w:color w:val="auto"/>
          <w:spacing w:val="0"/>
          <w:sz w:val="32"/>
          <w:szCs w:val="32"/>
          <w:highlight w:val="none"/>
          <w:lang w:val="en-US" w:eastAsia="zh-CN"/>
        </w:rPr>
        <w:t>算相比增加决算数</w:t>
      </w:r>
      <w:r>
        <w:rPr>
          <w:rFonts w:hint="eastAsia" w:ascii="Times New Roman" w:hAnsi="Times New Roman"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zh-CN" w:eastAsia="zh-CN"/>
        </w:rPr>
        <w:t>2023年度一般公共预算财政拨款支出2,913.03万元，占本年支出合计的80.08%。与上年相比，增加475.02万元，增长19.48%，主要原因是：</w:t>
      </w:r>
      <w:r>
        <w:rPr>
          <w:rFonts w:hint="eastAsia" w:ascii="Times New Roman" w:hAnsi="Times New Roman" w:eastAsia="仿宋_GB2312" w:cs="仿宋_GB2312"/>
          <w:color w:val="auto"/>
          <w:sz w:val="32"/>
          <w:szCs w:val="32"/>
          <w:highlight w:val="none"/>
          <w:lang w:val="en-US" w:eastAsia="zh-CN"/>
        </w:rPr>
        <w:t>2023年</w:t>
      </w:r>
      <w:r>
        <w:rPr>
          <w:rFonts w:hint="eastAsia" w:eastAsia="仿宋_GB2312" w:cs="仿宋_GB2312"/>
          <w:color w:val="auto"/>
          <w:sz w:val="32"/>
          <w:szCs w:val="32"/>
          <w:highlight w:val="none"/>
          <w:lang w:val="en-US" w:eastAsia="zh-CN"/>
        </w:rPr>
        <w:t>增加乡村振兴项目</w:t>
      </w:r>
      <w:r>
        <w:rPr>
          <w:rFonts w:hint="eastAsia" w:ascii="Times New Roman" w:hAnsi="Times New Roman" w:eastAsia="仿宋_GB2312" w:cs="仿宋_GB2312"/>
          <w:color w:val="auto"/>
          <w:sz w:val="32"/>
          <w:szCs w:val="32"/>
          <w:highlight w:val="none"/>
          <w:lang w:val="en-US" w:eastAsia="zh-CN"/>
        </w:rPr>
        <w:t>，支付上阔什巴格村环境整治河北援疆资金项目尾款</w:t>
      </w:r>
      <w:r>
        <w:rPr>
          <w:rFonts w:hint="eastAsia" w:ascii="Times New Roman" w:hAnsi="Times New Roman" w:eastAsia="仿宋_GB2312" w:cs="仿宋_GB2312"/>
          <w:color w:val="auto"/>
          <w:sz w:val="32"/>
          <w:szCs w:val="32"/>
          <w:highlight w:val="none"/>
          <w:lang w:val="zh-CN" w:eastAsia="zh-CN"/>
        </w:rPr>
        <w:t>。与年初预算相比，年初预算数2,210.37万元，决算数2,913.03万元，预决算差异率31.79%，主要原因是：</w:t>
      </w:r>
      <w:r>
        <w:rPr>
          <w:rFonts w:hint="eastAsia" w:ascii="Times New Roman" w:hAnsi="Times New Roman" w:eastAsia="仿宋_GB2312" w:cs="仿宋_GB2312"/>
          <w:color w:val="auto"/>
          <w:sz w:val="32"/>
          <w:szCs w:val="32"/>
          <w:highlight w:val="none"/>
          <w:lang w:val="en-US" w:eastAsia="zh-CN"/>
        </w:rPr>
        <w:t>2023年增加</w:t>
      </w:r>
      <w:r>
        <w:rPr>
          <w:rFonts w:hint="eastAsia" w:eastAsia="仿宋_GB2312" w:cs="仿宋_GB2312"/>
          <w:color w:val="auto"/>
          <w:sz w:val="32"/>
          <w:szCs w:val="32"/>
          <w:highlight w:val="none"/>
          <w:lang w:val="en-US" w:eastAsia="zh-CN"/>
        </w:rPr>
        <w:t>乡村振兴项目</w:t>
      </w:r>
      <w:r>
        <w:rPr>
          <w:rFonts w:hint="eastAsia" w:ascii="Times New Roman" w:hAnsi="Times New Roman" w:eastAsia="仿宋_GB2312" w:cs="仿宋_GB2312"/>
          <w:color w:val="auto"/>
          <w:sz w:val="32"/>
          <w:szCs w:val="32"/>
          <w:highlight w:val="none"/>
          <w:lang w:val="en-US" w:eastAsia="zh-CN"/>
        </w:rPr>
        <w:t>，支付上阔什巴格村环境整治河北援疆资金项目尾款</w:t>
      </w:r>
      <w:r>
        <w:rPr>
          <w:rFonts w:hint="eastAsia" w:ascii="Times New Roman" w:hAnsi="Times New Roman" w:eastAsia="仿宋_GB2312" w:cs="仿宋_GB2312"/>
          <w:color w:val="auto"/>
          <w:sz w:val="32"/>
          <w:szCs w:val="32"/>
          <w:highlight w:val="none"/>
          <w:lang w:val="zh-CN"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1,741.38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59.78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0.33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eastAsia" w:ascii="仿宋_GB2312" w:hAnsi="Times New Roman" w:eastAsia="仿宋_GB2312" w:cs="Times New Roman"/>
          <w:color w:val="auto"/>
          <w:spacing w:val="0"/>
          <w:kern w:val="2"/>
          <w:sz w:val="32"/>
          <w:szCs w:val="32"/>
          <w:highlight w:val="none"/>
          <w:lang w:val="zh-CN" w:eastAsia="zh-CN" w:bidi="ar-SA"/>
        </w:rPr>
        <w:t>4.20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0.14</w:t>
      </w:r>
      <w:r>
        <w:rPr>
          <w:rFonts w:hint="default" w:ascii="仿宋_GB2312" w:hAnsi="Times New Roman" w:eastAsia="仿宋_GB2312" w:cs="Times New Roman"/>
          <w:color w:val="auto"/>
          <w:spacing w:val="0"/>
          <w:kern w:val="2"/>
          <w:sz w:val="32"/>
          <w:szCs w:val="32"/>
          <w:highlight w:val="none"/>
          <w:lang w:val="en-US"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2.95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0.10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182.74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6.27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6</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151.77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5.21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7</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461.69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15.85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8</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98.60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3.38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9</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269.36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9.25</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.一般公共服务支出（类）人大事务（款）代表工作（项）:支出决算数为2.95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2023年支付人大代表工作经费。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2.一般公共服务支出（类）人大事务（款）人大监督（项）:支出决算数为0.00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：2023年未安排</w:t>
      </w:r>
      <w:r>
        <w:rPr>
          <w:rFonts w:hint="eastAsia" w:ascii="Times New Roman" w:hAnsi="Times New Roman" w:eastAsia="仿宋_GB2312" w:cs="Times New Roman"/>
          <w:color w:val="auto"/>
          <w:kern w:val="2"/>
          <w:sz w:val="32"/>
          <w:szCs w:val="32"/>
          <w:highlight w:val="none"/>
          <w:lang w:val="en-US" w:eastAsia="zh-CN" w:bidi="ar-SA"/>
        </w:rPr>
        <w:t>人大事务</w:t>
      </w:r>
      <w:r>
        <w:rPr>
          <w:rFonts w:hint="eastAsia" w:eastAsia="仿宋_GB2312" w:cs="Times New Roman"/>
          <w:color w:val="auto"/>
          <w:kern w:val="2"/>
          <w:sz w:val="32"/>
          <w:szCs w:val="32"/>
          <w:highlight w:val="none"/>
          <w:lang w:val="en-US" w:eastAsia="zh-CN" w:bidi="ar-SA"/>
        </w:rPr>
        <w:t>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.一般公共服务支出（类）政府办公厅（室）及相关机构事务（款）行政运行（项）:支出决算数为1,487.34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214.10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16.82%，主要原因是：</w:t>
      </w:r>
      <w:r>
        <w:rPr>
          <w:rFonts w:hint="eastAsia" w:eastAsia="仿宋_GB2312" w:cs="Times New Roman"/>
          <w:color w:val="auto"/>
          <w:kern w:val="2"/>
          <w:sz w:val="32"/>
          <w:szCs w:val="32"/>
          <w:highlight w:val="none"/>
          <w:lang w:val="en-US" w:eastAsia="zh-CN" w:bidi="ar-SA"/>
        </w:rPr>
        <w:t>2023年支付2020年绩效工资原因比上年决算增加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.一般公共服务支出（类）政府办公厅（室）及相关机构事务（款）其他政府办公厅（室）及相关机构事务支出（项）:支出决算数为108.04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，比上年决算增加45.44万元，增长72.58%，主要原因是：2023年</w:t>
      </w:r>
      <w:r>
        <w:rPr>
          <w:rFonts w:hint="eastAsia" w:eastAsia="仿宋_GB2312" w:cs="Times New Roman"/>
          <w:color w:val="auto"/>
          <w:kern w:val="2"/>
          <w:sz w:val="32"/>
          <w:szCs w:val="32"/>
          <w:highlight w:val="none"/>
          <w:lang w:val="en-US" w:eastAsia="zh-CN" w:bidi="ar-SA"/>
        </w:rPr>
        <w:t>支付</w:t>
      </w:r>
      <w:r>
        <w:rPr>
          <w:rFonts w:hint="eastAsia" w:ascii="Times New Roman" w:hAnsi="Times New Roman" w:eastAsia="仿宋_GB2312" w:cs="Times New Roman"/>
          <w:color w:val="auto"/>
          <w:kern w:val="2"/>
          <w:sz w:val="32"/>
          <w:szCs w:val="32"/>
          <w:highlight w:val="none"/>
          <w:lang w:val="en-US" w:eastAsia="zh-CN" w:bidi="ar-SA"/>
        </w:rPr>
        <w:t>干部周转宿舍项目、五小工程项目前期费</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.一般公共服务支出（类）纪检监察事务（款）其他纪检监察事务支出（项）:支出决算数为1.50万元，比上年决算增加0.50万元，增长50.00%，主要原因是：2023年增加纪检项目</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.一般公共服务支出（类）组织事务（款）其他组织事务支出（项）:支出决算数为135.47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45.66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50.85%，主要原因是：</w:t>
      </w:r>
      <w:r>
        <w:rPr>
          <w:rFonts w:hint="eastAsia" w:eastAsia="仿宋_GB2312" w:cs="Times New Roman"/>
          <w:color w:val="auto"/>
          <w:kern w:val="2"/>
          <w:sz w:val="32"/>
          <w:szCs w:val="32"/>
          <w:highlight w:val="none"/>
          <w:lang w:val="en-US" w:eastAsia="zh-CN" w:bidi="ar-SA"/>
        </w:rPr>
        <w:t>2023年支付</w:t>
      </w:r>
      <w:r>
        <w:rPr>
          <w:rFonts w:hint="eastAsia" w:ascii="Times New Roman" w:hAnsi="Times New Roman" w:eastAsia="仿宋_GB2312" w:cs="Times New Roman"/>
          <w:color w:val="auto"/>
          <w:kern w:val="2"/>
          <w:sz w:val="32"/>
          <w:szCs w:val="32"/>
          <w:highlight w:val="none"/>
          <w:lang w:val="zh-CN" w:eastAsia="zh-CN" w:bidi="ar-SA"/>
        </w:rPr>
        <w:t>下阔什巴格村级活动场所建设项目</w:t>
      </w:r>
      <w:r>
        <w:rPr>
          <w:rFonts w:hint="eastAsia" w:ascii="Times New Roman" w:hAnsi="Times New Roman" w:eastAsia="仿宋_GB2312" w:cs="Times New Roman"/>
          <w:color w:val="auto"/>
          <w:kern w:val="2"/>
          <w:sz w:val="32"/>
          <w:szCs w:val="32"/>
          <w:highlight w:val="none"/>
          <w:lang w:val="en-US" w:eastAsia="zh-CN" w:bidi="ar-SA"/>
        </w:rPr>
        <w:t>的</w:t>
      </w:r>
      <w:r>
        <w:rPr>
          <w:rFonts w:hint="eastAsia" w:ascii="Times New Roman" w:hAnsi="Times New Roman" w:eastAsia="仿宋_GB2312" w:cs="Times New Roman"/>
          <w:color w:val="auto"/>
          <w:kern w:val="2"/>
          <w:sz w:val="32"/>
          <w:szCs w:val="32"/>
          <w:highlight w:val="none"/>
          <w:lang w:val="zh-CN" w:eastAsia="zh-CN" w:bidi="ar-SA"/>
        </w:rPr>
        <w:t>原因比上年决算增加。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.一般公共服务支出（类）统战事务（款）其他统战事务支出（项）:支出决算数为5.08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59.69%，主要原因是：</w:t>
      </w:r>
      <w:r>
        <w:rPr>
          <w:rFonts w:hint="eastAsia" w:eastAsia="仿宋_GB2312" w:cs="Times New Roman"/>
          <w:color w:val="auto"/>
          <w:kern w:val="2"/>
          <w:sz w:val="32"/>
          <w:szCs w:val="32"/>
          <w:highlight w:val="none"/>
          <w:lang w:val="en-US" w:eastAsia="zh-CN" w:bidi="ar-SA"/>
        </w:rPr>
        <w:t>2023年管委会人员撤回原因比上年决算减少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.一般公共服务支出（类）统战事务（款）宗教事务（项）:支出决算数为1.00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100%，主要原因是：2023年支付管委会专项经费1万元</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.国防支出（类）国防动员（款）民兵（项）:支出决算数为0.00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9.60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2023年未安排国防支出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10</w:t>
      </w:r>
      <w:r>
        <w:rPr>
          <w:rFonts w:hint="eastAsia" w:ascii="Times New Roman" w:hAnsi="Times New Roman" w:eastAsia="仿宋_GB2312" w:cs="Times New Roman"/>
          <w:color w:val="auto"/>
          <w:kern w:val="2"/>
          <w:sz w:val="32"/>
          <w:szCs w:val="32"/>
          <w:highlight w:val="none"/>
          <w:lang w:val="en-US" w:eastAsia="zh-CN" w:bidi="ar-SA"/>
        </w:rPr>
        <w:t>.教育支出（类）进修及培训（款）培训支出（项）:支出决算数为0.33万元，比上年决算减少0.46万元，下降58.</w:t>
      </w:r>
      <w:r>
        <w:rPr>
          <w:rFonts w:hint="eastAsia" w:eastAsia="仿宋_GB2312" w:cs="Times New Roman"/>
          <w:color w:val="auto"/>
          <w:kern w:val="2"/>
          <w:sz w:val="32"/>
          <w:szCs w:val="32"/>
          <w:highlight w:val="none"/>
          <w:lang w:val="en-US" w:eastAsia="zh-CN" w:bidi="ar-SA"/>
        </w:rPr>
        <w:t>23</w:t>
      </w:r>
      <w:r>
        <w:rPr>
          <w:rFonts w:hint="eastAsia" w:ascii="Times New Roman" w:hAnsi="Times New Roman" w:eastAsia="仿宋_GB2312" w:cs="Times New Roman"/>
          <w:color w:val="auto"/>
          <w:kern w:val="2"/>
          <w:sz w:val="32"/>
          <w:szCs w:val="32"/>
          <w:highlight w:val="none"/>
          <w:lang w:val="en-US" w:eastAsia="zh-CN" w:bidi="ar-SA"/>
        </w:rPr>
        <w:t>%，主要原因是：2023年我单位及上级部门未安排培训导致培训支出下降</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11</w:t>
      </w:r>
      <w:r>
        <w:rPr>
          <w:rFonts w:hint="eastAsia" w:ascii="Times New Roman" w:hAnsi="Times New Roman" w:eastAsia="仿宋_GB2312" w:cs="Times New Roman"/>
          <w:color w:val="auto"/>
          <w:kern w:val="2"/>
          <w:sz w:val="32"/>
          <w:szCs w:val="32"/>
          <w:highlight w:val="none"/>
          <w:lang w:val="en-US" w:eastAsia="zh-CN" w:bidi="ar-SA"/>
        </w:rPr>
        <w:t>.科学技术支出（类）科学技术普及（款）科普活动（项）:支出决算数为4.20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2023年支付哈赞七村科普馆费用</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12</w:t>
      </w:r>
      <w:r>
        <w:rPr>
          <w:rFonts w:hint="eastAsia" w:ascii="Times New Roman" w:hAnsi="Times New Roman" w:eastAsia="仿宋_GB2312" w:cs="Times New Roman"/>
          <w:color w:val="auto"/>
          <w:kern w:val="2"/>
          <w:sz w:val="32"/>
          <w:szCs w:val="32"/>
          <w:highlight w:val="none"/>
          <w:lang w:val="en-US" w:eastAsia="zh-CN" w:bidi="ar-SA"/>
        </w:rPr>
        <w:t>.文化旅游体育与传媒支出（类）文化和旅游（款）其他文化和旅游支出（项）:支出决算数为2.38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34.03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93.47%，主要原因是：</w:t>
      </w:r>
      <w:r>
        <w:rPr>
          <w:rFonts w:hint="eastAsia" w:eastAsia="仿宋_GB2312" w:cs="Times New Roman"/>
          <w:color w:val="auto"/>
          <w:kern w:val="2"/>
          <w:sz w:val="32"/>
          <w:szCs w:val="32"/>
          <w:highlight w:val="none"/>
          <w:lang w:val="en-US" w:eastAsia="zh-CN" w:bidi="ar-SA"/>
        </w:rPr>
        <w:t>2023年公共文化项目减少原因支出决算比例比上年下降</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yellow"/>
          <w:lang w:val="zh-CN" w:eastAsia="zh-CN" w:bidi="ar-SA"/>
        </w:rPr>
      </w:pPr>
      <w:r>
        <w:rPr>
          <w:rFonts w:hint="eastAsia" w:eastAsia="仿宋_GB2312" w:cs="Times New Roman"/>
          <w:color w:val="auto"/>
          <w:kern w:val="2"/>
          <w:sz w:val="32"/>
          <w:szCs w:val="32"/>
          <w:highlight w:val="none"/>
          <w:lang w:val="en-US" w:eastAsia="zh-CN" w:bidi="ar-SA"/>
        </w:rPr>
        <w:t>13</w:t>
      </w:r>
      <w:r>
        <w:rPr>
          <w:rFonts w:hint="eastAsia" w:ascii="Times New Roman" w:hAnsi="Times New Roman" w:eastAsia="仿宋_GB2312" w:cs="Times New Roman"/>
          <w:color w:val="auto"/>
          <w:kern w:val="2"/>
          <w:sz w:val="32"/>
          <w:szCs w:val="32"/>
          <w:highlight w:val="none"/>
          <w:lang w:val="en-US" w:eastAsia="zh-CN" w:bidi="ar-SA"/>
        </w:rPr>
        <w:t>.文化旅游体育与传媒支出（类）其他文化旅游体育与传媒支出（款）其他文化旅游体育与传媒支出（项）:支出决算数为0.58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100%，主要原因是：202</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年</w:t>
      </w:r>
      <w:r>
        <w:rPr>
          <w:rFonts w:hint="eastAsia" w:eastAsia="仿宋_GB2312" w:cs="Times New Roman"/>
          <w:color w:val="auto"/>
          <w:kern w:val="2"/>
          <w:sz w:val="32"/>
          <w:szCs w:val="32"/>
          <w:highlight w:val="none"/>
          <w:lang w:val="en-US" w:eastAsia="zh-CN" w:bidi="ar-SA"/>
        </w:rPr>
        <w:t>未发生</w:t>
      </w:r>
      <w:r>
        <w:rPr>
          <w:rFonts w:hint="eastAsia" w:ascii="Times New Roman" w:hAnsi="Times New Roman" w:eastAsia="仿宋_GB2312" w:cs="Times New Roman"/>
          <w:color w:val="auto"/>
          <w:kern w:val="2"/>
          <w:sz w:val="32"/>
          <w:szCs w:val="32"/>
          <w:highlight w:val="none"/>
          <w:lang w:val="en-US" w:eastAsia="zh-CN" w:bidi="ar-SA"/>
        </w:rPr>
        <w:t>文化旅游体育与传媒支出（类）其他文化旅游体育与传媒支出</w:t>
      </w:r>
      <w:r>
        <w:rPr>
          <w:rFonts w:hint="eastAsia" w:eastAsia="仿宋_GB2312" w:cs="Times New Roman"/>
          <w:color w:val="auto"/>
          <w:kern w:val="2"/>
          <w:sz w:val="32"/>
          <w:szCs w:val="32"/>
          <w:highlight w:val="none"/>
          <w:lang w:val="en-US" w:eastAsia="zh-CN" w:bidi="ar-SA"/>
        </w:rPr>
        <w:t>。2023年支付</w:t>
      </w:r>
      <w:r>
        <w:rPr>
          <w:rFonts w:hint="eastAsia" w:ascii="Times New Roman" w:hAnsi="Times New Roman" w:eastAsia="仿宋_GB2312" w:cs="Times New Roman"/>
          <w:color w:val="auto"/>
          <w:kern w:val="2"/>
          <w:sz w:val="32"/>
          <w:szCs w:val="32"/>
          <w:highlight w:val="none"/>
          <w:lang w:val="en-US" w:eastAsia="zh-CN" w:bidi="ar-SA"/>
        </w:rPr>
        <w:t>美术馆、图书馆、文化馆免费开放资金</w:t>
      </w:r>
      <w:r>
        <w:rPr>
          <w:rFonts w:hint="eastAsia" w:eastAsia="仿宋_GB2312" w:cs="Times New Roman"/>
          <w:color w:val="auto"/>
          <w:kern w:val="2"/>
          <w:sz w:val="32"/>
          <w:szCs w:val="32"/>
          <w:highlight w:val="none"/>
          <w:lang w:val="en-US" w:eastAsia="zh-CN" w:bidi="ar-SA"/>
        </w:rPr>
        <w:t>0.58万元</w:t>
      </w:r>
      <w:r>
        <w:rPr>
          <w:rFonts w:hint="eastAsia" w:ascii="Times New Roman" w:hAnsi="Times New Roman" w:eastAsia="仿宋_GB2312" w:cs="Times New Roman"/>
          <w:color w:val="auto"/>
          <w:kern w:val="2"/>
          <w:sz w:val="32"/>
          <w:szCs w:val="32"/>
          <w:highlight w:val="none"/>
          <w:lang w:val="en-US" w:eastAsia="zh-CN" w:bidi="ar-SA"/>
        </w:rPr>
        <w:t>。</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14</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.社会保障和就业支出（类）行政事业单位养老支出（款）行政单位离退休（项）:支出决算数为39.70万元，比上年决算增加31.55万元，增长</w:t>
      </w:r>
      <w:r>
        <w:rPr>
          <w:rFonts w:hint="eastAsia" w:eastAsia="仿宋_GB2312" w:cs="Times New Roman"/>
          <w:color w:val="auto"/>
          <w:kern w:val="2"/>
          <w:sz w:val="32"/>
          <w:szCs w:val="32"/>
          <w:highlight w:val="none"/>
          <w:lang w:val="en-US" w:eastAsia="zh-CN" w:bidi="ar-SA"/>
        </w:rPr>
        <w:t>387.12</w:t>
      </w:r>
      <w:r>
        <w:rPr>
          <w:rFonts w:hint="eastAsia" w:ascii="Times New Roman" w:hAnsi="Times New Roman" w:eastAsia="仿宋_GB2312" w:cs="Times New Roman"/>
          <w:color w:val="auto"/>
          <w:kern w:val="2"/>
          <w:sz w:val="32"/>
          <w:szCs w:val="32"/>
          <w:highlight w:val="none"/>
          <w:lang w:val="en-US" w:eastAsia="zh-CN" w:bidi="ar-SA"/>
        </w:rPr>
        <w:t>%，主要原因是：2023年我单位一名退休干部去世，丧葬费使用该科目的原因比上年决算增加</w:t>
      </w:r>
      <w:r>
        <w:rPr>
          <w:rFonts w:hint="eastAsia" w:ascii="Times New Roman" w:hAnsi="Times New Roman" w:eastAsia="仿宋_GB2312" w:cs="Times New Roman"/>
          <w:color w:val="auto"/>
          <w:kern w:val="2"/>
          <w:sz w:val="32"/>
          <w:szCs w:val="32"/>
          <w:highlight w:val="none"/>
          <w:lang w:val="zh-CN" w:eastAsia="zh-CN" w:bidi="ar-SA"/>
        </w:rPr>
        <w:t>。</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15.社会保障和就业支出（类）行政事业单位养老支出（款）机关事业单位基本养老保险缴费支出（项）:支出决算数为90.03万元，比上年决算减少39.67万元，下降30.59%，主要原因是：2023年我单位在职在编及事业岗减少两名人员及科目调整原因导致行政事业单位养老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16</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.社会保障和就业支出（类）行政事业单位养老支出（款）机关事业单位职业年金缴费支出（项）:支出决算数为6.19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33.</w:t>
      </w:r>
      <w:r>
        <w:rPr>
          <w:rFonts w:hint="eastAsia" w:eastAsia="仿宋_GB2312" w:cs="Times New Roman"/>
          <w:color w:val="auto"/>
          <w:kern w:val="2"/>
          <w:sz w:val="32"/>
          <w:szCs w:val="32"/>
          <w:highlight w:val="none"/>
          <w:lang w:val="en-US" w:eastAsia="zh-CN" w:bidi="ar-SA"/>
        </w:rPr>
        <w:t>69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2023年我单位退休一人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17</w:t>
      </w:r>
      <w:r>
        <w:rPr>
          <w:rFonts w:hint="eastAsia" w:ascii="Times New Roman" w:hAnsi="Times New Roman" w:eastAsia="仿宋_GB2312" w:cs="Times New Roman"/>
          <w:color w:val="auto"/>
          <w:kern w:val="2"/>
          <w:sz w:val="32"/>
          <w:szCs w:val="32"/>
          <w:highlight w:val="none"/>
          <w:lang w:val="en-US" w:eastAsia="zh-CN" w:bidi="ar-SA"/>
        </w:rPr>
        <w:t>.社会保障和就业支出（类）就业补助（款）公益性岗位补贴（项）:支出决算数为20.56万元，比上年决算减少140.46万元，下降87.23%，主要原因是：</w:t>
      </w:r>
      <w:r>
        <w:rPr>
          <w:rFonts w:hint="eastAsia" w:ascii="Times New Roman" w:hAnsi="Times New Roman" w:eastAsia="仿宋_GB2312" w:cs="Times New Roman"/>
          <w:color w:val="auto"/>
          <w:kern w:val="2"/>
          <w:sz w:val="32"/>
          <w:szCs w:val="32"/>
          <w:highlight w:val="none"/>
          <w:lang w:val="zh-CN" w:eastAsia="zh-CN" w:bidi="ar-SA"/>
        </w:rPr>
        <w:t>因公益性岗位</w:t>
      </w:r>
      <w:r>
        <w:rPr>
          <w:rFonts w:hint="eastAsia" w:eastAsia="仿宋_GB2312" w:cs="Times New Roman"/>
          <w:color w:val="auto"/>
          <w:kern w:val="2"/>
          <w:sz w:val="32"/>
          <w:szCs w:val="32"/>
          <w:highlight w:val="none"/>
          <w:lang w:val="zh-CN" w:eastAsia="zh-CN" w:bidi="ar-SA"/>
        </w:rPr>
        <w:t>精简原因</w:t>
      </w:r>
      <w:r>
        <w:rPr>
          <w:rFonts w:hint="eastAsia" w:eastAsia="仿宋_GB2312" w:cs="Times New Roman"/>
          <w:color w:val="auto"/>
          <w:kern w:val="2"/>
          <w:sz w:val="32"/>
          <w:szCs w:val="32"/>
          <w:highlight w:val="none"/>
          <w:lang w:val="en-US" w:eastAsia="zh-CN" w:bidi="ar-SA"/>
        </w:rPr>
        <w:t>2023年公益性岗位补贴比上年决算减少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18</w:t>
      </w:r>
      <w:r>
        <w:rPr>
          <w:rFonts w:hint="eastAsia" w:ascii="Times New Roman" w:hAnsi="Times New Roman" w:eastAsia="仿宋_GB2312" w:cs="Times New Roman"/>
          <w:color w:val="auto"/>
          <w:kern w:val="2"/>
          <w:sz w:val="32"/>
          <w:szCs w:val="32"/>
          <w:highlight w:val="none"/>
          <w:lang w:val="en-US" w:eastAsia="zh-CN" w:bidi="ar-SA"/>
        </w:rPr>
        <w:t>.社会保障和就业支出（类）抚恤（款）死亡抚恤（项）:支出决算数为26.27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增长263.85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2023年我单位一名退休人员去世</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19</w:t>
      </w:r>
      <w:r>
        <w:rPr>
          <w:rFonts w:hint="eastAsia" w:ascii="Times New Roman" w:hAnsi="Times New Roman" w:eastAsia="仿宋_GB2312" w:cs="Times New Roman"/>
          <w:color w:val="auto"/>
          <w:kern w:val="2"/>
          <w:sz w:val="32"/>
          <w:szCs w:val="32"/>
          <w:highlight w:val="none"/>
          <w:lang w:val="en-US" w:eastAsia="zh-CN" w:bidi="ar-SA"/>
        </w:rPr>
        <w:t>.社会保障和就业支出（类）抚恤（款）其他优抚支出（项）:支出决算数为0.00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25.27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2023年未安排</w:t>
      </w:r>
      <w:r>
        <w:rPr>
          <w:rFonts w:hint="eastAsia" w:ascii="Times New Roman" w:hAnsi="Times New Roman" w:eastAsia="仿宋_GB2312" w:cs="Times New Roman"/>
          <w:color w:val="auto"/>
          <w:kern w:val="2"/>
          <w:sz w:val="32"/>
          <w:szCs w:val="32"/>
          <w:highlight w:val="none"/>
          <w:lang w:val="en-US" w:eastAsia="zh-CN" w:bidi="ar-SA"/>
        </w:rPr>
        <w:t>社会保障和就业支出（类）抚恤（款）其他优抚支出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20</w:t>
      </w:r>
      <w:r>
        <w:rPr>
          <w:rFonts w:hint="eastAsia" w:ascii="Times New Roman" w:hAnsi="Times New Roman" w:eastAsia="仿宋_GB2312" w:cs="Times New Roman"/>
          <w:color w:val="auto"/>
          <w:kern w:val="2"/>
          <w:sz w:val="32"/>
          <w:szCs w:val="32"/>
          <w:highlight w:val="none"/>
          <w:lang w:val="en-US" w:eastAsia="zh-CN" w:bidi="ar-SA"/>
        </w:rPr>
        <w:t>.卫生健康支出（类）公共卫生（款）突发公共卫生事件应急处理（项）:支出决算数为39.72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，增长103.</w:t>
      </w:r>
      <w:r>
        <w:rPr>
          <w:rFonts w:hint="eastAsia" w:eastAsia="仿宋_GB2312" w:cs="Times New Roman"/>
          <w:color w:val="auto"/>
          <w:kern w:val="2"/>
          <w:sz w:val="32"/>
          <w:szCs w:val="32"/>
          <w:highlight w:val="none"/>
          <w:lang w:val="en-US" w:eastAsia="zh-CN" w:bidi="ar-SA"/>
        </w:rPr>
        <w:t>38</w:t>
      </w:r>
      <w:r>
        <w:rPr>
          <w:rFonts w:hint="eastAsia" w:ascii="Times New Roman" w:hAnsi="Times New Roman" w:eastAsia="仿宋_GB2312" w:cs="Times New Roman"/>
          <w:color w:val="auto"/>
          <w:kern w:val="2"/>
          <w:sz w:val="32"/>
          <w:szCs w:val="32"/>
          <w:highlight w:val="none"/>
          <w:lang w:val="en-US" w:eastAsia="zh-CN" w:bidi="ar-SA"/>
        </w:rPr>
        <w:t>%，主要原因是：2023年我单位增加“</w:t>
      </w:r>
      <w:r>
        <w:rPr>
          <w:rFonts w:hint="eastAsia" w:ascii="Times New Roman" w:hAnsi="Times New Roman" w:eastAsia="仿宋_GB2312" w:cs="Times New Roman"/>
          <w:color w:val="auto"/>
          <w:kern w:val="2"/>
          <w:sz w:val="32"/>
          <w:szCs w:val="32"/>
          <w:highlight w:val="none"/>
          <w:lang w:val="zh-CN" w:eastAsia="zh-CN" w:bidi="ar-SA"/>
        </w:rPr>
        <w:t>家俱产业园集中医学观察点”</w:t>
      </w:r>
      <w:r>
        <w:rPr>
          <w:rFonts w:hint="eastAsia" w:ascii="Times New Roman" w:hAnsi="Times New Roman" w:eastAsia="仿宋_GB2312" w:cs="Times New Roman"/>
          <w:color w:val="auto"/>
          <w:kern w:val="2"/>
          <w:sz w:val="32"/>
          <w:szCs w:val="32"/>
          <w:highlight w:val="none"/>
          <w:lang w:val="en-US" w:eastAsia="zh-CN" w:bidi="ar-SA"/>
        </w:rPr>
        <w:t>的</w:t>
      </w:r>
      <w:r>
        <w:rPr>
          <w:rFonts w:hint="eastAsia" w:ascii="Times New Roman" w:hAnsi="Times New Roman" w:eastAsia="仿宋_GB2312" w:cs="Times New Roman"/>
          <w:color w:val="auto"/>
          <w:kern w:val="2"/>
          <w:sz w:val="32"/>
          <w:szCs w:val="32"/>
          <w:highlight w:val="none"/>
          <w:lang w:val="zh-CN" w:eastAsia="zh-CN" w:bidi="ar-SA"/>
        </w:rPr>
        <w:t>水、电、网络费及维修费用。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21</w:t>
      </w:r>
      <w:r>
        <w:rPr>
          <w:rFonts w:hint="eastAsia" w:ascii="Times New Roman" w:hAnsi="Times New Roman" w:eastAsia="仿宋_GB2312" w:cs="Times New Roman"/>
          <w:color w:val="auto"/>
          <w:kern w:val="2"/>
          <w:sz w:val="32"/>
          <w:szCs w:val="32"/>
          <w:highlight w:val="none"/>
          <w:lang w:val="en-US" w:eastAsia="zh-CN" w:bidi="ar-SA"/>
        </w:rPr>
        <w:t>.卫生健康支出（类）计划生育事务（款）其他计划生育事务支出（项）:支出决算数为0.00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20.82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w:t>
      </w:r>
      <w:r>
        <w:rPr>
          <w:rFonts w:hint="eastAsia" w:ascii="Times New Roman" w:hAnsi="Times New Roman" w:eastAsia="仿宋_GB2312" w:cs="Times New Roman"/>
          <w:color w:val="auto"/>
          <w:kern w:val="2"/>
          <w:sz w:val="32"/>
          <w:szCs w:val="32"/>
          <w:highlight w:val="none"/>
          <w:lang w:val="en-US" w:eastAsia="zh-CN" w:bidi="ar-SA"/>
        </w:rPr>
        <w:t>计划生育事务</w:t>
      </w:r>
      <w:r>
        <w:rPr>
          <w:rFonts w:hint="eastAsia" w:eastAsia="仿宋_GB2312" w:cs="Times New Roman"/>
          <w:color w:val="auto"/>
          <w:kern w:val="2"/>
          <w:sz w:val="32"/>
          <w:szCs w:val="32"/>
          <w:highlight w:val="none"/>
          <w:lang w:val="en-US" w:eastAsia="zh-CN" w:bidi="ar-SA"/>
        </w:rPr>
        <w:t>支出科目调整到主科目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22</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.卫生健康支出（类）行政事业单位医疗（款）行政单位医疗（项）:支出决算数为102.29万元，比上年决算增加26.20万元，增长34.44%，主要原因是：2023年事业单位医疗合并到行政单位医疗导致行政单位医疗增加。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val="en-US" w:eastAsia="zh-CN"/>
        </w:rPr>
      </w:pPr>
      <w:r>
        <w:rPr>
          <w:rFonts w:hint="eastAsia" w:eastAsia="仿宋_GB2312" w:cs="Times New Roman"/>
          <w:color w:val="auto"/>
          <w:kern w:val="2"/>
          <w:sz w:val="32"/>
          <w:szCs w:val="32"/>
          <w:highlight w:val="none"/>
          <w:lang w:val="en-US" w:eastAsia="zh-CN" w:bidi="ar-SA"/>
        </w:rPr>
        <w:t>23</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.卫生健康支出（类）行政事业单位医疗（款）公务员医疗补助（项）:支出决算数为9.76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27.06%，主要原因是：</w:t>
      </w:r>
      <w:r>
        <w:rPr>
          <w:rFonts w:hint="eastAsia" w:ascii="仿宋_GB2312" w:eastAsia="仿宋_GB2312"/>
          <w:sz w:val="32"/>
          <w:szCs w:val="32"/>
          <w:lang w:val="en-US" w:eastAsia="zh-CN"/>
        </w:rPr>
        <w:t>2023年我单位在职在编减少一名人员及科目调整原因导致公务员医疗补助减少。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24</w:t>
      </w:r>
      <w:r>
        <w:rPr>
          <w:rFonts w:hint="eastAsia" w:ascii="Times New Roman" w:hAnsi="Times New Roman" w:eastAsia="仿宋_GB2312" w:cs="Times New Roman"/>
          <w:color w:val="auto"/>
          <w:kern w:val="2"/>
          <w:sz w:val="32"/>
          <w:szCs w:val="32"/>
          <w:highlight w:val="none"/>
          <w:lang w:val="en-US" w:eastAsia="zh-CN" w:bidi="ar-SA"/>
        </w:rPr>
        <w:t>.节能环保支出（类）环境保护管理事务（款）其他环境保护管理事务支出（项）:支出决算数为0.00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47.39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w:t>
      </w:r>
      <w:r>
        <w:rPr>
          <w:rFonts w:hint="eastAsia" w:ascii="Times New Roman" w:hAnsi="Times New Roman" w:eastAsia="仿宋_GB2312" w:cs="Times New Roman"/>
          <w:color w:val="auto"/>
          <w:kern w:val="2"/>
          <w:sz w:val="32"/>
          <w:szCs w:val="32"/>
          <w:highlight w:val="none"/>
          <w:lang w:val="en-US" w:eastAsia="zh-CN" w:bidi="ar-SA"/>
        </w:rPr>
        <w:t>节能环保支出</w:t>
      </w:r>
      <w:r>
        <w:rPr>
          <w:rFonts w:hint="eastAsia" w:eastAsia="仿宋_GB2312" w:cs="Times New Roman"/>
          <w:color w:val="auto"/>
          <w:kern w:val="2"/>
          <w:sz w:val="32"/>
          <w:szCs w:val="32"/>
          <w:highlight w:val="none"/>
          <w:lang w:val="en-US" w:eastAsia="zh-CN" w:bidi="ar-SA"/>
        </w:rPr>
        <w:t>科目调整到主科目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25</w:t>
      </w:r>
      <w:r>
        <w:rPr>
          <w:rFonts w:hint="eastAsia" w:ascii="Times New Roman" w:hAnsi="Times New Roman" w:eastAsia="仿宋_GB2312" w:cs="Times New Roman"/>
          <w:color w:val="auto"/>
          <w:kern w:val="2"/>
          <w:sz w:val="32"/>
          <w:szCs w:val="32"/>
          <w:highlight w:val="none"/>
          <w:lang w:val="en-US" w:eastAsia="zh-CN" w:bidi="ar-SA"/>
        </w:rPr>
        <w:t>.农林水支出（类）农业农村（款）事业运行（项）:支出决算数为0.00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190.96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w:t>
      </w:r>
      <w:r>
        <w:rPr>
          <w:rFonts w:hint="eastAsia" w:ascii="Times New Roman" w:hAnsi="Times New Roman" w:eastAsia="仿宋_GB2312" w:cs="Times New Roman"/>
          <w:color w:val="auto"/>
          <w:kern w:val="2"/>
          <w:sz w:val="32"/>
          <w:szCs w:val="32"/>
          <w:highlight w:val="none"/>
          <w:lang w:val="en-US" w:eastAsia="zh-CN" w:bidi="ar-SA"/>
        </w:rPr>
        <w:t>农林水支出</w:t>
      </w:r>
      <w:r>
        <w:rPr>
          <w:rFonts w:hint="eastAsia" w:eastAsia="仿宋_GB2312" w:cs="Times New Roman"/>
          <w:color w:val="auto"/>
          <w:kern w:val="2"/>
          <w:sz w:val="32"/>
          <w:szCs w:val="32"/>
          <w:highlight w:val="none"/>
          <w:lang w:val="en-US" w:eastAsia="zh-CN" w:bidi="ar-SA"/>
        </w:rPr>
        <w:t>科目调整到主科目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26</w:t>
      </w:r>
      <w:r>
        <w:rPr>
          <w:rFonts w:hint="eastAsia" w:ascii="Times New Roman" w:hAnsi="Times New Roman" w:eastAsia="仿宋_GB2312" w:cs="Times New Roman"/>
          <w:color w:val="auto"/>
          <w:kern w:val="2"/>
          <w:sz w:val="32"/>
          <w:szCs w:val="32"/>
          <w:highlight w:val="none"/>
          <w:lang w:val="en-US" w:eastAsia="zh-CN" w:bidi="ar-SA"/>
        </w:rPr>
        <w:t>.农林水支出（类）农村综合改革（款）对村民委员会和村党支部的补助（项）:支出决算数为232.32万元，比上年决算增加77.66万元，增长50.21%，主要原因是：2023年支付哈赞其村科普馆项目的原因比上年决算增加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27</w:t>
      </w:r>
      <w:r>
        <w:rPr>
          <w:rFonts w:hint="eastAsia" w:ascii="Times New Roman" w:hAnsi="Times New Roman" w:eastAsia="仿宋_GB2312" w:cs="Times New Roman"/>
          <w:color w:val="auto"/>
          <w:kern w:val="2"/>
          <w:sz w:val="32"/>
          <w:szCs w:val="32"/>
          <w:highlight w:val="none"/>
          <w:lang w:val="en-US" w:eastAsia="zh-CN" w:bidi="ar-SA"/>
        </w:rPr>
        <w:t>.农林水支出（类）农村综合改革（款）对村级公益事业建设的补助（项）:支出决算数为5.80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2023年支付下阔什巴格村14个巷道美化亮化项目工程尾款。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28</w:t>
      </w:r>
      <w:r>
        <w:rPr>
          <w:rFonts w:hint="eastAsia" w:ascii="Times New Roman" w:hAnsi="Times New Roman" w:eastAsia="仿宋_GB2312" w:cs="Times New Roman"/>
          <w:color w:val="auto"/>
          <w:kern w:val="2"/>
          <w:sz w:val="32"/>
          <w:szCs w:val="32"/>
          <w:highlight w:val="none"/>
          <w:lang w:val="en-US" w:eastAsia="zh-CN" w:bidi="ar-SA"/>
        </w:rPr>
        <w:t>.农林水支出（类）巩固脱贫攻坚成果衔接乡村振兴（款）其他巩固脱贫攻坚成果衔接乡村振兴支出（项）:支出决算数为43.43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43.43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2023年新增3个乡村振兴项目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29</w:t>
      </w:r>
      <w:r>
        <w:rPr>
          <w:rFonts w:hint="eastAsia" w:ascii="Times New Roman" w:hAnsi="Times New Roman" w:eastAsia="仿宋_GB2312" w:cs="Times New Roman"/>
          <w:color w:val="auto"/>
          <w:kern w:val="2"/>
          <w:sz w:val="32"/>
          <w:szCs w:val="32"/>
          <w:highlight w:val="none"/>
          <w:lang w:val="en-US" w:eastAsia="zh-CN" w:bidi="ar-SA"/>
        </w:rPr>
        <w:t>.农林水支出（类）巩固脱贫攻坚成果衔接乡村振兴（款）生产发展（项）:支出决算数为175.17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175.17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2023年增加乡村振兴人居环境整治项目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30</w:t>
      </w:r>
      <w:r>
        <w:rPr>
          <w:rFonts w:hint="eastAsia" w:ascii="Times New Roman" w:hAnsi="Times New Roman" w:eastAsia="仿宋_GB2312" w:cs="Times New Roman"/>
          <w:color w:val="auto"/>
          <w:kern w:val="2"/>
          <w:sz w:val="32"/>
          <w:szCs w:val="32"/>
          <w:highlight w:val="none"/>
          <w:lang w:val="en-US" w:eastAsia="zh-CN" w:bidi="ar-SA"/>
        </w:rPr>
        <w:t>.农林水支出（类）目标价格补贴（款）棉花目标价格补贴（项）:支出决算数为4.96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2023年增加</w:t>
      </w:r>
      <w:r>
        <w:rPr>
          <w:rFonts w:hint="eastAsia" w:ascii="Times New Roman" w:hAnsi="Times New Roman" w:eastAsia="仿宋_GB2312" w:cs="Times New Roman"/>
          <w:color w:val="auto"/>
          <w:kern w:val="2"/>
          <w:sz w:val="32"/>
          <w:szCs w:val="32"/>
          <w:highlight w:val="none"/>
          <w:lang w:val="en-US" w:eastAsia="zh-CN" w:bidi="ar-SA"/>
        </w:rPr>
        <w:t>棉花目标价格补贴</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31</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.住房保障支出（类）住房改革支出（款）住房公积金（项）:支出决算数为98.60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7.00%，主要原因是：</w:t>
      </w:r>
      <w:r>
        <w:rPr>
          <w:rFonts w:hint="eastAsia" w:eastAsia="仿宋_GB2312" w:cs="Times New Roman"/>
          <w:color w:val="auto"/>
          <w:kern w:val="2"/>
          <w:sz w:val="32"/>
          <w:szCs w:val="32"/>
          <w:highlight w:val="none"/>
          <w:lang w:val="en-US" w:eastAsia="zh-CN" w:bidi="ar-SA"/>
        </w:rPr>
        <w:t>住房公积金基数调整原因</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32</w:t>
      </w:r>
      <w:r>
        <w:rPr>
          <w:rFonts w:hint="eastAsia" w:ascii="Times New Roman" w:hAnsi="Times New Roman" w:eastAsia="仿宋_GB2312" w:cs="Times New Roman"/>
          <w:color w:val="auto"/>
          <w:kern w:val="2"/>
          <w:sz w:val="32"/>
          <w:szCs w:val="32"/>
          <w:highlight w:val="none"/>
          <w:lang w:val="en-US" w:eastAsia="zh-CN" w:bidi="ar-SA"/>
        </w:rPr>
        <w:t>.其他支出（类）其他支出（款）其他支出（项）:支出决算数为269.36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269.36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2023年新增干部周转宿舍项目，五小工程项目及村级阵地建设项目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2,330.74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2,190.52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抚恤金、生活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140.22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办公费、印刷费、水费、电费、邮电费、取暖费、差旅费、维修（护）费、培训费、工会经费、福利费、公务用车运行维护费。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“三公”经费支出12.80万元，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减少0.75万元，下降5.53%，主要原因是：</w:t>
      </w:r>
      <w:r>
        <w:rPr>
          <w:rFonts w:hint="eastAsia" w:ascii="仿宋_GB2312" w:eastAsia="仿宋_GB2312"/>
          <w:color w:val="auto"/>
          <w:sz w:val="32"/>
          <w:szCs w:val="32"/>
          <w:highlight w:val="none"/>
          <w:lang w:val="en-US" w:eastAsia="zh-CN"/>
        </w:rPr>
        <w:t>认真贯彻落实中央八项规定精神和厉行节约要求，从严控制“三公”经费开支，本年有所节约</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hint="eastAsia" w:ascii="仿宋_GB2312" w:eastAsia="仿宋_GB2312"/>
          <w:sz w:val="32"/>
          <w:szCs w:val="32"/>
        </w:rPr>
        <w:t>本年无因公出国（境）费支出，与上年相比无变动</w:t>
      </w:r>
      <w:r>
        <w:rPr>
          <w:rFonts w:hint="eastAsia" w:ascii="仿宋_GB2312" w:eastAsia="仿宋_GB2312"/>
          <w:color w:val="auto"/>
          <w:sz w:val="32"/>
          <w:szCs w:val="32"/>
          <w:highlight w:val="none"/>
          <w:lang w:val="zh-CN" w:eastAsia="zh-CN"/>
        </w:rPr>
        <w:t>；公务用车购置及运行维护费支出12.80万元，占100.00%，比上年减少0.75万元，下降5.53%，主要原因是：</w:t>
      </w:r>
      <w:r>
        <w:rPr>
          <w:rFonts w:hint="eastAsia" w:ascii="仿宋_GB2312" w:eastAsia="仿宋_GB2312"/>
          <w:color w:val="auto"/>
          <w:sz w:val="32"/>
          <w:szCs w:val="32"/>
          <w:highlight w:val="none"/>
          <w:lang w:val="en-US" w:eastAsia="zh-CN"/>
        </w:rPr>
        <w:t>认真贯彻落实中央八项规定精神和厉行节约要求，从严控制“三公”经费开支，有所节约</w:t>
      </w:r>
      <w:r>
        <w:rPr>
          <w:rFonts w:hint="eastAsia" w:ascii="仿宋_GB2312" w:eastAsia="仿宋_GB2312"/>
          <w:color w:val="auto"/>
          <w:sz w:val="32"/>
          <w:szCs w:val="32"/>
          <w:highlight w:val="none"/>
          <w:lang w:val="zh-CN" w:eastAsia="zh-CN"/>
        </w:rPr>
        <w:t>；公务接待费支出0.00万元，占0.00%，比上年增加0.00万元，增长0.00%，主要原因是：我单位无</w:t>
      </w:r>
      <w:r>
        <w:rPr>
          <w:rFonts w:hint="eastAsia" w:ascii="仿宋_GB2312" w:eastAsia="仿宋_GB2312"/>
          <w:sz w:val="32"/>
          <w:szCs w:val="32"/>
        </w:rPr>
        <w:t>公务接待费</w:t>
      </w:r>
      <w:r>
        <w:rPr>
          <w:rFonts w:hint="eastAsia" w:ascii="仿宋_GB2312" w:eastAsia="仿宋_GB2312"/>
          <w:color w:val="auto"/>
          <w:sz w:val="32"/>
          <w:szCs w:val="32"/>
          <w:highlight w:val="none"/>
          <w:lang w:val="zh-CN" w:eastAsia="zh-CN"/>
        </w:rPr>
        <w:t>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bookmarkStart w:id="48" w:name="_GoBack"/>
      <w:bookmarkEnd w:id="48"/>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本年未安排因公出国（境）费支出，无开支内容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公务用车购置及运行维护费12.80万元，其中：公务用车购置费0.00万元，公务用车运行维护费12.80万元。公务用车运行维护费开支内容包括</w:t>
      </w:r>
      <w:r>
        <w:rPr>
          <w:rFonts w:hint="eastAsia" w:ascii="仿宋_GB2312" w:eastAsia="仿宋_GB2312"/>
          <w:sz w:val="32"/>
          <w:szCs w:val="32"/>
          <w:lang w:eastAsia="zh-CN"/>
        </w:rPr>
        <w:t>公务用车车辆燃料费、保险费、维修费</w:t>
      </w:r>
      <w:r>
        <w:rPr>
          <w:rFonts w:hint="eastAsia" w:ascii="仿宋_GB2312" w:eastAsia="仿宋_GB2312"/>
          <w:color w:val="auto"/>
          <w:sz w:val="32"/>
          <w:szCs w:val="32"/>
          <w:highlight w:val="none"/>
          <w:lang w:val="zh-CN" w:eastAsia="zh-CN"/>
        </w:rPr>
        <w:t>。公务用车购置数0辆，公务用车保有量5辆。国有资产占用情况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原因是：我单位有</w:t>
      </w:r>
      <w:r>
        <w:rPr>
          <w:rFonts w:hint="eastAsia" w:ascii="仿宋_GB2312" w:eastAsia="仿宋_GB2312"/>
          <w:color w:val="auto"/>
          <w:sz w:val="32"/>
          <w:szCs w:val="32"/>
          <w:highlight w:val="none"/>
          <w:lang w:val="en-US" w:eastAsia="zh-CN"/>
        </w:rPr>
        <w:t>9辆巡逻车</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本年未安排公务接待费支出，无开支内容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预算数12.80万元，决算数12.80万元，预决算差异率0.00%，主要原因是：</w:t>
      </w:r>
      <w:r>
        <w:rPr>
          <w:rFonts w:hint="eastAsia" w:ascii="仿宋_GB2312" w:eastAsia="仿宋_GB2312"/>
          <w:color w:val="auto"/>
          <w:sz w:val="32"/>
          <w:szCs w:val="32"/>
          <w:highlight w:val="none"/>
          <w:lang w:val="en-US" w:eastAsia="zh-CN"/>
        </w:rPr>
        <w:t>预决算一致无差异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hAnsi="Times New Roman" w:eastAsia="仿宋_GB2312" w:cs="Times New Roman"/>
          <w:color w:val="auto"/>
          <w:sz w:val="32"/>
          <w:szCs w:val="32"/>
          <w:highlight w:val="none"/>
          <w:lang w:val="zh-CN" w:eastAsia="zh-CN"/>
        </w:rPr>
        <w:t>我单位无因公出国（境）费</w:t>
      </w:r>
      <w:r>
        <w:rPr>
          <w:rFonts w:hint="eastAsia" w:ascii="仿宋_GB2312" w:eastAsia="仿宋_GB2312"/>
          <w:color w:val="auto"/>
          <w:sz w:val="32"/>
          <w:szCs w:val="32"/>
          <w:highlight w:val="none"/>
          <w:lang w:val="zh-CN" w:eastAsia="zh-CN"/>
        </w:rPr>
        <w:t>支出</w:t>
      </w:r>
      <w:r>
        <w:rPr>
          <w:rFonts w:hint="eastAsia" w:ascii="仿宋_GB2312" w:hAnsi="Times New Roman" w:eastAsia="仿宋_GB2312" w:cs="Times New Roman"/>
          <w:color w:val="auto"/>
          <w:sz w:val="32"/>
          <w:szCs w:val="32"/>
          <w:highlight w:val="none"/>
          <w:lang w:val="zh-CN" w:eastAsia="zh-CN"/>
        </w:rPr>
        <w:t>；公务用车购置费</w:t>
      </w:r>
      <w:r>
        <w:rPr>
          <w:rFonts w:hint="eastAsia" w:ascii="仿宋_GB2312" w:hAnsi="Times New Roman" w:eastAsia="仿宋_GB2312" w:cs="Times New Roman"/>
          <w:color w:val="auto"/>
          <w:sz w:val="32"/>
          <w:szCs w:val="32"/>
          <w:highlight w:val="none"/>
          <w:lang w:val="en-US" w:eastAsia="zh-CN"/>
        </w:rPr>
        <w:t>全年</w:t>
      </w:r>
      <w:r>
        <w:rPr>
          <w:rFonts w:hint="eastAsia" w:ascii="仿宋_GB2312" w:hAnsi="Times New Roman" w:eastAsia="仿宋_GB2312" w:cs="Times New Roman"/>
          <w:color w:val="auto"/>
          <w:sz w:val="32"/>
          <w:szCs w:val="32"/>
          <w:highlight w:val="none"/>
          <w:lang w:val="zh-CN" w:eastAsia="zh-CN"/>
        </w:rPr>
        <w:t>预算数0.00万元，决算数0.00万元，预决算差异率0.00%，主要原因是：我单位无公务用车购置费</w:t>
      </w:r>
      <w:r>
        <w:rPr>
          <w:rFonts w:hint="eastAsia" w:ascii="仿宋_GB2312" w:eastAsia="仿宋_GB2312"/>
          <w:color w:val="auto"/>
          <w:sz w:val="32"/>
          <w:szCs w:val="32"/>
          <w:highlight w:val="none"/>
          <w:lang w:val="zh-CN" w:eastAsia="zh-CN"/>
        </w:rPr>
        <w:t>支出，；公务用车运行费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预算12.80万元，决算数12.80万元，预决算差异率0.00%，主要原因是：预决算一致无差异；公务接待费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lang w:eastAsia="zh-CN"/>
        </w:rPr>
        <w:t>预决算一致无差异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总计694.00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本年收入694.00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总计694.00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本年支出694.00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ind w:firstLine="640" w:firstLineChars="200"/>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与上年相比，增加694.00万元，增长</w:t>
      </w:r>
      <w:r>
        <w:rPr>
          <w:rFonts w:hint="eastAsia"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eastAsia" w:eastAsia="仿宋_GB2312" w:cs="仿宋_GB2312"/>
          <w:color w:val="auto"/>
          <w:sz w:val="32"/>
          <w:szCs w:val="32"/>
          <w:highlight w:val="none"/>
          <w:lang w:val="en-US" w:eastAsia="zh-CN"/>
        </w:rPr>
        <w:t>202</w:t>
      </w:r>
      <w:r>
        <w:rPr>
          <w:rFonts w:hint="eastAsia" w:ascii="Times New Roman" w:hAnsi="Times New Roman" w:eastAsia="仿宋_GB2312" w:cs="仿宋_GB2312"/>
          <w:color w:val="auto"/>
          <w:sz w:val="32"/>
          <w:szCs w:val="32"/>
          <w:highlight w:val="none"/>
          <w:lang w:val="en-US" w:eastAsia="zh-CN"/>
        </w:rPr>
        <w:t>3年我单位增加88号永安商业街项目拆迁款及春节前解决农民工工资项目694万</w:t>
      </w:r>
      <w:r>
        <w:rPr>
          <w:rFonts w:hint="eastAsia" w:ascii="Times New Roman" w:hAnsi="Times New Roman" w:eastAsia="仿宋_GB2312" w:cs="Times New Roman"/>
          <w:color w:val="auto"/>
          <w:sz w:val="32"/>
          <w:szCs w:val="32"/>
          <w:highlight w:val="none"/>
          <w:lang w:val="zh-CN"/>
        </w:rPr>
        <w:t>。与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0.00</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694.00</w:t>
      </w:r>
      <w:r>
        <w:rPr>
          <w:rFonts w:hint="eastAsia" w:ascii="Times New Roman" w:hAnsi="Times New Roman" w:eastAsia="仿宋_GB2312" w:cs="Times New Roman"/>
          <w:color w:val="auto"/>
          <w:sz w:val="32"/>
          <w:szCs w:val="32"/>
          <w:highlight w:val="none"/>
          <w:lang w:val="zh-CN"/>
        </w:rPr>
        <w:t>万元，预决算差异率</w:t>
      </w:r>
      <w:r>
        <w:rPr>
          <w:rFonts w:hint="eastAsia"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2023年新增政府性基金财政拨款收入</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694.00</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1.城乡社区支出（类）国有土地使用权出让收入安排的支出（款）征地和拆迁补偿支出（项）:支出决算数为676.00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676.00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w:t>
      </w:r>
      <w:r>
        <w:rPr>
          <w:rFonts w:hint="eastAsia" w:eastAsia="仿宋_GB2312" w:cs="仿宋_GB2312"/>
          <w:color w:val="auto"/>
          <w:sz w:val="32"/>
          <w:szCs w:val="32"/>
          <w:highlight w:val="none"/>
          <w:lang w:val="en-US" w:eastAsia="zh-CN"/>
        </w:rPr>
        <w:t>202</w:t>
      </w:r>
      <w:r>
        <w:rPr>
          <w:rFonts w:hint="eastAsia" w:ascii="Times New Roman" w:hAnsi="Times New Roman" w:eastAsia="仿宋_GB2312" w:cs="仿宋_GB2312"/>
          <w:color w:val="auto"/>
          <w:sz w:val="32"/>
          <w:szCs w:val="32"/>
          <w:highlight w:val="none"/>
          <w:lang w:val="en-US" w:eastAsia="zh-CN"/>
        </w:rPr>
        <w:t>3年我单位</w:t>
      </w:r>
      <w:r>
        <w:rPr>
          <w:rFonts w:hint="eastAsia" w:eastAsia="仿宋_GB2312" w:cs="仿宋_GB2312"/>
          <w:color w:val="auto"/>
          <w:sz w:val="32"/>
          <w:szCs w:val="32"/>
          <w:highlight w:val="none"/>
          <w:lang w:val="en-US" w:eastAsia="zh-CN"/>
        </w:rPr>
        <w:t>增加</w:t>
      </w:r>
      <w:r>
        <w:rPr>
          <w:rFonts w:hint="eastAsia" w:ascii="Times New Roman" w:hAnsi="Times New Roman" w:eastAsia="仿宋_GB2312" w:cs="仿宋_GB2312"/>
          <w:color w:val="auto"/>
          <w:sz w:val="32"/>
          <w:szCs w:val="32"/>
          <w:highlight w:val="none"/>
          <w:lang w:val="en-US" w:eastAsia="zh-CN"/>
        </w:rPr>
        <w:t>88号永安商业街项目拆迁款</w:t>
      </w:r>
      <w:r>
        <w:rPr>
          <w:rFonts w:hint="eastAsia" w:eastAsia="仿宋_GB2312" w:cs="仿宋_GB2312"/>
          <w:color w:val="auto"/>
          <w:sz w:val="32"/>
          <w:szCs w:val="32"/>
          <w:highlight w:val="none"/>
          <w:lang w:val="en-US" w:eastAsia="zh-CN"/>
        </w:rPr>
        <w:t>676万元</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2.城乡社区支出（类）国有土地使用权出让收入安排的支出（款）其他国有土地使用权出让收入安排的支出（项）:支出决算数为18.00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18.00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w:t>
      </w:r>
      <w:r>
        <w:rPr>
          <w:rFonts w:hint="eastAsia" w:eastAsia="仿宋_GB2312" w:cs="仿宋_GB2312"/>
          <w:color w:val="auto"/>
          <w:sz w:val="32"/>
          <w:szCs w:val="32"/>
          <w:highlight w:val="none"/>
          <w:lang w:val="en-US" w:eastAsia="zh-CN"/>
        </w:rPr>
        <w:t>202</w:t>
      </w:r>
      <w:r>
        <w:rPr>
          <w:rFonts w:hint="eastAsia" w:ascii="Times New Roman" w:hAnsi="Times New Roman" w:eastAsia="仿宋_GB2312" w:cs="仿宋_GB2312"/>
          <w:color w:val="auto"/>
          <w:sz w:val="32"/>
          <w:szCs w:val="32"/>
          <w:highlight w:val="none"/>
          <w:lang w:val="en-US" w:eastAsia="zh-CN"/>
        </w:rPr>
        <w:t>3年我单位增加春节前解决农民工工资项目</w:t>
      </w:r>
      <w:r>
        <w:rPr>
          <w:rFonts w:hint="eastAsia" w:eastAsia="仿宋_GB2312" w:cs="仿宋_GB2312"/>
          <w:color w:val="auto"/>
          <w:sz w:val="32"/>
          <w:szCs w:val="32"/>
          <w:highlight w:val="none"/>
          <w:lang w:val="en-US" w:eastAsia="zh-CN"/>
        </w:rPr>
        <w:t>18万元</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2023年度国有资本经营预算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eastAsia="zh-CN"/>
        </w:rPr>
        <w:t>收入</w:t>
      </w:r>
      <w:r>
        <w:rPr>
          <w:rFonts w:hint="eastAsia" w:ascii="Times New Roman" w:hAnsi="Times New Roman" w:eastAsia="仿宋_GB2312" w:cs="Times New Roman"/>
          <w:color w:val="auto"/>
          <w:sz w:val="32"/>
          <w:szCs w:val="32"/>
          <w:highlight w:val="none"/>
          <w:lang w:val="en-US" w:eastAsia="zh-CN"/>
        </w:rPr>
        <w:t>总计0.05</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其中：年初结转和结余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本年收入</w:t>
      </w:r>
      <w:r>
        <w:rPr>
          <w:rFonts w:hint="eastAsia" w:ascii="Times New Roman" w:hAnsi="Times New Roman" w:eastAsia="仿宋_GB2312" w:cs="Times New Roman"/>
          <w:color w:val="auto"/>
          <w:sz w:val="32"/>
          <w:szCs w:val="32"/>
          <w:highlight w:val="none"/>
          <w:lang w:val="zh-CN" w:eastAsia="zh-CN"/>
        </w:rPr>
        <w:t>0.05万元。国有资本经营预算财政拨款支出</w:t>
      </w:r>
      <w:r>
        <w:rPr>
          <w:rFonts w:hint="eastAsia" w:ascii="Times New Roman" w:hAnsi="Times New Roman" w:eastAsia="仿宋_GB2312" w:cs="Times New Roman"/>
          <w:color w:val="auto"/>
          <w:sz w:val="32"/>
          <w:szCs w:val="32"/>
          <w:highlight w:val="none"/>
          <w:lang w:val="en-US" w:eastAsia="zh-CN"/>
        </w:rPr>
        <w:t>总计0.05</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其中：年末结转和结余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本年支出</w:t>
      </w:r>
      <w:r>
        <w:rPr>
          <w:rFonts w:hint="eastAsia" w:ascii="Times New Roman" w:hAnsi="Times New Roman" w:eastAsia="仿宋_GB2312" w:cs="Times New Roman"/>
          <w:color w:val="auto"/>
          <w:sz w:val="32"/>
          <w:szCs w:val="32"/>
          <w:highlight w:val="none"/>
          <w:lang w:val="zh-CN" w:eastAsia="zh-CN"/>
        </w:rPr>
        <w:t>0.05万元。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国有资本经营预算财政拨款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eastAsia="zh-CN"/>
        </w:rPr>
        <w:t>与上年相比，增加0.05万元，增长100.00%，主要原因是：</w:t>
      </w:r>
      <w:r>
        <w:rPr>
          <w:rFonts w:hint="eastAsia" w:eastAsia="仿宋_GB2312" w:cs="Times New Roman"/>
          <w:color w:val="auto"/>
          <w:sz w:val="32"/>
          <w:szCs w:val="32"/>
          <w:highlight w:val="none"/>
          <w:lang w:val="en-US" w:eastAsia="zh-CN"/>
        </w:rPr>
        <w:t>2023年我单位增加国有企业退休人员一名</w:t>
      </w:r>
      <w:r>
        <w:rPr>
          <w:rFonts w:hint="eastAsia" w:ascii="Times New Roman" w:hAnsi="Times New Roman" w:eastAsia="仿宋_GB2312" w:cs="Times New Roman"/>
          <w:color w:val="auto"/>
          <w:sz w:val="32"/>
          <w:szCs w:val="32"/>
          <w:highlight w:val="none"/>
          <w:lang w:val="zh-CN" w:eastAsia="zh-CN"/>
        </w:rPr>
        <w:t>。与年初预算相比，年初预算数</w:t>
      </w:r>
      <w:r>
        <w:rPr>
          <w:rFonts w:hint="eastAsia" w:ascii="Times New Roman" w:hAnsi="Times New Roman" w:eastAsia="仿宋_GB2312" w:cs="Times New Roman"/>
          <w:color w:val="auto"/>
          <w:sz w:val="32"/>
          <w:szCs w:val="32"/>
          <w:highlight w:val="none"/>
          <w:lang w:val="en-US" w:eastAsia="zh-CN"/>
        </w:rPr>
        <w:t>0.00</w:t>
      </w:r>
      <w:r>
        <w:rPr>
          <w:rFonts w:hint="eastAsia" w:ascii="Times New Roman" w:hAnsi="Times New Roman" w:eastAsia="仿宋_GB2312" w:cs="Times New Roman"/>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en-US" w:eastAsia="zh-CN"/>
        </w:rPr>
        <w:t>0.05</w:t>
      </w:r>
      <w:r>
        <w:rPr>
          <w:rFonts w:hint="eastAsia" w:ascii="Times New Roman" w:hAnsi="Times New Roman" w:eastAsia="仿宋_GB2312" w:cs="Times New Roman"/>
          <w:color w:val="auto"/>
          <w:sz w:val="32"/>
          <w:szCs w:val="32"/>
          <w:highlight w:val="none"/>
          <w:lang w:val="zh-CN" w:eastAsia="zh-CN"/>
        </w:rPr>
        <w:t>万元，预决算差异率100.00%，主要原因是：</w:t>
      </w:r>
      <w:r>
        <w:rPr>
          <w:rFonts w:hint="eastAsia" w:eastAsia="仿宋_GB2312" w:cs="Times New Roman"/>
          <w:color w:val="auto"/>
          <w:sz w:val="32"/>
          <w:szCs w:val="32"/>
          <w:highlight w:val="none"/>
          <w:lang w:val="en-US" w:eastAsia="zh-CN"/>
        </w:rPr>
        <w:t>2023年我单位增加国有企业退休人员一名。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Times New Roman" w:hAnsi="Times New Roman" w:eastAsia="仿宋_GB2312" w:cs="Times New Roman"/>
          <w:color w:val="auto"/>
          <w:sz w:val="32"/>
          <w:szCs w:val="32"/>
          <w:highlight w:val="none"/>
          <w:lang w:val="zh-CN" w:eastAsia="zh-CN"/>
        </w:rPr>
        <w:t>国有资本经营预算财政拨款支出</w:t>
      </w:r>
      <w:r>
        <w:rPr>
          <w:rFonts w:hint="eastAsia" w:ascii="Times New Roman" w:hAnsi="Times New Roman" w:eastAsia="仿宋_GB2312" w:cs="Times New Roman"/>
          <w:color w:val="auto"/>
          <w:sz w:val="32"/>
          <w:szCs w:val="32"/>
          <w:highlight w:val="none"/>
          <w:lang w:val="en-US" w:eastAsia="zh-CN"/>
        </w:rPr>
        <w:t>0.05</w:t>
      </w:r>
      <w:r>
        <w:rPr>
          <w:rFonts w:hint="eastAsia" w:ascii="Times New Roman" w:hAnsi="Times New Roman" w:eastAsia="仿宋_GB2312" w:cs="Times New Roman"/>
          <w:color w:val="auto"/>
          <w:sz w:val="32"/>
          <w:szCs w:val="32"/>
          <w:highlight w:val="none"/>
          <w:lang w:val="zh-CN" w:eastAsia="zh-CN"/>
        </w:rPr>
        <w:t>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1.国有资本经营预算支出（类）解决历史遗留问题及改革成本支出（款）国有企业退休人员社会化管理补助支出（项）:支出决算数为0.05</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eastAsia="仿宋_GB2312" w:cs="Times New Roman"/>
          <w:color w:val="auto"/>
          <w:kern w:val="2"/>
          <w:sz w:val="30"/>
          <w:szCs w:val="30"/>
          <w:highlight w:val="none"/>
          <w:lang w:val="en-US" w:eastAsia="zh-CN" w:bidi="ar-SA"/>
        </w:rPr>
        <w:t>增加</w:t>
      </w:r>
      <w:r>
        <w:rPr>
          <w:rFonts w:hint="eastAsia" w:ascii="仿宋_GB2312" w:hAnsi="仿宋_GB2312" w:eastAsia="仿宋_GB2312" w:cs="仿宋_GB2312"/>
          <w:color w:val="auto"/>
          <w:kern w:val="0"/>
          <w:sz w:val="32"/>
          <w:szCs w:val="32"/>
          <w:highlight w:val="none"/>
        </w:rPr>
        <w:t>0.05</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eastAsia="仿宋_GB2312" w:cs="Times New Roman"/>
          <w:color w:val="auto"/>
          <w:kern w:val="2"/>
          <w:sz w:val="30"/>
          <w:szCs w:val="30"/>
          <w:highlight w:val="none"/>
          <w:lang w:val="en-US" w:eastAsia="zh-CN" w:bidi="ar-SA"/>
        </w:rPr>
        <w:t>增长</w:t>
      </w:r>
      <w:r>
        <w:rPr>
          <w:rFonts w:hint="eastAsia" w:ascii="仿宋_GB2312" w:hAnsi="仿宋_GB2312" w:eastAsia="仿宋_GB2312" w:cs="仿宋_GB2312"/>
          <w:color w:val="auto"/>
          <w:kern w:val="0"/>
          <w:sz w:val="32"/>
          <w:szCs w:val="32"/>
          <w:highlight w:val="none"/>
        </w:rPr>
        <w:t>100%，主要原因是：</w:t>
      </w:r>
      <w:r>
        <w:rPr>
          <w:rFonts w:hint="eastAsia" w:eastAsia="仿宋_GB2312" w:cs="Times New Roman"/>
          <w:color w:val="auto"/>
          <w:sz w:val="32"/>
          <w:szCs w:val="32"/>
          <w:highlight w:val="none"/>
          <w:lang w:val="en-US" w:eastAsia="zh-CN"/>
        </w:rPr>
        <w:t>2023年我单位增加国有企业退休人员一名</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库尔勒市恰尔巴格乡人民政府（行政单位和参照公务员法管理事业单位）机关运行经费支出140.22万元，比上年减少22.80万元，下降13.98%，主要原因是：</w:t>
      </w:r>
      <w:r>
        <w:rPr>
          <w:rFonts w:hint="eastAsia" w:eastAsia="仿宋_GB2312" w:cs="Times New Roman"/>
          <w:color w:val="auto"/>
          <w:sz w:val="32"/>
          <w:szCs w:val="32"/>
          <w:highlight w:val="none"/>
          <w:lang w:val="en-US" w:eastAsia="zh-CN"/>
        </w:rPr>
        <w:t>2023年减少疫情防控经费原因导致</w:t>
      </w:r>
      <w:r>
        <w:rPr>
          <w:rFonts w:hint="eastAsia" w:ascii="Times New Roman" w:hAnsi="Times New Roman" w:eastAsia="仿宋_GB2312" w:cs="Times New Roman"/>
          <w:color w:val="auto"/>
          <w:sz w:val="32"/>
          <w:szCs w:val="32"/>
          <w:highlight w:val="none"/>
          <w:lang w:val="en-US" w:eastAsia="zh-CN"/>
        </w:rPr>
        <w:t>机关运行经费支出</w:t>
      </w:r>
      <w:r>
        <w:rPr>
          <w:rFonts w:hint="eastAsia" w:eastAsia="仿宋_GB2312" w:cs="Times New Roman"/>
          <w:color w:val="auto"/>
          <w:sz w:val="32"/>
          <w:szCs w:val="32"/>
          <w:highlight w:val="none"/>
          <w:lang w:val="en-US" w:eastAsia="zh-CN"/>
        </w:rPr>
        <w:t>比上年减少。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461.21万元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其中：政府采购货物支出0.12万元、政府采购工程支出452.48万元、政府采购服务支出8.61万元。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授予中小企业合同金额461.21万元，占政府采购支出总额的100.00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，其中：授予小微企业合同金额52.18万元，占政府采购支出总额的11.31</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667.36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屋4529.1平方米，价值270.39万元。车辆14辆，价值84.56万元，其中：副部（省）级及以上领导用车0辆、主要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用车0辆、机要通信用车0辆、应急保障用车0辆、执法执勤用车9辆、特种专业技术用车0辆、离退休干部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用车0辆、其他用车5辆，其他用车主要是：</w:t>
      </w:r>
      <w:r>
        <w:rPr>
          <w:rFonts w:hint="eastAsia" w:ascii="仿宋_GB2312" w:eastAsia="仿宋_GB2312"/>
          <w:sz w:val="32"/>
          <w:szCs w:val="32"/>
          <w:lang w:eastAsia="zh-CN"/>
        </w:rPr>
        <w:t>党委、政府、综治中心、纪检等公务用车</w:t>
      </w:r>
      <w:r>
        <w:rPr>
          <w:rFonts w:hint="eastAsia" w:ascii="Times New Roman" w:hAnsi="Times New Roman" w:eastAsia="仿宋_GB2312" w:cs="Times New Roman"/>
          <w:color w:val="auto"/>
          <w:sz w:val="32"/>
          <w:szCs w:val="32"/>
          <w:highlight w:val="none"/>
          <w:lang w:val="zh-CN" w:eastAsia="zh-CN"/>
        </w:rPr>
        <w:t>；单价100万元（含）以上设备0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ascii="仿宋_GB2312" w:eastAsia="仿宋_GB2312"/>
          <w:sz w:val="32"/>
          <w:szCs w:val="32"/>
        </w:rPr>
      </w:pPr>
      <w:r>
        <w:rPr>
          <w:rFonts w:hint="eastAsia" w:ascii="仿宋_GB2312" w:hAnsi="Calibri" w:eastAsia="仿宋_GB2312" w:cs="Times New Roman"/>
          <w:kern w:val="2"/>
          <w:sz w:val="32"/>
          <w:szCs w:val="32"/>
          <w:lang w:val="en-US" w:eastAsia="zh-CN" w:bidi="ar-SA"/>
        </w:rPr>
        <w:t>根据预算绩效管理要求，我部门2023年度预算绩效管理整体支出绩效自评表1个，全年预算总额3637.79万元，实际执行总额3637.79万元；预算绩效评价项目16个，全年预算数863.57万元，全年执行数352.22万元。预算绩效管理取得的成效：预算绩效管理取得的成效：一是我单位严格按照年初预算以及单位年度工作计划执行预算，严格按照相关规定进行资金管理，做到专款专用、科学管理</w:t>
      </w:r>
      <w:r>
        <w:rPr>
          <w:rFonts w:hint="eastAsia" w:ascii="仿宋_GB2312" w:hAnsi="Calibri" w:eastAsia="仿宋_GB2312" w:cs="Times New Roman"/>
          <w:color w:val="auto"/>
          <w:kern w:val="2"/>
          <w:sz w:val="32"/>
          <w:szCs w:val="32"/>
          <w:lang w:val="en-US" w:eastAsia="zh-CN" w:bidi="ar-SA"/>
        </w:rPr>
        <w:t>，每笔开支都</w:t>
      </w:r>
      <w:r>
        <w:rPr>
          <w:rFonts w:hint="eastAsia" w:ascii="仿宋_GB2312" w:hAnsi="Calibri" w:eastAsia="仿宋_GB2312" w:cs="Times New Roman"/>
          <w:kern w:val="2"/>
          <w:sz w:val="32"/>
          <w:szCs w:val="32"/>
          <w:lang w:val="en-US" w:eastAsia="zh-CN" w:bidi="ar-SA"/>
        </w:rPr>
        <w:t>有相关经办人员签字，做到程序规范，开支合理，勤俭节约，最大限度的提高项目经费的使用效率，保证了项目的顺利进行；二是我单位通过对绩效的进展和效果进行持续的监控，发现并纠正绩效目标实现过程中的各种偏差，以确保本单位绩效目标实现。对单位年初所确定的整体绩效指标、年度预期目标进行3个不同时期，3个不同阶段地监控，对部门整体前期、中期、后期都有清晰地了解。发现的问题及原因：一是项目绩效目标完成情况与项目资金支出进度存在脱节情况；二是填报内容过于简单，对绩效目标偏差问题缺乏有效分析，无法监控绩效目标的实现程度，还有待进一步提升预算单位整体绩效管理理念</w:t>
      </w:r>
      <w:r>
        <w:rPr>
          <w:rFonts w:hint="eastAsia" w:ascii="仿宋_GB2312" w:eastAsia="仿宋_GB2312"/>
          <w:sz w:val="32"/>
          <w:szCs w:val="32"/>
        </w:rPr>
        <w:t>。</w:t>
      </w:r>
    </w:p>
    <w:p>
      <w:pPr>
        <w:pStyle w:val="16"/>
        <w:spacing w:line="360" w:lineRule="auto"/>
        <w:ind w:firstLine="560"/>
        <w:rPr>
          <w:rFonts w:hint="eastAsia" w:ascii="仿宋_GB2312" w:eastAsia="仿宋_GB2312"/>
          <w:sz w:val="32"/>
          <w:szCs w:val="32"/>
        </w:rPr>
      </w:pPr>
      <w:r>
        <w:rPr>
          <w:rFonts w:hint="eastAsia" w:ascii="仿宋_GB2312" w:hAnsi="Calibri" w:eastAsia="仿宋_GB2312" w:cs="Times New Roman"/>
          <w:kern w:val="2"/>
          <w:sz w:val="32"/>
          <w:szCs w:val="32"/>
          <w:lang w:val="en-US" w:eastAsia="zh-CN" w:bidi="ar-SA"/>
        </w:rPr>
        <w:t>下一步改进措施：一是强化项目单位对资金绩效实现情况的责任约束，对专项资金偏离预算绩效目标的支出，及时采取有效措施予以纠正，让资金管理人、使用人皆知“自家的钱怎么花的，花得怎么样，存在什么责任，进一步规范专项资金使用绩效；二是加强财政资金使用效益跟踪“回头看”，针对资金绩效运行状况，及时预控、查找资金使用和管理过程中的薄弱环节，提出纠偏措施；通过预算绩效监控管理，根据每季度的预算绩效监控结果，及时调整项目预算，收回闲置资金，尽量减少财政资金沉淀闲置。进一步加强财政资金统筹安排，提高财政资金使用效益，实现财政支出的科学化精细化管理，</w:t>
      </w:r>
      <w:r>
        <w:rPr>
          <w:rFonts w:hint="eastAsia" w:ascii="仿宋_GB2312" w:eastAsia="仿宋_GB2312"/>
          <w:sz w:val="32"/>
          <w:szCs w:val="32"/>
        </w:rPr>
        <w:t>具体项目自评情况附项目支出绩效自评表。</w:t>
      </w:r>
    </w:p>
    <w:p>
      <w:pPr>
        <w:keepNext w:val="0"/>
        <w:keepLines w:val="0"/>
        <w:pageBreakBefore w:val="0"/>
        <w:widowControl w:val="0"/>
        <w:kinsoku/>
        <w:wordWrap/>
        <w:overflowPunct/>
        <w:topLinePunct w:val="0"/>
        <w:bidi w:val="0"/>
        <w:adjustRightInd/>
        <w:snapToGrid/>
        <w:spacing w:line="240" w:lineRule="auto"/>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pStyle w:val="2"/>
        <w:numPr>
          <w:ilvl w:val="0"/>
          <w:numId w:val="0"/>
        </w:num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59264" behindDoc="0" locked="0" layoutInCell="1" allowOverlap="1">
            <wp:simplePos x="0" y="0"/>
            <wp:positionH relativeFrom="column">
              <wp:posOffset>0</wp:posOffset>
            </wp:positionH>
            <wp:positionV relativeFrom="paragraph">
              <wp:posOffset>72390</wp:posOffset>
            </wp:positionV>
            <wp:extent cx="5739765" cy="8624570"/>
            <wp:effectExtent l="0" t="0" r="13335" b="508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739765" cy="8624570"/>
                    </a:xfrm>
                    <a:prstGeom prst="rect">
                      <a:avLst/>
                    </a:prstGeom>
                    <a:noFill/>
                    <a:ln>
                      <a:noFill/>
                    </a:ln>
                  </pic:spPr>
                </pic:pic>
              </a:graphicData>
            </a:graphic>
          </wp:anchor>
        </w:drawing>
      </w:r>
    </w:p>
    <w:p>
      <w:p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0288" behindDoc="0" locked="0" layoutInCell="1" allowOverlap="1">
            <wp:simplePos x="0" y="0"/>
            <wp:positionH relativeFrom="column">
              <wp:posOffset>0</wp:posOffset>
            </wp:positionH>
            <wp:positionV relativeFrom="paragraph">
              <wp:posOffset>81915</wp:posOffset>
            </wp:positionV>
            <wp:extent cx="5264785" cy="8547100"/>
            <wp:effectExtent l="0" t="0" r="12065" b="635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5264785" cy="8547100"/>
                    </a:xfrm>
                    <a:prstGeom prst="rect">
                      <a:avLst/>
                    </a:prstGeom>
                    <a:noFill/>
                    <a:ln>
                      <a:noFill/>
                    </a:ln>
                  </pic:spPr>
                </pic:pic>
              </a:graphicData>
            </a:graphic>
          </wp:anchor>
        </w:drawing>
      </w:r>
    </w:p>
    <w:p>
      <w:pPr>
        <w:pStyle w:val="2"/>
        <w:numPr>
          <w:ilvl w:val="0"/>
          <w:numId w:val="0"/>
        </w:numPr>
        <w:rPr>
          <w:rFonts w:hint="eastAsia"/>
        </w:rPr>
      </w:pPr>
      <w:r>
        <w:drawing>
          <wp:anchor distT="0" distB="0" distL="114300" distR="114300" simplePos="0" relativeHeight="251661312" behindDoc="0" locked="0" layoutInCell="1" allowOverlap="1">
            <wp:simplePos x="0" y="0"/>
            <wp:positionH relativeFrom="column">
              <wp:posOffset>0</wp:posOffset>
            </wp:positionH>
            <wp:positionV relativeFrom="paragraph">
              <wp:posOffset>40005</wp:posOffset>
            </wp:positionV>
            <wp:extent cx="5268595" cy="9420225"/>
            <wp:effectExtent l="0" t="0" r="8255" b="9525"/>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5268595" cy="9420225"/>
                    </a:xfrm>
                    <a:prstGeom prst="rect">
                      <a:avLst/>
                    </a:prstGeom>
                    <a:noFill/>
                    <a:ln>
                      <a:noFill/>
                    </a:ln>
                  </pic:spPr>
                </pic:pic>
              </a:graphicData>
            </a:graphic>
          </wp:anchor>
        </w:drawing>
      </w:r>
    </w:p>
    <w:p>
      <w:pPr>
        <w:pStyle w:val="2"/>
        <w:numPr>
          <w:ilvl w:val="0"/>
          <w:numId w:val="0"/>
        </w:numPr>
        <w:rPr>
          <w:rFonts w:hint="eastAsia" w:ascii="黑体" w:hAnsi="黑体" w:eastAsia="仿宋_GB2312" w:cs="宋体"/>
          <w:bCs/>
          <w:color w:val="auto"/>
          <w:kern w:val="0"/>
          <w:sz w:val="32"/>
          <w:szCs w:val="32"/>
          <w:highlight w:val="none"/>
        </w:rPr>
      </w:pPr>
      <w:r>
        <w:drawing>
          <wp:anchor distT="0" distB="0" distL="114300" distR="114300" simplePos="0" relativeHeight="251662336" behindDoc="0" locked="0" layoutInCell="1" allowOverlap="1">
            <wp:simplePos x="0" y="0"/>
            <wp:positionH relativeFrom="column">
              <wp:posOffset>0</wp:posOffset>
            </wp:positionH>
            <wp:positionV relativeFrom="paragraph">
              <wp:posOffset>13335</wp:posOffset>
            </wp:positionV>
            <wp:extent cx="5520690" cy="8566150"/>
            <wp:effectExtent l="0" t="0" r="3810" b="635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520690" cy="8566150"/>
                    </a:xfrm>
                    <a:prstGeom prst="rect">
                      <a:avLst/>
                    </a:prstGeom>
                    <a:noFill/>
                    <a:ln>
                      <a:noFill/>
                    </a:ln>
                  </pic:spPr>
                </pic:pic>
              </a:graphicData>
            </a:graphic>
          </wp:anchor>
        </w:drawing>
      </w:r>
    </w:p>
    <w:p>
      <w:pPr>
        <w:rPr>
          <w:rFonts w:hint="eastAsia" w:ascii="黑体" w:hAnsi="黑体" w:eastAsia="仿宋_GB2312" w:cs="宋体"/>
          <w:bCs/>
          <w:color w:val="auto"/>
          <w:kern w:val="0"/>
          <w:sz w:val="32"/>
          <w:szCs w:val="32"/>
          <w:highlight w:val="none"/>
        </w:rPr>
      </w:pPr>
      <w:r>
        <w:drawing>
          <wp:anchor distT="0" distB="0" distL="114300" distR="114300" simplePos="0" relativeHeight="251663360" behindDoc="0" locked="0" layoutInCell="1" allowOverlap="1">
            <wp:simplePos x="0" y="0"/>
            <wp:positionH relativeFrom="column">
              <wp:posOffset>0</wp:posOffset>
            </wp:positionH>
            <wp:positionV relativeFrom="paragraph">
              <wp:posOffset>83820</wp:posOffset>
            </wp:positionV>
            <wp:extent cx="5273675" cy="10125710"/>
            <wp:effectExtent l="0" t="0" r="3175" b="8890"/>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5273675" cy="10125710"/>
                    </a:xfrm>
                    <a:prstGeom prst="rect">
                      <a:avLst/>
                    </a:prstGeom>
                    <a:noFill/>
                    <a:ln>
                      <a:noFill/>
                    </a:ln>
                  </pic:spPr>
                </pic:pic>
              </a:graphicData>
            </a:graphic>
          </wp:anchor>
        </w:drawing>
      </w:r>
    </w:p>
    <w:p>
      <w:pPr>
        <w:pStyle w:val="2"/>
        <w:numPr>
          <w:ilvl w:val="0"/>
          <w:numId w:val="0"/>
        </w:numPr>
        <w:ind w:left="851" w:leftChars="0"/>
        <w:rPr>
          <w:rFonts w:hint="eastAsia"/>
        </w:rPr>
        <w:sectPr>
          <w:pgSz w:w="11906" w:h="16838"/>
          <w:pgMar w:top="1440" w:right="1800" w:bottom="1440" w:left="1800" w:header="851" w:footer="992" w:gutter="0"/>
          <w:cols w:space="720" w:num="1"/>
          <w:docGrid w:type="lines" w:linePitch="312" w:charSpace="0"/>
        </w:sectPr>
      </w:pPr>
    </w:p>
    <w:p>
      <w:pPr>
        <w:rPr>
          <w:rFonts w:hint="eastAsia"/>
        </w:rPr>
      </w:pPr>
    </w:p>
    <w:p>
      <w:pPr>
        <w:rPr>
          <w:rFonts w:hint="eastAsia"/>
        </w:rPr>
      </w:pPr>
      <w:r>
        <w:drawing>
          <wp:inline distT="0" distB="0" distL="114300" distR="114300">
            <wp:extent cx="5271770" cy="8469630"/>
            <wp:effectExtent l="0" t="0" r="5080" b="762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0"/>
                    <a:stretch>
                      <a:fillRect/>
                    </a:stretch>
                  </pic:blipFill>
                  <pic:spPr>
                    <a:xfrm>
                      <a:off x="0" y="0"/>
                      <a:ext cx="5271770" cy="8469630"/>
                    </a:xfrm>
                    <a:prstGeom prst="rect">
                      <a:avLst/>
                    </a:prstGeom>
                    <a:noFill/>
                    <a:ln>
                      <a:noFill/>
                    </a:ln>
                  </pic:spPr>
                </pic:pic>
              </a:graphicData>
            </a:graphic>
          </wp:inline>
        </w:drawing>
      </w:r>
    </w:p>
    <w:p>
      <w:pPr>
        <w:rPr>
          <w:rFonts w:hint="eastAsia"/>
        </w:rPr>
      </w:pPr>
      <w:r>
        <w:drawing>
          <wp:anchor distT="0" distB="0" distL="114300" distR="114300" simplePos="0" relativeHeight="251664384" behindDoc="0" locked="0" layoutInCell="1" allowOverlap="1">
            <wp:simplePos x="0" y="0"/>
            <wp:positionH relativeFrom="column">
              <wp:posOffset>0</wp:posOffset>
            </wp:positionH>
            <wp:positionV relativeFrom="paragraph">
              <wp:posOffset>9525</wp:posOffset>
            </wp:positionV>
            <wp:extent cx="5268595" cy="2134870"/>
            <wp:effectExtent l="0" t="0" r="8255" b="17780"/>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5268595" cy="2134870"/>
                    </a:xfrm>
                    <a:prstGeom prst="rect">
                      <a:avLst/>
                    </a:prstGeom>
                    <a:noFill/>
                    <a:ln>
                      <a:noFill/>
                    </a:ln>
                  </pic:spPr>
                </pic:pic>
              </a:graphicData>
            </a:graphic>
          </wp:anchor>
        </w:drawing>
      </w:r>
    </w:p>
    <w:p>
      <w:pPr>
        <w:rPr>
          <w:rFonts w:hint="eastAsia" w:ascii="黑体" w:hAnsi="黑体" w:eastAsia="仿宋_GB2312" w:cs="宋体"/>
          <w:bCs/>
          <w:color w:val="auto"/>
          <w:kern w:val="0"/>
          <w:sz w:val="32"/>
          <w:szCs w:val="32"/>
          <w:highlight w:val="none"/>
        </w:rPr>
      </w:pPr>
    </w:p>
    <w:p>
      <w:pPr>
        <w:pStyle w:val="2"/>
        <w:numPr>
          <w:ilvl w:val="0"/>
          <w:numId w:val="0"/>
        </w:numPr>
        <w:ind w:left="851" w:leftChars="0"/>
        <w:rPr>
          <w:rFonts w:hint="eastAsia"/>
        </w:rPr>
      </w:pPr>
    </w:p>
    <w:p>
      <w:pPr>
        <w:rPr>
          <w:rFonts w:hint="eastAsia" w:ascii="黑体" w:hAnsi="黑体" w:eastAsia="仿宋_GB2312" w:cs="宋体"/>
          <w:bCs/>
          <w:color w:val="auto"/>
          <w:kern w:val="0"/>
          <w:sz w:val="32"/>
          <w:szCs w:val="32"/>
          <w:highlight w:val="none"/>
        </w:rPr>
      </w:pPr>
    </w:p>
    <w:p>
      <w:pPr>
        <w:pStyle w:val="2"/>
        <w:numPr>
          <w:ilvl w:val="0"/>
          <w:numId w:val="0"/>
        </w:numPr>
        <w:rPr>
          <w:rFonts w:hint="eastAsia"/>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p>
    <w:p>
      <w:pPr>
        <w:pStyle w:val="2"/>
        <w:numPr>
          <w:ilvl w:val="0"/>
          <w:numId w:val="0"/>
        </w:num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5408" behindDoc="0" locked="0" layoutInCell="1" allowOverlap="1">
            <wp:simplePos x="0" y="0"/>
            <wp:positionH relativeFrom="column">
              <wp:posOffset>0</wp:posOffset>
            </wp:positionH>
            <wp:positionV relativeFrom="paragraph">
              <wp:posOffset>89535</wp:posOffset>
            </wp:positionV>
            <wp:extent cx="5530850" cy="2835910"/>
            <wp:effectExtent l="0" t="0" r="12700" b="2540"/>
            <wp:wrapSquare wrapText="bothSides"/>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5530850" cy="2835910"/>
                    </a:xfrm>
                    <a:prstGeom prst="rect">
                      <a:avLst/>
                    </a:prstGeom>
                    <a:noFill/>
                    <a:ln>
                      <a:noFill/>
                    </a:ln>
                  </pic:spPr>
                </pic:pic>
              </a:graphicData>
            </a:graphic>
          </wp:anchor>
        </w:drawing>
      </w:r>
    </w:p>
    <w:p>
      <w:pPr>
        <w:pStyle w:val="2"/>
        <w:numPr>
          <w:ilvl w:val="0"/>
          <w:numId w:val="0"/>
        </w:num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6432" behindDoc="0" locked="0" layoutInCell="1" allowOverlap="1">
            <wp:simplePos x="0" y="0"/>
            <wp:positionH relativeFrom="column">
              <wp:posOffset>0</wp:posOffset>
            </wp:positionH>
            <wp:positionV relativeFrom="paragraph">
              <wp:posOffset>83820</wp:posOffset>
            </wp:positionV>
            <wp:extent cx="5274310" cy="2843530"/>
            <wp:effectExtent l="0" t="0" r="2540" b="13970"/>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5274310" cy="2843530"/>
                    </a:xfrm>
                    <a:prstGeom prst="rect">
                      <a:avLst/>
                    </a:prstGeom>
                    <a:noFill/>
                    <a:ln>
                      <a:noFill/>
                    </a:ln>
                  </pic:spPr>
                </pic:pic>
              </a:graphicData>
            </a:graphic>
          </wp:anchor>
        </w:drawing>
      </w:r>
    </w:p>
    <w:p>
      <w:pPr>
        <w:pStyle w:val="2"/>
        <w:numPr>
          <w:ilvl w:val="0"/>
          <w:numId w:val="0"/>
        </w:numPr>
        <w:spacing w:line="240" w:lineRule="auto"/>
        <w:rPr>
          <w:rFonts w:hint="eastAsia"/>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69E77EF5"/>
    <w:multiLevelType w:val="multilevel"/>
    <w:tmpl w:val="69E77EF5"/>
    <w:lvl w:ilvl="0" w:tentative="0">
      <w:start w:val="1"/>
      <w:numFmt w:val="chineseCounting"/>
      <w:pStyle w:val="2"/>
      <w:suff w:val="nothing"/>
      <w:lvlText w:val="%1、"/>
      <w:lvlJc w:val="left"/>
      <w:pPr>
        <w:tabs>
          <w:tab w:val="left" w:pos="851"/>
        </w:tabs>
        <w:ind w:left="851" w:firstLine="0"/>
      </w:pPr>
      <w:rPr>
        <w:rFonts w:hint="eastAsia" w:eastAsia="黑体"/>
        <w:sz w:val="32"/>
        <w:lang w:val="en-US"/>
      </w:rPr>
    </w:lvl>
    <w:lvl w:ilvl="1" w:tentative="0">
      <w:start w:val="1"/>
      <w:numFmt w:val="chineseCounting"/>
      <w:suff w:val="nothing"/>
      <w:lvlText w:val="（%2）"/>
      <w:lvlJc w:val="left"/>
      <w:pPr>
        <w:ind w:left="851" w:firstLine="0"/>
      </w:pPr>
      <w:rPr>
        <w:rFonts w:hint="eastAsia"/>
      </w:rPr>
    </w:lvl>
    <w:lvl w:ilvl="2" w:tentative="0">
      <w:start w:val="1"/>
      <w:numFmt w:val="decimal"/>
      <w:suff w:val="nothing"/>
      <w:lvlText w:val="%3．"/>
      <w:lvlJc w:val="left"/>
      <w:pPr>
        <w:ind w:left="851" w:firstLine="400"/>
      </w:pPr>
      <w:rPr>
        <w:rFonts w:hint="eastAsia"/>
      </w:rPr>
    </w:lvl>
    <w:lvl w:ilvl="3" w:tentative="0">
      <w:start w:val="1"/>
      <w:numFmt w:val="decimal"/>
      <w:suff w:val="nothing"/>
      <w:lvlText w:val="（%4）"/>
      <w:lvlJc w:val="left"/>
      <w:pPr>
        <w:ind w:left="851" w:firstLine="402"/>
      </w:pPr>
      <w:rPr>
        <w:rFonts w:hint="eastAsia"/>
      </w:rPr>
    </w:lvl>
    <w:lvl w:ilvl="4" w:tentative="0">
      <w:start w:val="1"/>
      <w:numFmt w:val="decimalEnclosedCircleChinese"/>
      <w:suff w:val="nothing"/>
      <w:lvlText w:val="%5"/>
      <w:lvlJc w:val="left"/>
      <w:pPr>
        <w:ind w:left="851" w:firstLine="402"/>
      </w:pPr>
      <w:rPr>
        <w:rFonts w:hint="eastAsia"/>
      </w:rPr>
    </w:lvl>
    <w:lvl w:ilvl="5" w:tentative="0">
      <w:start w:val="1"/>
      <w:numFmt w:val="decimal"/>
      <w:suff w:val="nothing"/>
      <w:lvlText w:val="%6）"/>
      <w:lvlJc w:val="left"/>
      <w:pPr>
        <w:ind w:left="851" w:firstLine="402"/>
      </w:pPr>
      <w:rPr>
        <w:rFonts w:hint="eastAsia"/>
      </w:rPr>
    </w:lvl>
    <w:lvl w:ilvl="6" w:tentative="0">
      <w:start w:val="1"/>
      <w:numFmt w:val="lowerLetter"/>
      <w:suff w:val="nothing"/>
      <w:lvlText w:val="%7．"/>
      <w:lvlJc w:val="left"/>
      <w:pPr>
        <w:ind w:left="851" w:firstLine="402"/>
      </w:pPr>
      <w:rPr>
        <w:rFonts w:hint="eastAsia"/>
      </w:rPr>
    </w:lvl>
    <w:lvl w:ilvl="7" w:tentative="0">
      <w:start w:val="1"/>
      <w:numFmt w:val="lowerLetter"/>
      <w:suff w:val="nothing"/>
      <w:lvlText w:val="%8）"/>
      <w:lvlJc w:val="left"/>
      <w:pPr>
        <w:ind w:left="851" w:firstLine="402"/>
      </w:pPr>
      <w:rPr>
        <w:rFonts w:hint="eastAsia"/>
      </w:rPr>
    </w:lvl>
    <w:lvl w:ilvl="8" w:tentative="0">
      <w:start w:val="1"/>
      <w:numFmt w:val="lowerRoman"/>
      <w:suff w:val="nothing"/>
      <w:lvlText w:val="%9 "/>
      <w:lvlJc w:val="left"/>
      <w:pPr>
        <w:ind w:left="851"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jZDkzNDQ4NTc2YzZkMWRmMjYwMjhkYzI4NjdmYTYifQ=="/>
    <w:docVar w:name="KSO_WPS_MARK_KEY" w:val="41ee2a61-2d54-4f93-83be-afdb9a40d732"/>
  </w:docVars>
  <w:rsids>
    <w:rsidRoot w:val="00000000"/>
    <w:rsid w:val="00213C59"/>
    <w:rsid w:val="003210CE"/>
    <w:rsid w:val="00B675BD"/>
    <w:rsid w:val="00B70D59"/>
    <w:rsid w:val="00E22173"/>
    <w:rsid w:val="00F52A8D"/>
    <w:rsid w:val="01060BF7"/>
    <w:rsid w:val="01164C1C"/>
    <w:rsid w:val="013D4FA7"/>
    <w:rsid w:val="01715D6C"/>
    <w:rsid w:val="019404F8"/>
    <w:rsid w:val="019D306B"/>
    <w:rsid w:val="01E90B3C"/>
    <w:rsid w:val="02866093"/>
    <w:rsid w:val="029B4371"/>
    <w:rsid w:val="02BD3108"/>
    <w:rsid w:val="02F73D26"/>
    <w:rsid w:val="0328539C"/>
    <w:rsid w:val="033570C0"/>
    <w:rsid w:val="034D4FEF"/>
    <w:rsid w:val="035D1785"/>
    <w:rsid w:val="03963071"/>
    <w:rsid w:val="039F47CE"/>
    <w:rsid w:val="03CF200F"/>
    <w:rsid w:val="03E05CE8"/>
    <w:rsid w:val="03F973EE"/>
    <w:rsid w:val="043E5B56"/>
    <w:rsid w:val="04673CA2"/>
    <w:rsid w:val="047168CE"/>
    <w:rsid w:val="049727D9"/>
    <w:rsid w:val="04C04386"/>
    <w:rsid w:val="04FA68C4"/>
    <w:rsid w:val="051645EC"/>
    <w:rsid w:val="053F5AE6"/>
    <w:rsid w:val="057C0B0F"/>
    <w:rsid w:val="05A23BF2"/>
    <w:rsid w:val="05EF4B48"/>
    <w:rsid w:val="05F76ECA"/>
    <w:rsid w:val="062F26A5"/>
    <w:rsid w:val="06792773"/>
    <w:rsid w:val="06A4417B"/>
    <w:rsid w:val="06FD7855"/>
    <w:rsid w:val="07093795"/>
    <w:rsid w:val="072B6A7D"/>
    <w:rsid w:val="07804730"/>
    <w:rsid w:val="07904CBD"/>
    <w:rsid w:val="079052BE"/>
    <w:rsid w:val="07AF7B46"/>
    <w:rsid w:val="07B90CB8"/>
    <w:rsid w:val="07BB0FD9"/>
    <w:rsid w:val="07CC48F5"/>
    <w:rsid w:val="07D53CB6"/>
    <w:rsid w:val="07DF32D4"/>
    <w:rsid w:val="08145C21"/>
    <w:rsid w:val="08422688"/>
    <w:rsid w:val="085854ED"/>
    <w:rsid w:val="0879188F"/>
    <w:rsid w:val="08A0354D"/>
    <w:rsid w:val="08A32F95"/>
    <w:rsid w:val="08CD4C49"/>
    <w:rsid w:val="09114954"/>
    <w:rsid w:val="091343F8"/>
    <w:rsid w:val="095A5B83"/>
    <w:rsid w:val="096466E3"/>
    <w:rsid w:val="0968304D"/>
    <w:rsid w:val="096E1F6A"/>
    <w:rsid w:val="099A17E8"/>
    <w:rsid w:val="09AF3D17"/>
    <w:rsid w:val="09EC518E"/>
    <w:rsid w:val="0A5A7517"/>
    <w:rsid w:val="0A7809B7"/>
    <w:rsid w:val="0A7B4867"/>
    <w:rsid w:val="0A840954"/>
    <w:rsid w:val="0A8B0B80"/>
    <w:rsid w:val="0A9928ED"/>
    <w:rsid w:val="0AA43D34"/>
    <w:rsid w:val="0AC876CE"/>
    <w:rsid w:val="0B61769D"/>
    <w:rsid w:val="0B8C3ECC"/>
    <w:rsid w:val="0B9B2EA5"/>
    <w:rsid w:val="0B9C639D"/>
    <w:rsid w:val="0BB052B2"/>
    <w:rsid w:val="0BD33FFC"/>
    <w:rsid w:val="0BE97AC1"/>
    <w:rsid w:val="0C0038E6"/>
    <w:rsid w:val="0C007224"/>
    <w:rsid w:val="0C1C4780"/>
    <w:rsid w:val="0C3613A3"/>
    <w:rsid w:val="0C5E519C"/>
    <w:rsid w:val="0C7227A7"/>
    <w:rsid w:val="0CA52EE8"/>
    <w:rsid w:val="0CBD6988"/>
    <w:rsid w:val="0CD208AC"/>
    <w:rsid w:val="0D052F28"/>
    <w:rsid w:val="0D4903E8"/>
    <w:rsid w:val="0D643B91"/>
    <w:rsid w:val="0D7560A2"/>
    <w:rsid w:val="0D7A4A46"/>
    <w:rsid w:val="0DCE3ACC"/>
    <w:rsid w:val="0E4D675C"/>
    <w:rsid w:val="0E640559"/>
    <w:rsid w:val="0E9B522B"/>
    <w:rsid w:val="0F1113DA"/>
    <w:rsid w:val="0F114F36"/>
    <w:rsid w:val="0F2672E3"/>
    <w:rsid w:val="0F65104E"/>
    <w:rsid w:val="0F78534A"/>
    <w:rsid w:val="0F852163"/>
    <w:rsid w:val="0F89358A"/>
    <w:rsid w:val="0F8C6D51"/>
    <w:rsid w:val="0FAF6556"/>
    <w:rsid w:val="0FB04521"/>
    <w:rsid w:val="101776A6"/>
    <w:rsid w:val="102D0454"/>
    <w:rsid w:val="103316EC"/>
    <w:rsid w:val="105B0B5E"/>
    <w:rsid w:val="10970E5C"/>
    <w:rsid w:val="10CC6185"/>
    <w:rsid w:val="11076264"/>
    <w:rsid w:val="112E58D0"/>
    <w:rsid w:val="11731CAC"/>
    <w:rsid w:val="119500A0"/>
    <w:rsid w:val="11AC37BB"/>
    <w:rsid w:val="11C0733B"/>
    <w:rsid w:val="11D50D17"/>
    <w:rsid w:val="120E0809"/>
    <w:rsid w:val="12482505"/>
    <w:rsid w:val="127F665A"/>
    <w:rsid w:val="12B24488"/>
    <w:rsid w:val="12F7068C"/>
    <w:rsid w:val="1333501C"/>
    <w:rsid w:val="137853E9"/>
    <w:rsid w:val="13852605"/>
    <w:rsid w:val="13B35BB3"/>
    <w:rsid w:val="13D2756C"/>
    <w:rsid w:val="13F709A0"/>
    <w:rsid w:val="14207DC0"/>
    <w:rsid w:val="14323846"/>
    <w:rsid w:val="14B932DA"/>
    <w:rsid w:val="150A66AF"/>
    <w:rsid w:val="154C1139"/>
    <w:rsid w:val="158C5B77"/>
    <w:rsid w:val="15B36FDE"/>
    <w:rsid w:val="15E96F35"/>
    <w:rsid w:val="160D1149"/>
    <w:rsid w:val="16116750"/>
    <w:rsid w:val="163563C0"/>
    <w:rsid w:val="164315EF"/>
    <w:rsid w:val="16557DFE"/>
    <w:rsid w:val="167268FB"/>
    <w:rsid w:val="167C604D"/>
    <w:rsid w:val="169523B1"/>
    <w:rsid w:val="169932D8"/>
    <w:rsid w:val="16D50C50"/>
    <w:rsid w:val="16E120E1"/>
    <w:rsid w:val="17247CCA"/>
    <w:rsid w:val="17385A05"/>
    <w:rsid w:val="173B3901"/>
    <w:rsid w:val="176747F9"/>
    <w:rsid w:val="17954A6E"/>
    <w:rsid w:val="17B74F88"/>
    <w:rsid w:val="180059E9"/>
    <w:rsid w:val="1821228F"/>
    <w:rsid w:val="184510FD"/>
    <w:rsid w:val="1849300D"/>
    <w:rsid w:val="18BB12B0"/>
    <w:rsid w:val="18CE3906"/>
    <w:rsid w:val="18D04DF8"/>
    <w:rsid w:val="18D33A37"/>
    <w:rsid w:val="18DA2959"/>
    <w:rsid w:val="190648B0"/>
    <w:rsid w:val="19071D6C"/>
    <w:rsid w:val="19D26CD4"/>
    <w:rsid w:val="19D6451D"/>
    <w:rsid w:val="19E60D19"/>
    <w:rsid w:val="1A102923"/>
    <w:rsid w:val="1A3E3450"/>
    <w:rsid w:val="1A765A72"/>
    <w:rsid w:val="1A986F32"/>
    <w:rsid w:val="1AA03612"/>
    <w:rsid w:val="1ABF7A89"/>
    <w:rsid w:val="1AD807E5"/>
    <w:rsid w:val="1AF57E02"/>
    <w:rsid w:val="1B39345B"/>
    <w:rsid w:val="1B620A5D"/>
    <w:rsid w:val="1BA90669"/>
    <w:rsid w:val="1BB47BC2"/>
    <w:rsid w:val="1BFB2A1F"/>
    <w:rsid w:val="1C015D4A"/>
    <w:rsid w:val="1C1E347C"/>
    <w:rsid w:val="1C290ED5"/>
    <w:rsid w:val="1C317E4F"/>
    <w:rsid w:val="1C472464"/>
    <w:rsid w:val="1C4D0687"/>
    <w:rsid w:val="1C72092D"/>
    <w:rsid w:val="1CB34ADA"/>
    <w:rsid w:val="1CB60EA7"/>
    <w:rsid w:val="1CCD42A2"/>
    <w:rsid w:val="1D13264C"/>
    <w:rsid w:val="1D1A36B1"/>
    <w:rsid w:val="1D22799A"/>
    <w:rsid w:val="1D4E1E2C"/>
    <w:rsid w:val="1D5C1A72"/>
    <w:rsid w:val="1D852B81"/>
    <w:rsid w:val="1DAF458D"/>
    <w:rsid w:val="1DC031EF"/>
    <w:rsid w:val="1DCE55C7"/>
    <w:rsid w:val="1E086ACE"/>
    <w:rsid w:val="1E087E4C"/>
    <w:rsid w:val="1E4611B2"/>
    <w:rsid w:val="1E62130A"/>
    <w:rsid w:val="1E97358B"/>
    <w:rsid w:val="1EAA4A5F"/>
    <w:rsid w:val="1EE00181"/>
    <w:rsid w:val="1EE869A7"/>
    <w:rsid w:val="1F1813CE"/>
    <w:rsid w:val="1F6D1757"/>
    <w:rsid w:val="1F7F3EA7"/>
    <w:rsid w:val="1FA15E62"/>
    <w:rsid w:val="1FED69B6"/>
    <w:rsid w:val="2064678E"/>
    <w:rsid w:val="20B3409F"/>
    <w:rsid w:val="20D45DCF"/>
    <w:rsid w:val="20DC1AB9"/>
    <w:rsid w:val="20DD6197"/>
    <w:rsid w:val="212631E0"/>
    <w:rsid w:val="215B40ED"/>
    <w:rsid w:val="2176602D"/>
    <w:rsid w:val="21A53757"/>
    <w:rsid w:val="21BC6B1E"/>
    <w:rsid w:val="221236C6"/>
    <w:rsid w:val="22396826"/>
    <w:rsid w:val="22540384"/>
    <w:rsid w:val="22664F42"/>
    <w:rsid w:val="228E4DC3"/>
    <w:rsid w:val="22D7662C"/>
    <w:rsid w:val="23326B7F"/>
    <w:rsid w:val="2380045B"/>
    <w:rsid w:val="239A7AC1"/>
    <w:rsid w:val="23BC04D2"/>
    <w:rsid w:val="23BC5E25"/>
    <w:rsid w:val="23DD7DA9"/>
    <w:rsid w:val="23EF1892"/>
    <w:rsid w:val="241925C1"/>
    <w:rsid w:val="24342F42"/>
    <w:rsid w:val="2483647E"/>
    <w:rsid w:val="24A32D55"/>
    <w:rsid w:val="25134E96"/>
    <w:rsid w:val="25292727"/>
    <w:rsid w:val="252E5CA9"/>
    <w:rsid w:val="25682F57"/>
    <w:rsid w:val="256F7692"/>
    <w:rsid w:val="25BA2154"/>
    <w:rsid w:val="25C8773F"/>
    <w:rsid w:val="26282AA8"/>
    <w:rsid w:val="264A7253"/>
    <w:rsid w:val="26561A12"/>
    <w:rsid w:val="26634D16"/>
    <w:rsid w:val="267A3B4D"/>
    <w:rsid w:val="2680358A"/>
    <w:rsid w:val="26864A74"/>
    <w:rsid w:val="268E5B0A"/>
    <w:rsid w:val="269745EB"/>
    <w:rsid w:val="26C145D4"/>
    <w:rsid w:val="26D465BB"/>
    <w:rsid w:val="26E53DBB"/>
    <w:rsid w:val="26F0170C"/>
    <w:rsid w:val="27097038"/>
    <w:rsid w:val="27201D62"/>
    <w:rsid w:val="27286E73"/>
    <w:rsid w:val="273C3CC9"/>
    <w:rsid w:val="277112F6"/>
    <w:rsid w:val="2783196A"/>
    <w:rsid w:val="27CF2642"/>
    <w:rsid w:val="27E777F5"/>
    <w:rsid w:val="27EA1D4C"/>
    <w:rsid w:val="27EA2E41"/>
    <w:rsid w:val="27FA2195"/>
    <w:rsid w:val="282459E2"/>
    <w:rsid w:val="283A7FE5"/>
    <w:rsid w:val="2843768F"/>
    <w:rsid w:val="285F51FF"/>
    <w:rsid w:val="2892218B"/>
    <w:rsid w:val="28DF2665"/>
    <w:rsid w:val="28F44DE1"/>
    <w:rsid w:val="29072599"/>
    <w:rsid w:val="291029F3"/>
    <w:rsid w:val="29A2135E"/>
    <w:rsid w:val="29B56911"/>
    <w:rsid w:val="29CB58F0"/>
    <w:rsid w:val="29E70750"/>
    <w:rsid w:val="29E81FD2"/>
    <w:rsid w:val="2A043BBD"/>
    <w:rsid w:val="2A053397"/>
    <w:rsid w:val="2A0F1027"/>
    <w:rsid w:val="2A145E96"/>
    <w:rsid w:val="2A4F4D63"/>
    <w:rsid w:val="2A6A42F2"/>
    <w:rsid w:val="2AA35184"/>
    <w:rsid w:val="2AAA3621"/>
    <w:rsid w:val="2AF5378F"/>
    <w:rsid w:val="2BA658EA"/>
    <w:rsid w:val="2BB94DBF"/>
    <w:rsid w:val="2BD321E7"/>
    <w:rsid w:val="2C0A1838"/>
    <w:rsid w:val="2C1F13B3"/>
    <w:rsid w:val="2C6F314E"/>
    <w:rsid w:val="2C8F2EBE"/>
    <w:rsid w:val="2CC206BE"/>
    <w:rsid w:val="2D06763C"/>
    <w:rsid w:val="2D1136DF"/>
    <w:rsid w:val="2D1B36F8"/>
    <w:rsid w:val="2D20606D"/>
    <w:rsid w:val="2D8D71C3"/>
    <w:rsid w:val="2DA71568"/>
    <w:rsid w:val="2DB87198"/>
    <w:rsid w:val="2DB93C54"/>
    <w:rsid w:val="2DEF0073"/>
    <w:rsid w:val="2DF37304"/>
    <w:rsid w:val="2E1D6CE6"/>
    <w:rsid w:val="2E2B170E"/>
    <w:rsid w:val="2E2B5347"/>
    <w:rsid w:val="2E3D144C"/>
    <w:rsid w:val="2E891204"/>
    <w:rsid w:val="2E8C2C4A"/>
    <w:rsid w:val="2ECD0F12"/>
    <w:rsid w:val="2EF57F78"/>
    <w:rsid w:val="2F3F0A28"/>
    <w:rsid w:val="2F6C25C9"/>
    <w:rsid w:val="2FBF7029"/>
    <w:rsid w:val="2FD0187F"/>
    <w:rsid w:val="2FD27414"/>
    <w:rsid w:val="2FE415A5"/>
    <w:rsid w:val="2FFE4BB0"/>
    <w:rsid w:val="300E7B60"/>
    <w:rsid w:val="300F6E18"/>
    <w:rsid w:val="30663C9D"/>
    <w:rsid w:val="30862F5F"/>
    <w:rsid w:val="3089305D"/>
    <w:rsid w:val="308D59DE"/>
    <w:rsid w:val="30DB3A03"/>
    <w:rsid w:val="311C0E55"/>
    <w:rsid w:val="31215F24"/>
    <w:rsid w:val="314029C9"/>
    <w:rsid w:val="317A26ED"/>
    <w:rsid w:val="31A76E4B"/>
    <w:rsid w:val="31C63837"/>
    <w:rsid w:val="31C82E39"/>
    <w:rsid w:val="3244113C"/>
    <w:rsid w:val="3255339B"/>
    <w:rsid w:val="32601BAD"/>
    <w:rsid w:val="329969B0"/>
    <w:rsid w:val="329F6389"/>
    <w:rsid w:val="33454052"/>
    <w:rsid w:val="3348720F"/>
    <w:rsid w:val="3389023A"/>
    <w:rsid w:val="33CB74FA"/>
    <w:rsid w:val="33E420EA"/>
    <w:rsid w:val="343642F2"/>
    <w:rsid w:val="343F3010"/>
    <w:rsid w:val="345D0A00"/>
    <w:rsid w:val="346B0D47"/>
    <w:rsid w:val="34713BFD"/>
    <w:rsid w:val="34790D04"/>
    <w:rsid w:val="34B847FF"/>
    <w:rsid w:val="34BE7767"/>
    <w:rsid w:val="34C13589"/>
    <w:rsid w:val="34D177EF"/>
    <w:rsid w:val="353369E3"/>
    <w:rsid w:val="353F5B51"/>
    <w:rsid w:val="359269FB"/>
    <w:rsid w:val="35C32DD5"/>
    <w:rsid w:val="35C427B7"/>
    <w:rsid w:val="35D83305"/>
    <w:rsid w:val="35E00D72"/>
    <w:rsid w:val="361F5F03"/>
    <w:rsid w:val="3649242E"/>
    <w:rsid w:val="36965B9D"/>
    <w:rsid w:val="36C549FD"/>
    <w:rsid w:val="372A7BF1"/>
    <w:rsid w:val="375E5CF2"/>
    <w:rsid w:val="377C5348"/>
    <w:rsid w:val="37A24124"/>
    <w:rsid w:val="37A755DD"/>
    <w:rsid w:val="37ED7A15"/>
    <w:rsid w:val="37F8623F"/>
    <w:rsid w:val="37F94FA0"/>
    <w:rsid w:val="380D3381"/>
    <w:rsid w:val="38115B1F"/>
    <w:rsid w:val="38464591"/>
    <w:rsid w:val="385E3AC3"/>
    <w:rsid w:val="386C6D9B"/>
    <w:rsid w:val="387D6B9E"/>
    <w:rsid w:val="389D6ECD"/>
    <w:rsid w:val="38B75FF0"/>
    <w:rsid w:val="38D45016"/>
    <w:rsid w:val="38D90432"/>
    <w:rsid w:val="38EF2A16"/>
    <w:rsid w:val="39131C69"/>
    <w:rsid w:val="3914510A"/>
    <w:rsid w:val="3926770B"/>
    <w:rsid w:val="393B4071"/>
    <w:rsid w:val="398D3668"/>
    <w:rsid w:val="39D960EE"/>
    <w:rsid w:val="39DA0497"/>
    <w:rsid w:val="39F85564"/>
    <w:rsid w:val="3A30187B"/>
    <w:rsid w:val="3A6504DC"/>
    <w:rsid w:val="3A6C2D50"/>
    <w:rsid w:val="3A893816"/>
    <w:rsid w:val="3A893B6D"/>
    <w:rsid w:val="3AD1763A"/>
    <w:rsid w:val="3AD35612"/>
    <w:rsid w:val="3AE26B6F"/>
    <w:rsid w:val="3B4F7F63"/>
    <w:rsid w:val="3B535F9B"/>
    <w:rsid w:val="3B6716E3"/>
    <w:rsid w:val="3B6C6B2D"/>
    <w:rsid w:val="3B7D0E14"/>
    <w:rsid w:val="3BB93AD8"/>
    <w:rsid w:val="3C141E7C"/>
    <w:rsid w:val="3C242659"/>
    <w:rsid w:val="3C3468D1"/>
    <w:rsid w:val="3C75046D"/>
    <w:rsid w:val="3C96719C"/>
    <w:rsid w:val="3CA72BE8"/>
    <w:rsid w:val="3CAA3FD3"/>
    <w:rsid w:val="3CC532FD"/>
    <w:rsid w:val="3CEA07D1"/>
    <w:rsid w:val="3CF37F8C"/>
    <w:rsid w:val="3D137554"/>
    <w:rsid w:val="3D2D0BDD"/>
    <w:rsid w:val="3D4C03D4"/>
    <w:rsid w:val="3D5275AC"/>
    <w:rsid w:val="3DCC2473"/>
    <w:rsid w:val="3DE979B4"/>
    <w:rsid w:val="3DEB0883"/>
    <w:rsid w:val="3E0D0E3B"/>
    <w:rsid w:val="3E1B0A07"/>
    <w:rsid w:val="3E2527BF"/>
    <w:rsid w:val="3E731662"/>
    <w:rsid w:val="3E8168DD"/>
    <w:rsid w:val="3EA7725F"/>
    <w:rsid w:val="3EB03713"/>
    <w:rsid w:val="3EB40ADA"/>
    <w:rsid w:val="3EBF1A11"/>
    <w:rsid w:val="3EC52607"/>
    <w:rsid w:val="3EC86B10"/>
    <w:rsid w:val="3EE26E9F"/>
    <w:rsid w:val="3EEC6CEF"/>
    <w:rsid w:val="3F183429"/>
    <w:rsid w:val="3F3E565D"/>
    <w:rsid w:val="3F842479"/>
    <w:rsid w:val="3FAA090B"/>
    <w:rsid w:val="3FB77A1D"/>
    <w:rsid w:val="3FDC3674"/>
    <w:rsid w:val="3FED7F8A"/>
    <w:rsid w:val="3FF61314"/>
    <w:rsid w:val="40094AEF"/>
    <w:rsid w:val="405470BD"/>
    <w:rsid w:val="406B14D3"/>
    <w:rsid w:val="40794A29"/>
    <w:rsid w:val="40834692"/>
    <w:rsid w:val="40A546C2"/>
    <w:rsid w:val="411B3D98"/>
    <w:rsid w:val="41431AD5"/>
    <w:rsid w:val="414B3C0F"/>
    <w:rsid w:val="414F3C1B"/>
    <w:rsid w:val="41691528"/>
    <w:rsid w:val="41760AA5"/>
    <w:rsid w:val="417C1CE7"/>
    <w:rsid w:val="417D218B"/>
    <w:rsid w:val="41900018"/>
    <w:rsid w:val="41944406"/>
    <w:rsid w:val="41B95477"/>
    <w:rsid w:val="41CE128F"/>
    <w:rsid w:val="41DA6F12"/>
    <w:rsid w:val="41EA32B9"/>
    <w:rsid w:val="42171FB1"/>
    <w:rsid w:val="423F358D"/>
    <w:rsid w:val="425D33CF"/>
    <w:rsid w:val="42F61F78"/>
    <w:rsid w:val="434E6957"/>
    <w:rsid w:val="437E560E"/>
    <w:rsid w:val="43967FD1"/>
    <w:rsid w:val="43B8008E"/>
    <w:rsid w:val="43BA0E31"/>
    <w:rsid w:val="43C15147"/>
    <w:rsid w:val="43E14DD2"/>
    <w:rsid w:val="43F800E9"/>
    <w:rsid w:val="44000FD8"/>
    <w:rsid w:val="443A7E4B"/>
    <w:rsid w:val="44BF0B5A"/>
    <w:rsid w:val="44EA0EF9"/>
    <w:rsid w:val="44EF6578"/>
    <w:rsid w:val="45067B88"/>
    <w:rsid w:val="452F5B3A"/>
    <w:rsid w:val="454B552D"/>
    <w:rsid w:val="454D5FC1"/>
    <w:rsid w:val="454E7FD2"/>
    <w:rsid w:val="45C04881"/>
    <w:rsid w:val="460133C5"/>
    <w:rsid w:val="46061BDC"/>
    <w:rsid w:val="461404F8"/>
    <w:rsid w:val="46413018"/>
    <w:rsid w:val="464B7E04"/>
    <w:rsid w:val="46544206"/>
    <w:rsid w:val="46653635"/>
    <w:rsid w:val="468041AA"/>
    <w:rsid w:val="468123C6"/>
    <w:rsid w:val="46901EEE"/>
    <w:rsid w:val="469C74D2"/>
    <w:rsid w:val="47445515"/>
    <w:rsid w:val="4744700F"/>
    <w:rsid w:val="474B4782"/>
    <w:rsid w:val="47810B31"/>
    <w:rsid w:val="479A6264"/>
    <w:rsid w:val="47D90D14"/>
    <w:rsid w:val="482A5E64"/>
    <w:rsid w:val="48355569"/>
    <w:rsid w:val="48387FB0"/>
    <w:rsid w:val="483A6114"/>
    <w:rsid w:val="488727DB"/>
    <w:rsid w:val="48B10417"/>
    <w:rsid w:val="48B70816"/>
    <w:rsid w:val="48B82268"/>
    <w:rsid w:val="48C12F4D"/>
    <w:rsid w:val="48C354B3"/>
    <w:rsid w:val="49134516"/>
    <w:rsid w:val="493D58B5"/>
    <w:rsid w:val="494A7A04"/>
    <w:rsid w:val="49B32D82"/>
    <w:rsid w:val="4A0A26D2"/>
    <w:rsid w:val="4A2019A5"/>
    <w:rsid w:val="4A241A0B"/>
    <w:rsid w:val="4A7B2875"/>
    <w:rsid w:val="4A801AE8"/>
    <w:rsid w:val="4A934476"/>
    <w:rsid w:val="4AAA220A"/>
    <w:rsid w:val="4AE12E67"/>
    <w:rsid w:val="4B2F7509"/>
    <w:rsid w:val="4B4C0111"/>
    <w:rsid w:val="4B6318E6"/>
    <w:rsid w:val="4B7C315C"/>
    <w:rsid w:val="4B8163E1"/>
    <w:rsid w:val="4B8553A9"/>
    <w:rsid w:val="4BA57D51"/>
    <w:rsid w:val="4BDB3730"/>
    <w:rsid w:val="4C200F7A"/>
    <w:rsid w:val="4C384917"/>
    <w:rsid w:val="4C530B9C"/>
    <w:rsid w:val="4C8346A1"/>
    <w:rsid w:val="4C9E1087"/>
    <w:rsid w:val="4CC246BE"/>
    <w:rsid w:val="4CCA796E"/>
    <w:rsid w:val="4CEE3180"/>
    <w:rsid w:val="4D0F4AF6"/>
    <w:rsid w:val="4D134DBD"/>
    <w:rsid w:val="4D13514E"/>
    <w:rsid w:val="4D7C389A"/>
    <w:rsid w:val="4DF94F37"/>
    <w:rsid w:val="4DFE6782"/>
    <w:rsid w:val="4E0A1DD5"/>
    <w:rsid w:val="4E3160E5"/>
    <w:rsid w:val="4E373BEB"/>
    <w:rsid w:val="4E3B6B47"/>
    <w:rsid w:val="4E3E6A0D"/>
    <w:rsid w:val="4E4D37AF"/>
    <w:rsid w:val="4E8C6496"/>
    <w:rsid w:val="4EFD18DE"/>
    <w:rsid w:val="4F144236"/>
    <w:rsid w:val="4F2871B3"/>
    <w:rsid w:val="4F663C87"/>
    <w:rsid w:val="4F7E29A8"/>
    <w:rsid w:val="4F9E1FFC"/>
    <w:rsid w:val="4FE0100D"/>
    <w:rsid w:val="4FE67218"/>
    <w:rsid w:val="4FFD2D50"/>
    <w:rsid w:val="50447CC2"/>
    <w:rsid w:val="506927AB"/>
    <w:rsid w:val="50874A7C"/>
    <w:rsid w:val="50895EE7"/>
    <w:rsid w:val="50921B9D"/>
    <w:rsid w:val="50A64FD0"/>
    <w:rsid w:val="50A764DB"/>
    <w:rsid w:val="50D16158"/>
    <w:rsid w:val="50DB5F45"/>
    <w:rsid w:val="51025EB1"/>
    <w:rsid w:val="51141503"/>
    <w:rsid w:val="513872F3"/>
    <w:rsid w:val="51514206"/>
    <w:rsid w:val="518B7B12"/>
    <w:rsid w:val="518D0ED5"/>
    <w:rsid w:val="51D36EF7"/>
    <w:rsid w:val="522F01C4"/>
    <w:rsid w:val="52436050"/>
    <w:rsid w:val="52457007"/>
    <w:rsid w:val="525C687F"/>
    <w:rsid w:val="528E762A"/>
    <w:rsid w:val="52B01A26"/>
    <w:rsid w:val="52BD4729"/>
    <w:rsid w:val="52C97EC1"/>
    <w:rsid w:val="52F647F7"/>
    <w:rsid w:val="52F92565"/>
    <w:rsid w:val="53161037"/>
    <w:rsid w:val="53304238"/>
    <w:rsid w:val="536A5F90"/>
    <w:rsid w:val="53777BB8"/>
    <w:rsid w:val="53B17C88"/>
    <w:rsid w:val="53CB4330"/>
    <w:rsid w:val="53D03877"/>
    <w:rsid w:val="53DF46EF"/>
    <w:rsid w:val="542F73CA"/>
    <w:rsid w:val="5430786D"/>
    <w:rsid w:val="543C3DD0"/>
    <w:rsid w:val="54883D25"/>
    <w:rsid w:val="54B94A65"/>
    <w:rsid w:val="54C811C0"/>
    <w:rsid w:val="553B3C03"/>
    <w:rsid w:val="554A6585"/>
    <w:rsid w:val="55662210"/>
    <w:rsid w:val="556A442D"/>
    <w:rsid w:val="55713DCB"/>
    <w:rsid w:val="55DA564E"/>
    <w:rsid w:val="5604127D"/>
    <w:rsid w:val="56043FB6"/>
    <w:rsid w:val="56166703"/>
    <w:rsid w:val="561D27F7"/>
    <w:rsid w:val="56510474"/>
    <w:rsid w:val="56861525"/>
    <w:rsid w:val="568F7A6A"/>
    <w:rsid w:val="56A7459A"/>
    <w:rsid w:val="56A93273"/>
    <w:rsid w:val="56BD550C"/>
    <w:rsid w:val="56E07045"/>
    <w:rsid w:val="56FF28AF"/>
    <w:rsid w:val="57540E7D"/>
    <w:rsid w:val="577B4878"/>
    <w:rsid w:val="5786265F"/>
    <w:rsid w:val="57914644"/>
    <w:rsid w:val="57926973"/>
    <w:rsid w:val="57B31EF2"/>
    <w:rsid w:val="57E94A4A"/>
    <w:rsid w:val="58175352"/>
    <w:rsid w:val="581F2200"/>
    <w:rsid w:val="583059FA"/>
    <w:rsid w:val="5843622B"/>
    <w:rsid w:val="58463E28"/>
    <w:rsid w:val="584A0929"/>
    <w:rsid w:val="58590548"/>
    <w:rsid w:val="586A3768"/>
    <w:rsid w:val="5878644C"/>
    <w:rsid w:val="58CD2491"/>
    <w:rsid w:val="591B41B2"/>
    <w:rsid w:val="59254A26"/>
    <w:rsid w:val="59326325"/>
    <w:rsid w:val="59484007"/>
    <w:rsid w:val="595C505B"/>
    <w:rsid w:val="595E55C3"/>
    <w:rsid w:val="596E7E20"/>
    <w:rsid w:val="59832C1F"/>
    <w:rsid w:val="59926491"/>
    <w:rsid w:val="599F0E0A"/>
    <w:rsid w:val="5A222340"/>
    <w:rsid w:val="5A60780B"/>
    <w:rsid w:val="5AB34579"/>
    <w:rsid w:val="5AFC6609"/>
    <w:rsid w:val="5B113480"/>
    <w:rsid w:val="5BAA1ED5"/>
    <w:rsid w:val="5BB32E1D"/>
    <w:rsid w:val="5BCE1BC1"/>
    <w:rsid w:val="5BD456CE"/>
    <w:rsid w:val="5C0D1F49"/>
    <w:rsid w:val="5C2F3161"/>
    <w:rsid w:val="5C38058E"/>
    <w:rsid w:val="5C622289"/>
    <w:rsid w:val="5CBB0CE2"/>
    <w:rsid w:val="5CC17177"/>
    <w:rsid w:val="5CF306BC"/>
    <w:rsid w:val="5D094A6B"/>
    <w:rsid w:val="5D0C4C80"/>
    <w:rsid w:val="5D3F08BD"/>
    <w:rsid w:val="5D3F3D64"/>
    <w:rsid w:val="5D833043"/>
    <w:rsid w:val="5DBB4E7C"/>
    <w:rsid w:val="5DD92690"/>
    <w:rsid w:val="5DDB1CFD"/>
    <w:rsid w:val="5E355C6A"/>
    <w:rsid w:val="5E7A2D6D"/>
    <w:rsid w:val="5E7E6D93"/>
    <w:rsid w:val="5E871F00"/>
    <w:rsid w:val="5ED44800"/>
    <w:rsid w:val="5F350BDE"/>
    <w:rsid w:val="5F395F24"/>
    <w:rsid w:val="5F61632C"/>
    <w:rsid w:val="5F7D11AB"/>
    <w:rsid w:val="5F941F31"/>
    <w:rsid w:val="5FA17648"/>
    <w:rsid w:val="5FE705CB"/>
    <w:rsid w:val="60272CB5"/>
    <w:rsid w:val="603D5080"/>
    <w:rsid w:val="609217BD"/>
    <w:rsid w:val="609C7DFC"/>
    <w:rsid w:val="60D0261B"/>
    <w:rsid w:val="60D779D3"/>
    <w:rsid w:val="61131E7F"/>
    <w:rsid w:val="613218B7"/>
    <w:rsid w:val="618E3791"/>
    <w:rsid w:val="61947DCA"/>
    <w:rsid w:val="61A46A97"/>
    <w:rsid w:val="61AB2671"/>
    <w:rsid w:val="61D1382F"/>
    <w:rsid w:val="61F114A2"/>
    <w:rsid w:val="62512BB4"/>
    <w:rsid w:val="625D7D1A"/>
    <w:rsid w:val="62885726"/>
    <w:rsid w:val="629220AD"/>
    <w:rsid w:val="62DD7D21"/>
    <w:rsid w:val="62FC06B1"/>
    <w:rsid w:val="63372B31"/>
    <w:rsid w:val="637C5F97"/>
    <w:rsid w:val="637D586B"/>
    <w:rsid w:val="63A5560B"/>
    <w:rsid w:val="63D76628"/>
    <w:rsid w:val="63DA6433"/>
    <w:rsid w:val="63E9091F"/>
    <w:rsid w:val="64322AF9"/>
    <w:rsid w:val="64824EFC"/>
    <w:rsid w:val="649E4404"/>
    <w:rsid w:val="64D6010D"/>
    <w:rsid w:val="64D82665"/>
    <w:rsid w:val="64E47C96"/>
    <w:rsid w:val="65006363"/>
    <w:rsid w:val="651E5741"/>
    <w:rsid w:val="657D4DF6"/>
    <w:rsid w:val="658A4877"/>
    <w:rsid w:val="65941A88"/>
    <w:rsid w:val="65A00902"/>
    <w:rsid w:val="65AC1ED5"/>
    <w:rsid w:val="65AC6EDD"/>
    <w:rsid w:val="65D97752"/>
    <w:rsid w:val="66085536"/>
    <w:rsid w:val="66105BF7"/>
    <w:rsid w:val="66150023"/>
    <w:rsid w:val="6628010D"/>
    <w:rsid w:val="669B4528"/>
    <w:rsid w:val="66CC12D7"/>
    <w:rsid w:val="67134CEF"/>
    <w:rsid w:val="671F1ABD"/>
    <w:rsid w:val="674F63F8"/>
    <w:rsid w:val="67521A59"/>
    <w:rsid w:val="676C4B19"/>
    <w:rsid w:val="677C71DE"/>
    <w:rsid w:val="67C304AB"/>
    <w:rsid w:val="67C64493"/>
    <w:rsid w:val="67CD0517"/>
    <w:rsid w:val="681313F6"/>
    <w:rsid w:val="683F0658"/>
    <w:rsid w:val="689C6793"/>
    <w:rsid w:val="68B17610"/>
    <w:rsid w:val="68C45F20"/>
    <w:rsid w:val="68DB0208"/>
    <w:rsid w:val="68FB170C"/>
    <w:rsid w:val="68FD69A3"/>
    <w:rsid w:val="691B3D98"/>
    <w:rsid w:val="693748F0"/>
    <w:rsid w:val="69390786"/>
    <w:rsid w:val="693C7C92"/>
    <w:rsid w:val="69731BEA"/>
    <w:rsid w:val="69846A0E"/>
    <w:rsid w:val="69AD798C"/>
    <w:rsid w:val="69CE18A0"/>
    <w:rsid w:val="69D005C0"/>
    <w:rsid w:val="69D3768B"/>
    <w:rsid w:val="69D80B96"/>
    <w:rsid w:val="6A2E3DB7"/>
    <w:rsid w:val="6A8401B2"/>
    <w:rsid w:val="6AB00BCE"/>
    <w:rsid w:val="6AFD0BA2"/>
    <w:rsid w:val="6B5064A6"/>
    <w:rsid w:val="6B68175F"/>
    <w:rsid w:val="6BC44166"/>
    <w:rsid w:val="6BFD799F"/>
    <w:rsid w:val="6C0C7A7C"/>
    <w:rsid w:val="6C4A2E5A"/>
    <w:rsid w:val="6C606B89"/>
    <w:rsid w:val="6C64667F"/>
    <w:rsid w:val="6C8138D0"/>
    <w:rsid w:val="6CC23A11"/>
    <w:rsid w:val="6CE60925"/>
    <w:rsid w:val="6CE67AA4"/>
    <w:rsid w:val="6CEF0725"/>
    <w:rsid w:val="6D0C24E6"/>
    <w:rsid w:val="6D131EB8"/>
    <w:rsid w:val="6D4B2604"/>
    <w:rsid w:val="6D8030E4"/>
    <w:rsid w:val="6DAF4019"/>
    <w:rsid w:val="6DB4128A"/>
    <w:rsid w:val="6E0E35C4"/>
    <w:rsid w:val="6E0F7A08"/>
    <w:rsid w:val="6E3947F5"/>
    <w:rsid w:val="6E461534"/>
    <w:rsid w:val="6E5E09BC"/>
    <w:rsid w:val="6E7450FF"/>
    <w:rsid w:val="6E9C74ED"/>
    <w:rsid w:val="6E9D0554"/>
    <w:rsid w:val="6EB36DC9"/>
    <w:rsid w:val="6ED70B18"/>
    <w:rsid w:val="6EF72976"/>
    <w:rsid w:val="6F1C0A3D"/>
    <w:rsid w:val="6F795A80"/>
    <w:rsid w:val="6F7C1D2E"/>
    <w:rsid w:val="6F8E0407"/>
    <w:rsid w:val="6FB6033B"/>
    <w:rsid w:val="6FD23938"/>
    <w:rsid w:val="6FDD069F"/>
    <w:rsid w:val="6FF67F27"/>
    <w:rsid w:val="70154AC3"/>
    <w:rsid w:val="702B4D16"/>
    <w:rsid w:val="702D3A28"/>
    <w:rsid w:val="70313E88"/>
    <w:rsid w:val="70353F9D"/>
    <w:rsid w:val="703F39F7"/>
    <w:rsid w:val="705544F1"/>
    <w:rsid w:val="70943F91"/>
    <w:rsid w:val="70952446"/>
    <w:rsid w:val="70AA6621"/>
    <w:rsid w:val="70CB57E4"/>
    <w:rsid w:val="70CC29CF"/>
    <w:rsid w:val="7111480F"/>
    <w:rsid w:val="71261F49"/>
    <w:rsid w:val="712E6956"/>
    <w:rsid w:val="71473612"/>
    <w:rsid w:val="71504F32"/>
    <w:rsid w:val="7152309F"/>
    <w:rsid w:val="718F7F65"/>
    <w:rsid w:val="71BC1C54"/>
    <w:rsid w:val="71C275ED"/>
    <w:rsid w:val="724135AB"/>
    <w:rsid w:val="726C718E"/>
    <w:rsid w:val="727B234E"/>
    <w:rsid w:val="729B5AAC"/>
    <w:rsid w:val="72CA4CFA"/>
    <w:rsid w:val="72D068C7"/>
    <w:rsid w:val="72E42ED8"/>
    <w:rsid w:val="72E67C37"/>
    <w:rsid w:val="72EA6F5E"/>
    <w:rsid w:val="735F4CB9"/>
    <w:rsid w:val="73641BA0"/>
    <w:rsid w:val="73674C62"/>
    <w:rsid w:val="73845865"/>
    <w:rsid w:val="739B6D9E"/>
    <w:rsid w:val="739D59B5"/>
    <w:rsid w:val="73BC1D76"/>
    <w:rsid w:val="73FB6630"/>
    <w:rsid w:val="743707B0"/>
    <w:rsid w:val="747B5CC4"/>
    <w:rsid w:val="74872B0B"/>
    <w:rsid w:val="748D790E"/>
    <w:rsid w:val="749820CC"/>
    <w:rsid w:val="74B03BC8"/>
    <w:rsid w:val="74CE04EC"/>
    <w:rsid w:val="74D64715"/>
    <w:rsid w:val="74E76DCD"/>
    <w:rsid w:val="74E8719E"/>
    <w:rsid w:val="751D7C0A"/>
    <w:rsid w:val="75722D56"/>
    <w:rsid w:val="759B3C33"/>
    <w:rsid w:val="75DB5477"/>
    <w:rsid w:val="75FC6AC3"/>
    <w:rsid w:val="7616619B"/>
    <w:rsid w:val="766342D9"/>
    <w:rsid w:val="76660D7C"/>
    <w:rsid w:val="766C5968"/>
    <w:rsid w:val="76935841"/>
    <w:rsid w:val="76BE0C8F"/>
    <w:rsid w:val="76CD53B2"/>
    <w:rsid w:val="770719AC"/>
    <w:rsid w:val="770F494C"/>
    <w:rsid w:val="77594C26"/>
    <w:rsid w:val="776526CC"/>
    <w:rsid w:val="779411FC"/>
    <w:rsid w:val="77A262E1"/>
    <w:rsid w:val="77B13C33"/>
    <w:rsid w:val="77C43947"/>
    <w:rsid w:val="77D23501"/>
    <w:rsid w:val="77ED6F44"/>
    <w:rsid w:val="77F45548"/>
    <w:rsid w:val="780A155B"/>
    <w:rsid w:val="784B3123"/>
    <w:rsid w:val="784E7CA6"/>
    <w:rsid w:val="78574801"/>
    <w:rsid w:val="7873527F"/>
    <w:rsid w:val="78EF6D73"/>
    <w:rsid w:val="790A6425"/>
    <w:rsid w:val="790E2D96"/>
    <w:rsid w:val="791B54B2"/>
    <w:rsid w:val="79236388"/>
    <w:rsid w:val="79250DD1"/>
    <w:rsid w:val="795A0A34"/>
    <w:rsid w:val="797339C3"/>
    <w:rsid w:val="79B06543"/>
    <w:rsid w:val="79D11EE0"/>
    <w:rsid w:val="79D57D57"/>
    <w:rsid w:val="79F00650"/>
    <w:rsid w:val="7A510BD8"/>
    <w:rsid w:val="7A6242BF"/>
    <w:rsid w:val="7A794513"/>
    <w:rsid w:val="7AE952D2"/>
    <w:rsid w:val="7BC93DB2"/>
    <w:rsid w:val="7BDF10BD"/>
    <w:rsid w:val="7C032107"/>
    <w:rsid w:val="7C2872C7"/>
    <w:rsid w:val="7C38637B"/>
    <w:rsid w:val="7C4F72B8"/>
    <w:rsid w:val="7C765A7A"/>
    <w:rsid w:val="7C976D69"/>
    <w:rsid w:val="7CA70601"/>
    <w:rsid w:val="7CB643F8"/>
    <w:rsid w:val="7CCD0FCD"/>
    <w:rsid w:val="7CD752DA"/>
    <w:rsid w:val="7CDE40AB"/>
    <w:rsid w:val="7CF057E2"/>
    <w:rsid w:val="7D1548B5"/>
    <w:rsid w:val="7D391767"/>
    <w:rsid w:val="7D9B167A"/>
    <w:rsid w:val="7DF84014"/>
    <w:rsid w:val="7E1A0F87"/>
    <w:rsid w:val="7E207949"/>
    <w:rsid w:val="7E5C0A47"/>
    <w:rsid w:val="7E670C75"/>
    <w:rsid w:val="7EC32874"/>
    <w:rsid w:val="7EE24272"/>
    <w:rsid w:val="7EEA6053"/>
    <w:rsid w:val="7F0149D4"/>
    <w:rsid w:val="7F2D0B3A"/>
    <w:rsid w:val="7F3656A8"/>
    <w:rsid w:val="7F487C04"/>
    <w:rsid w:val="7F5E3FF8"/>
    <w:rsid w:val="7FB45F21"/>
    <w:rsid w:val="7FE57088"/>
    <w:rsid w:val="7FF37FA3"/>
    <w:rsid w:val="7FF976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numPr>
        <w:ilvl w:val="0"/>
        <w:numId w:val="1"/>
      </w:numPr>
      <w:tabs>
        <w:tab w:val="left" w:pos="0"/>
      </w:tabs>
      <w:spacing w:line="576" w:lineRule="auto"/>
      <w:outlineLvl w:val="0"/>
    </w:pPr>
    <w:rPr>
      <w:b/>
      <w:kern w:val="44"/>
      <w:sz w:val="4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9120</Words>
  <Characters>10475</Characters>
  <Lines>0</Lines>
  <Paragraphs>0</Paragraphs>
  <TotalTime>3</TotalTime>
  <ScaleCrop>false</ScaleCrop>
  <LinksUpToDate>false</LinksUpToDate>
  <CharactersWithSpaces>10490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2024-11-29T12:01:14Z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D624B15633CD43C8BF9435464A96BF70</vt:lpwstr>
  </property>
</Properties>
</file>