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181C7" w14:textId="77777777" w:rsidR="00FD6B74" w:rsidRDefault="00D526FC">
      <w:pPr>
        <w:widowControl/>
        <w:jc w:val="left"/>
        <w:rPr>
          <w:rFonts w:ascii="黑体" w:eastAsia="黑体" w:hAnsi="黑体" w:cs="宋体"/>
          <w:color w:val="333333"/>
          <w:sz w:val="32"/>
          <w:szCs w:val="32"/>
        </w:rPr>
      </w:pPr>
      <w:bookmarkStart w:id="0" w:name="_GoBack"/>
      <w:bookmarkEnd w:id="0"/>
      <w:r>
        <w:rPr>
          <w:rFonts w:ascii="黑体" w:eastAsia="黑体" w:hAnsi="黑体" w:cs="宋体" w:hint="eastAsia"/>
          <w:color w:val="333333"/>
          <w:sz w:val="32"/>
          <w:szCs w:val="32"/>
        </w:rPr>
        <w:t>附件</w:t>
      </w:r>
      <w:r>
        <w:rPr>
          <w:rFonts w:ascii="黑体" w:eastAsia="黑体" w:hAnsi="黑体" w:cs="宋体" w:hint="eastAsia"/>
          <w:color w:val="333333"/>
          <w:sz w:val="32"/>
          <w:szCs w:val="32"/>
        </w:rPr>
        <w:t>4</w:t>
      </w:r>
      <w:r>
        <w:rPr>
          <w:rFonts w:ascii="黑体" w:eastAsia="黑体" w:hAnsi="黑体" w:cs="宋体" w:hint="eastAsia"/>
          <w:color w:val="333333"/>
          <w:sz w:val="32"/>
          <w:szCs w:val="32"/>
        </w:rPr>
        <w:t>：</w:t>
      </w:r>
    </w:p>
    <w:p w14:paraId="6C9ECF4B" w14:textId="77777777" w:rsidR="00FD6B74" w:rsidRDefault="00FD6B74">
      <w:pPr>
        <w:spacing w:line="540" w:lineRule="exact"/>
        <w:jc w:val="center"/>
        <w:rPr>
          <w:rFonts w:ascii="方正小标宋_GBK" w:eastAsia="方正小标宋_GBK" w:hAnsi="华文中宋" w:cs="宋体"/>
          <w:b/>
          <w:kern w:val="0"/>
          <w:sz w:val="48"/>
          <w:szCs w:val="48"/>
        </w:rPr>
      </w:pPr>
    </w:p>
    <w:p w14:paraId="40B39AC3" w14:textId="77777777" w:rsidR="00FD6B74" w:rsidRDefault="00FD6B74">
      <w:pPr>
        <w:spacing w:line="540" w:lineRule="exact"/>
        <w:jc w:val="center"/>
        <w:rPr>
          <w:rFonts w:ascii="方正小标宋_GBK" w:eastAsia="方正小标宋_GBK" w:hAnsi="华文中宋" w:cs="宋体"/>
          <w:b/>
          <w:kern w:val="0"/>
          <w:sz w:val="48"/>
          <w:szCs w:val="48"/>
        </w:rPr>
      </w:pPr>
    </w:p>
    <w:p w14:paraId="6909E9E0" w14:textId="77777777" w:rsidR="00FD6B74" w:rsidRDefault="00FD6B74">
      <w:pPr>
        <w:spacing w:line="540" w:lineRule="exact"/>
        <w:jc w:val="center"/>
        <w:rPr>
          <w:rFonts w:ascii="方正小标宋_GBK" w:eastAsia="方正小标宋_GBK" w:hAnsi="华文中宋" w:cs="宋体"/>
          <w:b/>
          <w:kern w:val="0"/>
          <w:sz w:val="48"/>
          <w:szCs w:val="48"/>
        </w:rPr>
      </w:pPr>
    </w:p>
    <w:p w14:paraId="6A07502F" w14:textId="77777777" w:rsidR="00FD6B74" w:rsidRDefault="00FD6B74">
      <w:pPr>
        <w:spacing w:line="540" w:lineRule="exact"/>
        <w:jc w:val="center"/>
        <w:rPr>
          <w:rFonts w:ascii="方正小标宋_GBK" w:eastAsia="方正小标宋_GBK" w:hAnsi="华文中宋" w:cs="宋体"/>
          <w:b/>
          <w:kern w:val="0"/>
          <w:sz w:val="48"/>
          <w:szCs w:val="48"/>
        </w:rPr>
      </w:pPr>
    </w:p>
    <w:p w14:paraId="2A4293D1" w14:textId="77777777" w:rsidR="00FD6B74" w:rsidRDefault="00FD6B74">
      <w:pPr>
        <w:spacing w:line="540" w:lineRule="exact"/>
        <w:jc w:val="center"/>
        <w:rPr>
          <w:rFonts w:ascii="方正小标宋_GBK" w:eastAsia="方正小标宋_GBK" w:hAnsi="华文中宋" w:cs="宋体"/>
          <w:b/>
          <w:kern w:val="0"/>
          <w:sz w:val="48"/>
          <w:szCs w:val="48"/>
        </w:rPr>
      </w:pPr>
    </w:p>
    <w:p w14:paraId="1785F2FC" w14:textId="77777777" w:rsidR="00FD6B74" w:rsidRDefault="00FD6B74">
      <w:pPr>
        <w:spacing w:line="540" w:lineRule="exact"/>
        <w:jc w:val="center"/>
        <w:rPr>
          <w:rFonts w:ascii="方正小标宋_GBK" w:eastAsia="方正小标宋_GBK" w:hAnsi="华文中宋" w:cs="宋体"/>
          <w:b/>
          <w:kern w:val="0"/>
          <w:sz w:val="48"/>
          <w:szCs w:val="48"/>
        </w:rPr>
      </w:pPr>
    </w:p>
    <w:p w14:paraId="3BDA81CF" w14:textId="77777777" w:rsidR="00FD6B74" w:rsidRDefault="00D526F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部门单位整体支出绩效</w:t>
      </w:r>
    </w:p>
    <w:p w14:paraId="1C3ACDD3" w14:textId="77777777" w:rsidR="00FD6B74" w:rsidRDefault="00D526F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141610A8" w14:textId="77777777" w:rsidR="00FD6B74" w:rsidRDefault="00FD6B74">
      <w:pPr>
        <w:spacing w:line="540" w:lineRule="exact"/>
        <w:jc w:val="center"/>
        <w:rPr>
          <w:rFonts w:ascii="华文中宋" w:eastAsia="华文中宋" w:hAnsi="华文中宋" w:cs="宋体"/>
          <w:b/>
          <w:kern w:val="0"/>
          <w:sz w:val="52"/>
          <w:szCs w:val="52"/>
        </w:rPr>
      </w:pPr>
    </w:p>
    <w:p w14:paraId="7DCCF7B6" w14:textId="77777777" w:rsidR="00FD6B74" w:rsidRDefault="00D526F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2023</w:t>
      </w:r>
      <w:r>
        <w:rPr>
          <w:rFonts w:eastAsia="仿宋_GB2312" w:hAnsi="宋体" w:cs="宋体" w:hint="eastAsia"/>
          <w:kern w:val="0"/>
          <w:sz w:val="36"/>
          <w:szCs w:val="36"/>
        </w:rPr>
        <w:t>年度）</w:t>
      </w:r>
    </w:p>
    <w:p w14:paraId="70B16622" w14:textId="77777777" w:rsidR="00FD6B74" w:rsidRDefault="00FD6B74">
      <w:pPr>
        <w:spacing w:line="700" w:lineRule="exact"/>
        <w:jc w:val="left"/>
        <w:rPr>
          <w:rFonts w:eastAsia="仿宋_GB2312" w:hAnsi="宋体" w:cs="宋体"/>
          <w:kern w:val="0"/>
          <w:sz w:val="36"/>
          <w:szCs w:val="36"/>
        </w:rPr>
      </w:pPr>
    </w:p>
    <w:p w14:paraId="0635ECC8" w14:textId="77777777" w:rsidR="00FD6B74" w:rsidRDefault="00FD6B74">
      <w:pPr>
        <w:spacing w:line="700" w:lineRule="exact"/>
        <w:jc w:val="left"/>
        <w:rPr>
          <w:rFonts w:eastAsia="仿宋_GB2312" w:hAnsi="宋体" w:cs="宋体"/>
          <w:kern w:val="0"/>
          <w:sz w:val="36"/>
          <w:szCs w:val="36"/>
        </w:rPr>
      </w:pPr>
    </w:p>
    <w:p w14:paraId="072AA96D" w14:textId="77777777" w:rsidR="00FD6B74" w:rsidRDefault="00FD6B74">
      <w:pPr>
        <w:spacing w:line="700" w:lineRule="exact"/>
        <w:jc w:val="left"/>
        <w:rPr>
          <w:rFonts w:eastAsia="仿宋_GB2312" w:hAnsi="宋体" w:cs="宋体"/>
          <w:kern w:val="0"/>
          <w:sz w:val="36"/>
          <w:szCs w:val="36"/>
        </w:rPr>
      </w:pPr>
    </w:p>
    <w:p w14:paraId="16305C82" w14:textId="77777777" w:rsidR="00FD6B74" w:rsidRDefault="00FD6B74">
      <w:pPr>
        <w:spacing w:line="700" w:lineRule="exact"/>
        <w:jc w:val="left"/>
        <w:rPr>
          <w:rFonts w:eastAsia="仿宋_GB2312" w:hAnsi="宋体" w:cs="宋体"/>
          <w:kern w:val="0"/>
          <w:sz w:val="36"/>
          <w:szCs w:val="36"/>
        </w:rPr>
      </w:pPr>
    </w:p>
    <w:p w14:paraId="50C0DE0E" w14:textId="77777777" w:rsidR="00FD6B74" w:rsidRDefault="00FD6B74">
      <w:pPr>
        <w:spacing w:line="700" w:lineRule="exact"/>
        <w:jc w:val="left"/>
        <w:rPr>
          <w:rFonts w:eastAsia="仿宋_GB2312" w:hAnsi="宋体" w:cs="宋体"/>
          <w:kern w:val="0"/>
          <w:sz w:val="36"/>
          <w:szCs w:val="36"/>
        </w:rPr>
      </w:pPr>
    </w:p>
    <w:p w14:paraId="7E2163DA" w14:textId="77777777" w:rsidR="00FD6B74" w:rsidRDefault="00FD6B74">
      <w:pPr>
        <w:spacing w:line="700" w:lineRule="exact"/>
        <w:jc w:val="left"/>
        <w:rPr>
          <w:rFonts w:eastAsia="仿宋_GB2312" w:hAnsi="宋体" w:cs="宋体"/>
          <w:kern w:val="0"/>
          <w:sz w:val="36"/>
          <w:szCs w:val="36"/>
        </w:rPr>
      </w:pPr>
    </w:p>
    <w:p w14:paraId="2669EDCE" w14:textId="77777777" w:rsidR="00FD6B74" w:rsidRDefault="00FD6B74">
      <w:pPr>
        <w:spacing w:line="700" w:lineRule="exact"/>
        <w:jc w:val="left"/>
        <w:rPr>
          <w:rFonts w:eastAsia="仿宋_GB2312" w:hAnsi="宋体" w:cs="宋体"/>
          <w:kern w:val="0"/>
          <w:sz w:val="36"/>
          <w:szCs w:val="36"/>
        </w:rPr>
      </w:pPr>
    </w:p>
    <w:p w14:paraId="57671468" w14:textId="77777777" w:rsidR="00FD6B74" w:rsidRDefault="00FD6B74">
      <w:pPr>
        <w:spacing w:line="700" w:lineRule="exact"/>
        <w:jc w:val="left"/>
        <w:rPr>
          <w:rFonts w:eastAsia="仿宋_GB2312" w:hAnsi="宋体" w:cs="宋体"/>
          <w:kern w:val="0"/>
          <w:sz w:val="36"/>
          <w:szCs w:val="36"/>
        </w:rPr>
      </w:pPr>
    </w:p>
    <w:p w14:paraId="7E7AE366" w14:textId="77777777" w:rsidR="00FD6B74" w:rsidRDefault="00D526FC">
      <w:pPr>
        <w:spacing w:line="540" w:lineRule="exact"/>
        <w:ind w:firstLineChars="200" w:firstLine="720"/>
        <w:rPr>
          <w:rFonts w:eastAsia="仿宋_GB2312" w:hAnsi="宋体" w:cs="宋体"/>
          <w:kern w:val="0"/>
          <w:sz w:val="44"/>
          <w:szCs w:val="44"/>
        </w:rPr>
      </w:pPr>
      <w:r>
        <w:rPr>
          <w:rFonts w:eastAsia="仿宋_GB2312" w:hAnsi="宋体" w:cs="宋体" w:hint="eastAsia"/>
          <w:kern w:val="0"/>
          <w:sz w:val="36"/>
          <w:szCs w:val="36"/>
        </w:rPr>
        <w:t>部门单位名称（公章）</w:t>
      </w:r>
      <w:r>
        <w:rPr>
          <w:rFonts w:ascii="仿宋" w:eastAsia="仿宋" w:hAnsi="仿宋" w:cs="仿宋" w:hint="eastAsia"/>
          <w:kern w:val="0"/>
          <w:sz w:val="44"/>
          <w:szCs w:val="44"/>
        </w:rPr>
        <w:t>：</w:t>
      </w:r>
      <w:r>
        <w:rPr>
          <w:rStyle w:val="a7"/>
          <w:rFonts w:ascii="仿宋" w:eastAsia="仿宋" w:hAnsi="仿宋" w:cs="仿宋" w:hint="eastAsia"/>
          <w:b w:val="0"/>
          <w:bCs w:val="0"/>
          <w:spacing w:val="-4"/>
          <w:sz w:val="44"/>
          <w:szCs w:val="44"/>
        </w:rPr>
        <w:t>库尔勒市总工会</w:t>
      </w:r>
    </w:p>
    <w:p w14:paraId="0ACD41F8" w14:textId="77777777" w:rsidR="00FD6B74" w:rsidRDefault="00D526FC">
      <w:pPr>
        <w:spacing w:line="540" w:lineRule="exact"/>
        <w:ind w:firstLineChars="200" w:firstLine="720"/>
        <w:rPr>
          <w:rFonts w:ascii="仿宋" w:eastAsia="仿宋" w:hAnsi="仿宋" w:cs="仿宋"/>
          <w:kern w:val="0"/>
          <w:sz w:val="44"/>
          <w:szCs w:val="44"/>
        </w:rPr>
      </w:pPr>
      <w:r>
        <w:rPr>
          <w:rFonts w:eastAsia="仿宋_GB2312" w:hAnsi="宋体" w:cs="宋体" w:hint="eastAsia"/>
          <w:kern w:val="0"/>
          <w:sz w:val="36"/>
          <w:szCs w:val="36"/>
        </w:rPr>
        <w:t>填报时间：</w:t>
      </w:r>
      <w:r>
        <w:rPr>
          <w:rStyle w:val="a7"/>
          <w:rFonts w:ascii="仿宋" w:eastAsia="仿宋" w:hAnsi="仿宋" w:cs="仿宋" w:hint="eastAsia"/>
          <w:b w:val="0"/>
          <w:bCs w:val="0"/>
          <w:spacing w:val="-4"/>
          <w:sz w:val="44"/>
          <w:szCs w:val="44"/>
        </w:rPr>
        <w:t>2024</w:t>
      </w:r>
      <w:r>
        <w:rPr>
          <w:rStyle w:val="a7"/>
          <w:rFonts w:ascii="仿宋" w:eastAsia="仿宋" w:hAnsi="仿宋" w:cs="仿宋" w:hint="eastAsia"/>
          <w:b w:val="0"/>
          <w:bCs w:val="0"/>
          <w:spacing w:val="-4"/>
          <w:sz w:val="44"/>
          <w:szCs w:val="44"/>
        </w:rPr>
        <w:t>年</w:t>
      </w:r>
      <w:r>
        <w:rPr>
          <w:rStyle w:val="a7"/>
          <w:rFonts w:ascii="仿宋" w:eastAsia="仿宋" w:hAnsi="仿宋" w:cs="仿宋" w:hint="eastAsia"/>
          <w:b w:val="0"/>
          <w:bCs w:val="0"/>
          <w:spacing w:val="-4"/>
          <w:sz w:val="44"/>
          <w:szCs w:val="44"/>
        </w:rPr>
        <w:t>04</w:t>
      </w:r>
      <w:r>
        <w:rPr>
          <w:rStyle w:val="a7"/>
          <w:rFonts w:ascii="仿宋" w:eastAsia="仿宋" w:hAnsi="仿宋" w:cs="仿宋" w:hint="eastAsia"/>
          <w:b w:val="0"/>
          <w:bCs w:val="0"/>
          <w:spacing w:val="-4"/>
          <w:sz w:val="44"/>
          <w:szCs w:val="44"/>
        </w:rPr>
        <w:t>月</w:t>
      </w:r>
      <w:r>
        <w:rPr>
          <w:rStyle w:val="a7"/>
          <w:rFonts w:ascii="仿宋" w:eastAsia="仿宋" w:hAnsi="仿宋" w:cs="仿宋" w:hint="eastAsia"/>
          <w:b w:val="0"/>
          <w:bCs w:val="0"/>
          <w:spacing w:val="-4"/>
          <w:sz w:val="44"/>
          <w:szCs w:val="44"/>
        </w:rPr>
        <w:t>22</w:t>
      </w:r>
      <w:r>
        <w:rPr>
          <w:rStyle w:val="a7"/>
          <w:rFonts w:ascii="仿宋" w:eastAsia="仿宋" w:hAnsi="仿宋" w:cs="仿宋" w:hint="eastAsia"/>
          <w:b w:val="0"/>
          <w:bCs w:val="0"/>
          <w:spacing w:val="-4"/>
          <w:sz w:val="44"/>
          <w:szCs w:val="44"/>
        </w:rPr>
        <w:t>日</w:t>
      </w:r>
    </w:p>
    <w:p w14:paraId="55355F9C" w14:textId="77777777" w:rsidR="00FD6B74" w:rsidRDefault="00FD6B74">
      <w:pPr>
        <w:spacing w:line="700" w:lineRule="exact"/>
        <w:jc w:val="left"/>
        <w:rPr>
          <w:rFonts w:eastAsia="仿宋_GB2312" w:hAnsi="宋体" w:cs="宋体"/>
          <w:kern w:val="0"/>
          <w:sz w:val="36"/>
          <w:szCs w:val="36"/>
        </w:rPr>
      </w:pPr>
    </w:p>
    <w:p w14:paraId="3AF18679" w14:textId="77777777" w:rsidR="00FD6B74" w:rsidRDefault="00FD6B74">
      <w:pPr>
        <w:spacing w:line="700" w:lineRule="exact"/>
        <w:jc w:val="left"/>
        <w:rPr>
          <w:rFonts w:eastAsia="仿宋_GB2312" w:hAnsi="宋体" w:cs="宋体"/>
          <w:kern w:val="0"/>
          <w:sz w:val="36"/>
          <w:szCs w:val="36"/>
        </w:rPr>
      </w:pPr>
    </w:p>
    <w:p w14:paraId="3BDC2E87" w14:textId="77777777" w:rsidR="00FD6B74" w:rsidRDefault="00D526FC">
      <w:pPr>
        <w:numPr>
          <w:ilvl w:val="0"/>
          <w:numId w:val="1"/>
        </w:numPr>
        <w:snapToGrid w:val="0"/>
        <w:spacing w:line="540" w:lineRule="exac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基本概况：</w:t>
      </w:r>
    </w:p>
    <w:p w14:paraId="097AA583" w14:textId="77777777" w:rsidR="00FD6B74" w:rsidRDefault="00D526FC">
      <w:pPr>
        <w:spacing w:line="600" w:lineRule="exact"/>
        <w:ind w:firstLineChars="300" w:firstLine="964"/>
        <w:jc w:val="left"/>
        <w:rPr>
          <w:rFonts w:ascii="Arial" w:hAnsi="Arial" w:cs="Arial"/>
          <w:b/>
          <w:bCs/>
          <w:color w:val="333333"/>
          <w:sz w:val="30"/>
          <w:szCs w:val="30"/>
        </w:rPr>
      </w:pPr>
      <w:r>
        <w:rPr>
          <w:rFonts w:ascii="黑体" w:eastAsia="黑体" w:hAnsi="黑体" w:cs="宋体" w:hint="eastAsia"/>
          <w:b/>
          <w:color w:val="000000" w:themeColor="text1"/>
          <w:sz w:val="32"/>
          <w:szCs w:val="32"/>
        </w:rPr>
        <w:t>（一）</w:t>
      </w:r>
      <w:r>
        <w:rPr>
          <w:rFonts w:ascii="黑体" w:eastAsia="黑体" w:hAnsi="黑体" w:cs="宋体"/>
          <w:b/>
          <w:color w:val="000000" w:themeColor="text1"/>
          <w:sz w:val="32"/>
          <w:szCs w:val="32"/>
        </w:rPr>
        <w:t>部门单位基本情况</w:t>
      </w:r>
      <w:r>
        <w:rPr>
          <w:rFonts w:ascii="Arial" w:hAnsi="Arial" w:cs="Arial" w:hint="eastAsia"/>
          <w:b/>
          <w:bCs/>
          <w:color w:val="333333"/>
          <w:sz w:val="30"/>
          <w:szCs w:val="30"/>
        </w:rPr>
        <w:t>：</w:t>
      </w:r>
    </w:p>
    <w:p w14:paraId="5BC854EA"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部门职能</w:t>
      </w:r>
      <w:r>
        <w:rPr>
          <w:rFonts w:ascii="仿宋_GB2312" w:eastAsia="仿宋_GB2312" w:hAnsi="宋体" w:hint="eastAsia"/>
          <w:bCs/>
          <w:sz w:val="32"/>
          <w:szCs w:val="32"/>
        </w:rPr>
        <w:br/>
      </w:r>
      <w:r>
        <w:rPr>
          <w:rFonts w:ascii="仿宋_GB2312" w:eastAsia="仿宋_GB2312" w:hAnsi="宋体" w:hint="eastAsia"/>
          <w:bCs/>
          <w:sz w:val="32"/>
          <w:szCs w:val="32"/>
        </w:rPr>
        <w:t>维护职工合法权益。工会在企业、事业单位中，通过平等协商和集体合同制度，协调劳动关系，维护职工权益。工会依法通过职工代表大会或其他形式，组织职工参与本单位的民主决策、民主管理和民主监督。协助自治州人民政府做好劳动模范的推荐、评选和管理工作；负责全国劳动模范、全国“五一”劳动奖章、奖状和“开发建设新疆”奖章、奖状获得者的评选、推荐和管理工作，承担库尔勒市党委、库尔勒市人民政府交办的其他工作。工会密切联系职工，是党和政府联系职工群众的纽带。</w:t>
      </w:r>
      <w:r>
        <w:rPr>
          <w:rFonts w:ascii="仿宋_GB2312" w:eastAsia="仿宋_GB2312" w:hAnsi="宋体" w:hint="eastAsia"/>
          <w:bCs/>
          <w:sz w:val="32"/>
          <w:szCs w:val="32"/>
        </w:rPr>
        <w:br/>
        <w:t>2.</w:t>
      </w:r>
      <w:r>
        <w:rPr>
          <w:rFonts w:ascii="仿宋_GB2312" w:eastAsia="仿宋_GB2312" w:hAnsi="宋体" w:hint="eastAsia"/>
          <w:bCs/>
          <w:sz w:val="32"/>
          <w:szCs w:val="32"/>
        </w:rPr>
        <w:t>部门机构人员构成情况</w:t>
      </w:r>
      <w:r>
        <w:rPr>
          <w:rFonts w:ascii="仿宋_GB2312" w:eastAsia="仿宋_GB2312" w:hAnsi="宋体" w:hint="eastAsia"/>
          <w:bCs/>
          <w:sz w:val="32"/>
          <w:szCs w:val="32"/>
        </w:rPr>
        <w:br/>
      </w:r>
      <w:r>
        <w:rPr>
          <w:rFonts w:ascii="仿宋_GB2312" w:eastAsia="仿宋_GB2312" w:hAnsi="宋体" w:hint="eastAsia"/>
          <w:bCs/>
          <w:sz w:val="32"/>
          <w:szCs w:val="32"/>
        </w:rPr>
        <w:t>库尔勒市总工会单位编制数</w:t>
      </w:r>
      <w:r>
        <w:rPr>
          <w:rFonts w:ascii="仿宋_GB2312" w:eastAsia="仿宋_GB2312" w:hAnsi="宋体" w:hint="eastAsia"/>
          <w:bCs/>
          <w:sz w:val="32"/>
          <w:szCs w:val="32"/>
        </w:rPr>
        <w:t>12</w:t>
      </w:r>
      <w:r>
        <w:rPr>
          <w:rFonts w:ascii="仿宋_GB2312" w:eastAsia="仿宋_GB2312" w:hAnsi="宋体" w:hint="eastAsia"/>
          <w:bCs/>
          <w:sz w:val="32"/>
          <w:szCs w:val="32"/>
        </w:rPr>
        <w:t>人，实有人数</w:t>
      </w:r>
      <w:r>
        <w:rPr>
          <w:rFonts w:ascii="仿宋_GB2312" w:eastAsia="仿宋_GB2312" w:hAnsi="宋体" w:hint="eastAsia"/>
          <w:bCs/>
          <w:sz w:val="32"/>
          <w:szCs w:val="32"/>
        </w:rPr>
        <w:t>12</w:t>
      </w:r>
      <w:r>
        <w:rPr>
          <w:rFonts w:ascii="仿宋_GB2312" w:eastAsia="仿宋_GB2312" w:hAnsi="宋体" w:hint="eastAsia"/>
          <w:bCs/>
          <w:sz w:val="32"/>
          <w:szCs w:val="32"/>
        </w:rPr>
        <w:t>人</w:t>
      </w:r>
      <w:r>
        <w:rPr>
          <w:rFonts w:ascii="仿宋_GB2312" w:eastAsia="仿宋_GB2312" w:hAnsi="宋体" w:hint="eastAsia"/>
          <w:bCs/>
          <w:sz w:val="32"/>
          <w:szCs w:val="32"/>
        </w:rPr>
        <w:t>，其中：在职</w:t>
      </w:r>
      <w:r>
        <w:rPr>
          <w:rFonts w:ascii="仿宋_GB2312" w:eastAsia="仿宋_GB2312" w:hAnsi="宋体" w:hint="eastAsia"/>
          <w:bCs/>
          <w:sz w:val="32"/>
          <w:szCs w:val="32"/>
        </w:rPr>
        <w:t>5</w:t>
      </w:r>
      <w:r>
        <w:rPr>
          <w:rFonts w:ascii="仿宋_GB2312" w:eastAsia="仿宋_GB2312" w:hAnsi="宋体" w:hint="eastAsia"/>
          <w:bCs/>
          <w:sz w:val="32"/>
          <w:szCs w:val="32"/>
        </w:rPr>
        <w:t>人；退休</w:t>
      </w:r>
      <w:r>
        <w:rPr>
          <w:rFonts w:ascii="仿宋_GB2312" w:eastAsia="仿宋_GB2312" w:hAnsi="宋体" w:hint="eastAsia"/>
          <w:bCs/>
          <w:sz w:val="32"/>
          <w:szCs w:val="32"/>
        </w:rPr>
        <w:t>7</w:t>
      </w:r>
      <w:r>
        <w:rPr>
          <w:rFonts w:ascii="仿宋_GB2312" w:eastAsia="仿宋_GB2312" w:hAnsi="宋体" w:hint="eastAsia"/>
          <w:bCs/>
          <w:sz w:val="32"/>
          <w:szCs w:val="32"/>
        </w:rPr>
        <w:t>人；离休</w:t>
      </w:r>
      <w:r>
        <w:rPr>
          <w:rFonts w:ascii="仿宋_GB2312" w:eastAsia="仿宋_GB2312" w:hAnsi="宋体" w:hint="eastAsia"/>
          <w:bCs/>
          <w:sz w:val="32"/>
          <w:szCs w:val="32"/>
        </w:rPr>
        <w:t>0</w:t>
      </w:r>
      <w:r>
        <w:rPr>
          <w:rFonts w:ascii="仿宋_GB2312" w:eastAsia="仿宋_GB2312" w:hAnsi="宋体" w:hint="eastAsia"/>
          <w:bCs/>
          <w:sz w:val="32"/>
          <w:szCs w:val="32"/>
        </w:rPr>
        <w:t>人。</w:t>
      </w:r>
      <w:bookmarkStart w:id="1" w:name="_Hlk43849111"/>
      <w:bookmarkEnd w:id="1"/>
    </w:p>
    <w:p w14:paraId="3C2B1362" w14:textId="77777777" w:rsidR="00FD6B74" w:rsidRDefault="00D526FC">
      <w:pPr>
        <w:spacing w:line="600" w:lineRule="exact"/>
        <w:ind w:firstLineChars="300" w:firstLine="964"/>
        <w:jc w:val="lef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（二）</w:t>
      </w:r>
      <w:r>
        <w:rPr>
          <w:rFonts w:ascii="黑体" w:eastAsia="黑体" w:hAnsi="黑体" w:cs="宋体"/>
          <w:b/>
          <w:color w:val="000000" w:themeColor="text1"/>
          <w:sz w:val="32"/>
          <w:szCs w:val="32"/>
        </w:rPr>
        <w:t>部门单位年度重点工作：</w:t>
      </w:r>
    </w:p>
    <w:p w14:paraId="76D09593"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1.2023</w:t>
      </w:r>
      <w:r>
        <w:rPr>
          <w:rFonts w:ascii="仿宋_GB2312" w:eastAsia="仿宋_GB2312" w:hAnsi="宋体" w:hint="eastAsia"/>
          <w:bCs/>
          <w:sz w:val="32"/>
          <w:szCs w:val="32"/>
        </w:rPr>
        <w:t>年度工作计划</w:t>
      </w:r>
      <w:r>
        <w:rPr>
          <w:rFonts w:ascii="仿宋_GB2312" w:eastAsia="仿宋_GB2312" w:hAnsi="宋体" w:hint="eastAsia"/>
          <w:bCs/>
          <w:sz w:val="32"/>
          <w:szCs w:val="32"/>
        </w:rPr>
        <w:br/>
        <w:t>1</w:t>
      </w:r>
      <w:r>
        <w:rPr>
          <w:rFonts w:ascii="仿宋_GB2312" w:eastAsia="仿宋_GB2312" w:hAnsi="宋体" w:hint="eastAsia"/>
          <w:bCs/>
          <w:sz w:val="32"/>
          <w:szCs w:val="32"/>
        </w:rPr>
        <w:t>：加大对职工安全生产和职业病防治的教育培训力度，提升职工安全意识和安全技能素质，计划开展职工培训不少于</w:t>
      </w:r>
      <w:r>
        <w:rPr>
          <w:rFonts w:ascii="仿宋_GB2312" w:eastAsia="仿宋_GB2312" w:hAnsi="宋体" w:hint="eastAsia"/>
          <w:bCs/>
          <w:sz w:val="32"/>
          <w:szCs w:val="32"/>
        </w:rPr>
        <w:t>2</w:t>
      </w:r>
      <w:r>
        <w:rPr>
          <w:rFonts w:ascii="仿宋_GB2312" w:eastAsia="仿宋_GB2312" w:hAnsi="宋体" w:hint="eastAsia"/>
          <w:bCs/>
          <w:sz w:val="32"/>
          <w:szCs w:val="32"/>
        </w:rPr>
        <w:t>次；为依法推进企业集体协商和集体合同工作，构建和谐劳动关系，计划签订各类工资集体协商合同不少于</w:t>
      </w:r>
      <w:r>
        <w:rPr>
          <w:rFonts w:ascii="仿宋_GB2312" w:eastAsia="仿宋_GB2312" w:hAnsi="宋体" w:hint="eastAsia"/>
          <w:bCs/>
          <w:sz w:val="32"/>
          <w:szCs w:val="32"/>
        </w:rPr>
        <w:t>5</w:t>
      </w:r>
      <w:r>
        <w:rPr>
          <w:rFonts w:ascii="仿宋_GB2312" w:eastAsia="仿宋_GB2312" w:hAnsi="宋体" w:hint="eastAsia"/>
          <w:bCs/>
          <w:sz w:val="32"/>
          <w:szCs w:val="32"/>
        </w:rPr>
        <w:t>份；加强困难职工入户走访，每月开展</w:t>
      </w:r>
      <w:r>
        <w:rPr>
          <w:rFonts w:ascii="仿宋_GB2312" w:eastAsia="仿宋_GB2312" w:hAnsi="宋体" w:hint="eastAsia"/>
          <w:bCs/>
          <w:sz w:val="32"/>
          <w:szCs w:val="32"/>
        </w:rPr>
        <w:t>1</w:t>
      </w:r>
      <w:r>
        <w:rPr>
          <w:rFonts w:ascii="仿宋_GB2312" w:eastAsia="仿宋_GB2312" w:hAnsi="宋体" w:hint="eastAsia"/>
          <w:bCs/>
          <w:sz w:val="32"/>
          <w:szCs w:val="32"/>
        </w:rPr>
        <w:t>次在册困难职工情况分析</w:t>
      </w:r>
      <w:proofErr w:type="gramStart"/>
      <w:r>
        <w:rPr>
          <w:rFonts w:ascii="仿宋_GB2312" w:eastAsia="仿宋_GB2312" w:hAnsi="宋体" w:hint="eastAsia"/>
          <w:bCs/>
          <w:sz w:val="32"/>
          <w:szCs w:val="32"/>
        </w:rPr>
        <w:t>研</w:t>
      </w:r>
      <w:proofErr w:type="gramEnd"/>
      <w:r>
        <w:rPr>
          <w:rFonts w:ascii="仿宋_GB2312" w:eastAsia="仿宋_GB2312" w:hAnsi="宋体" w:hint="eastAsia"/>
          <w:bCs/>
          <w:sz w:val="32"/>
          <w:szCs w:val="32"/>
        </w:rPr>
        <w:t>判，积极开展帮扶政策培训。</w:t>
      </w:r>
      <w:r>
        <w:rPr>
          <w:rFonts w:ascii="仿宋_GB2312" w:eastAsia="仿宋_GB2312" w:hAnsi="宋体" w:hint="eastAsia"/>
          <w:bCs/>
          <w:sz w:val="32"/>
          <w:szCs w:val="32"/>
        </w:rPr>
        <w:br/>
        <w:t>2</w:t>
      </w:r>
      <w:r>
        <w:rPr>
          <w:rFonts w:ascii="仿宋_GB2312" w:eastAsia="仿宋_GB2312" w:hAnsi="宋体" w:hint="eastAsia"/>
          <w:bCs/>
          <w:sz w:val="32"/>
          <w:szCs w:val="32"/>
        </w:rPr>
        <w:t>：力弘扬劳模精神、劳动精神、工匠精神，开展各类宣传宣讲活动不</w:t>
      </w:r>
      <w:r>
        <w:rPr>
          <w:rFonts w:ascii="仿宋_GB2312" w:eastAsia="仿宋_GB2312" w:hAnsi="宋体" w:hint="eastAsia"/>
          <w:bCs/>
          <w:sz w:val="32"/>
          <w:szCs w:val="32"/>
        </w:rPr>
        <w:lastRenderedPageBreak/>
        <w:t>少于</w:t>
      </w:r>
      <w:r>
        <w:rPr>
          <w:rFonts w:ascii="仿宋_GB2312" w:eastAsia="仿宋_GB2312" w:hAnsi="宋体" w:hint="eastAsia"/>
          <w:bCs/>
          <w:sz w:val="32"/>
          <w:szCs w:val="32"/>
        </w:rPr>
        <w:t>3</w:t>
      </w:r>
      <w:r>
        <w:rPr>
          <w:rFonts w:ascii="仿宋_GB2312" w:eastAsia="仿宋_GB2312" w:hAnsi="宋体" w:hint="eastAsia"/>
          <w:bCs/>
          <w:sz w:val="32"/>
          <w:szCs w:val="32"/>
        </w:rPr>
        <w:t>次。通过推介各单位的典型做法，促进各单位相互学习和交流，加</w:t>
      </w:r>
      <w:r>
        <w:rPr>
          <w:rFonts w:ascii="仿宋_GB2312" w:eastAsia="仿宋_GB2312" w:hAnsi="宋体" w:hint="eastAsia"/>
          <w:bCs/>
          <w:sz w:val="32"/>
          <w:szCs w:val="32"/>
        </w:rPr>
        <w:t>深对企事业单位经营管理。进一步做好各类数据的汇总建档工作。</w:t>
      </w:r>
      <w:r>
        <w:rPr>
          <w:rFonts w:ascii="仿宋_GB2312" w:eastAsia="仿宋_GB2312" w:hAnsi="宋体" w:hint="eastAsia"/>
          <w:bCs/>
          <w:sz w:val="32"/>
          <w:szCs w:val="32"/>
        </w:rPr>
        <w:br/>
        <w:t>3</w:t>
      </w:r>
      <w:r>
        <w:rPr>
          <w:rFonts w:ascii="仿宋_GB2312" w:eastAsia="仿宋_GB2312" w:hAnsi="宋体" w:hint="eastAsia"/>
          <w:bCs/>
          <w:sz w:val="32"/>
          <w:szCs w:val="32"/>
        </w:rPr>
        <w:t>：加强和巩固基层基础。加强社会化工会工作者队伍建设，推动新经济组织、新社会组织工会建设，推动乡镇（街道）——村（社区）——企业小三级工会组织体系建设</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机构人员保障情况</w:t>
      </w:r>
      <w:r>
        <w:rPr>
          <w:rFonts w:ascii="仿宋_GB2312" w:eastAsia="仿宋_GB2312" w:hAnsi="宋体" w:hint="eastAsia"/>
          <w:bCs/>
          <w:sz w:val="32"/>
          <w:szCs w:val="32"/>
        </w:rPr>
        <w:br/>
      </w:r>
      <w:r>
        <w:rPr>
          <w:rFonts w:ascii="仿宋_GB2312" w:eastAsia="仿宋_GB2312" w:hAnsi="宋体" w:hint="eastAsia"/>
          <w:bCs/>
          <w:sz w:val="32"/>
          <w:szCs w:val="32"/>
        </w:rPr>
        <w:t>库尔勒市总工会单位</w:t>
      </w:r>
      <w:r>
        <w:rPr>
          <w:rFonts w:ascii="仿宋_GB2312" w:eastAsia="仿宋_GB2312" w:hAnsi="宋体" w:hint="eastAsia"/>
          <w:bCs/>
          <w:sz w:val="32"/>
          <w:szCs w:val="32"/>
        </w:rPr>
        <w:t>2023</w:t>
      </w:r>
      <w:r>
        <w:rPr>
          <w:rFonts w:ascii="仿宋_GB2312" w:eastAsia="仿宋_GB2312" w:hAnsi="宋体" w:hint="eastAsia"/>
          <w:bCs/>
          <w:sz w:val="32"/>
          <w:szCs w:val="32"/>
        </w:rPr>
        <w:t>年通过本部门预算支出，确保了</w:t>
      </w:r>
      <w:r>
        <w:rPr>
          <w:rFonts w:ascii="仿宋_GB2312" w:eastAsia="仿宋_GB2312" w:hAnsi="宋体" w:hint="eastAsia"/>
          <w:bCs/>
          <w:sz w:val="32"/>
          <w:szCs w:val="32"/>
        </w:rPr>
        <w:t>5</w:t>
      </w:r>
      <w:r>
        <w:rPr>
          <w:rFonts w:ascii="仿宋_GB2312" w:eastAsia="仿宋_GB2312" w:hAnsi="宋体" w:hint="eastAsia"/>
          <w:bCs/>
          <w:sz w:val="32"/>
          <w:szCs w:val="32"/>
        </w:rPr>
        <w:t>名在职人员的工资、津贴、补贴、社保、绩效、公积金等以及</w:t>
      </w:r>
      <w:r>
        <w:rPr>
          <w:rFonts w:ascii="仿宋_GB2312" w:eastAsia="仿宋_GB2312" w:hAnsi="宋体" w:hint="eastAsia"/>
          <w:bCs/>
          <w:sz w:val="32"/>
          <w:szCs w:val="32"/>
        </w:rPr>
        <w:t>7</w:t>
      </w:r>
      <w:r>
        <w:rPr>
          <w:rFonts w:ascii="仿宋_GB2312" w:eastAsia="仿宋_GB2312" w:hAnsi="宋体" w:hint="eastAsia"/>
          <w:bCs/>
          <w:sz w:val="32"/>
          <w:szCs w:val="32"/>
        </w:rPr>
        <w:t>名离退休人员的工资、医疗费等。人员保障性经费能够依规、按时、足额发放或缴纳，提升部门人员工作积极性和服务质量。同时，保障了部门全年正常运转，为部门正常履职和开展综合</w:t>
      </w:r>
      <w:r>
        <w:rPr>
          <w:rFonts w:ascii="仿宋_GB2312" w:eastAsia="仿宋_GB2312" w:hAnsi="宋体" w:hint="eastAsia"/>
          <w:bCs/>
          <w:sz w:val="32"/>
          <w:szCs w:val="32"/>
        </w:rPr>
        <w:t>性事务管理提供有效支撑，确保了公用保障性经费按照财政安排和相关工作要求及时支出。</w:t>
      </w:r>
    </w:p>
    <w:p w14:paraId="0D731C8D" w14:textId="77777777" w:rsidR="00FD6B74" w:rsidRDefault="00D526FC">
      <w:pPr>
        <w:spacing w:line="600" w:lineRule="exact"/>
        <w:ind w:firstLineChars="300" w:firstLine="964"/>
        <w:jc w:val="lef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（三）</w:t>
      </w:r>
      <w:r>
        <w:rPr>
          <w:rFonts w:ascii="黑体" w:eastAsia="黑体" w:hAnsi="黑体" w:cs="宋体"/>
          <w:b/>
          <w:color w:val="000000" w:themeColor="text1"/>
          <w:sz w:val="32"/>
          <w:szCs w:val="32"/>
        </w:rPr>
        <w:t>部门单位整体预算规模及安排情况：</w:t>
      </w:r>
    </w:p>
    <w:p w14:paraId="47E08029"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年初预算安排</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年初安排预算数为</w:t>
      </w:r>
      <w:r>
        <w:rPr>
          <w:rFonts w:ascii="仿宋_GB2312" w:eastAsia="仿宋_GB2312" w:hAnsi="宋体" w:hint="eastAsia"/>
          <w:bCs/>
          <w:sz w:val="32"/>
          <w:szCs w:val="32"/>
        </w:rPr>
        <w:t>95.22</w:t>
      </w:r>
      <w:r>
        <w:rPr>
          <w:rFonts w:ascii="仿宋_GB2312" w:eastAsia="仿宋_GB2312" w:hAnsi="宋体" w:hint="eastAsia"/>
          <w:bCs/>
          <w:sz w:val="32"/>
          <w:szCs w:val="32"/>
        </w:rPr>
        <w:t>万元，其中</w:t>
      </w:r>
      <w:r>
        <w:rPr>
          <w:rFonts w:ascii="仿宋_GB2312" w:eastAsia="仿宋_GB2312" w:hAnsi="宋体" w:hint="eastAsia"/>
          <w:bCs/>
          <w:sz w:val="32"/>
          <w:szCs w:val="32"/>
        </w:rPr>
        <w:t>:</w:t>
      </w:r>
      <w:r>
        <w:rPr>
          <w:rFonts w:ascii="仿宋_GB2312" w:eastAsia="仿宋_GB2312" w:hAnsi="宋体" w:hint="eastAsia"/>
          <w:bCs/>
          <w:sz w:val="32"/>
          <w:szCs w:val="32"/>
        </w:rPr>
        <w:t>上级安排</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本级安排</w:t>
      </w:r>
      <w:r>
        <w:rPr>
          <w:rFonts w:ascii="仿宋_GB2312" w:eastAsia="仿宋_GB2312" w:hAnsi="宋体" w:hint="eastAsia"/>
          <w:bCs/>
          <w:sz w:val="32"/>
          <w:szCs w:val="32"/>
        </w:rPr>
        <w:t>95.22</w:t>
      </w:r>
      <w:r>
        <w:rPr>
          <w:rFonts w:ascii="仿宋_GB2312" w:eastAsia="仿宋_GB2312" w:hAnsi="宋体" w:hint="eastAsia"/>
          <w:bCs/>
          <w:sz w:val="32"/>
          <w:szCs w:val="32"/>
        </w:rPr>
        <w:t>万元，其他资金</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br/>
      </w:r>
      <w:r>
        <w:rPr>
          <w:rFonts w:ascii="仿宋_GB2312" w:eastAsia="仿宋_GB2312" w:hAnsi="宋体" w:hint="eastAsia"/>
          <w:bCs/>
          <w:sz w:val="32"/>
          <w:szCs w:val="32"/>
        </w:rPr>
        <w:t>综上所述，部门预算安排与本单位职能关联度较高，预算安排结构清晰明了，能够直观展示各项费用的分配情况，预算规模合理，为单位的稳健发展和高效运行提供了有力保障。</w:t>
      </w:r>
      <w:r>
        <w:rPr>
          <w:rFonts w:ascii="仿宋_GB2312" w:eastAsia="仿宋_GB2312" w:hAnsi="宋体" w:hint="eastAsia"/>
          <w:bCs/>
          <w:sz w:val="32"/>
          <w:szCs w:val="32"/>
        </w:rPr>
        <w:br/>
        <w:t>2.</w:t>
      </w:r>
      <w:r>
        <w:rPr>
          <w:rFonts w:ascii="仿宋_GB2312" w:eastAsia="仿宋_GB2312" w:hAnsi="宋体" w:hint="eastAsia"/>
          <w:bCs/>
          <w:sz w:val="32"/>
          <w:szCs w:val="32"/>
        </w:rPr>
        <w:t>预算年中调整情况</w:t>
      </w:r>
      <w:r>
        <w:rPr>
          <w:rFonts w:ascii="仿宋_GB2312" w:eastAsia="仿宋_GB2312" w:hAnsi="宋体" w:hint="eastAsia"/>
          <w:bCs/>
          <w:sz w:val="32"/>
          <w:szCs w:val="32"/>
        </w:rPr>
        <w:br/>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w:t>
      </w:r>
      <w:r>
        <w:rPr>
          <w:rFonts w:ascii="仿宋_GB2312" w:eastAsia="仿宋_GB2312" w:hAnsi="宋体" w:hint="eastAsia"/>
          <w:bCs/>
          <w:sz w:val="32"/>
          <w:szCs w:val="32"/>
        </w:rPr>
        <w:t>95.22</w:t>
      </w:r>
      <w:r>
        <w:rPr>
          <w:rFonts w:ascii="仿宋_GB2312" w:eastAsia="仿宋_GB2312" w:hAnsi="宋体" w:hint="eastAsia"/>
          <w:bCs/>
          <w:sz w:val="32"/>
          <w:szCs w:val="32"/>
        </w:rPr>
        <w:t>万元，年中调整数</w:t>
      </w:r>
      <w:r>
        <w:rPr>
          <w:rFonts w:ascii="仿宋_GB2312" w:eastAsia="仿宋_GB2312" w:hAnsi="宋体" w:hint="eastAsia"/>
          <w:bCs/>
          <w:sz w:val="32"/>
          <w:szCs w:val="32"/>
        </w:rPr>
        <w:t>+2.38</w:t>
      </w:r>
      <w:r>
        <w:rPr>
          <w:rFonts w:ascii="仿宋_GB2312" w:eastAsia="仿宋_GB2312" w:hAnsi="宋体" w:hint="eastAsia"/>
          <w:bCs/>
          <w:sz w:val="32"/>
          <w:szCs w:val="32"/>
        </w:rPr>
        <w:t>万元，调整后全年预算数</w:t>
      </w:r>
      <w:r>
        <w:rPr>
          <w:rFonts w:ascii="仿宋_GB2312" w:eastAsia="仿宋_GB2312" w:hAnsi="宋体" w:hint="eastAsia"/>
          <w:bCs/>
          <w:sz w:val="32"/>
          <w:szCs w:val="32"/>
        </w:rPr>
        <w:t>9</w:t>
      </w:r>
      <w:r>
        <w:rPr>
          <w:rFonts w:ascii="仿宋_GB2312" w:eastAsia="仿宋_GB2312" w:hAnsi="宋体" w:hint="eastAsia"/>
          <w:bCs/>
          <w:sz w:val="32"/>
          <w:szCs w:val="32"/>
        </w:rPr>
        <w:t>7.6</w:t>
      </w:r>
      <w:r>
        <w:rPr>
          <w:rFonts w:ascii="仿宋_GB2312" w:eastAsia="仿宋_GB2312" w:hAnsi="宋体" w:hint="eastAsia"/>
          <w:bCs/>
          <w:sz w:val="32"/>
          <w:szCs w:val="32"/>
        </w:rPr>
        <w:t>万元，预算调整率</w:t>
      </w:r>
      <w:r>
        <w:rPr>
          <w:rFonts w:ascii="仿宋_GB2312" w:eastAsia="仿宋_GB2312" w:hAnsi="宋体" w:hint="eastAsia"/>
          <w:bCs/>
          <w:sz w:val="32"/>
          <w:szCs w:val="32"/>
        </w:rPr>
        <w:t>2.5%</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综上所述，年中预算调整幅度与本单位运转情况和履职情况相匹配，</w:t>
      </w:r>
      <w:r>
        <w:rPr>
          <w:rFonts w:ascii="仿宋_GB2312" w:eastAsia="仿宋_GB2312" w:hAnsi="宋体" w:hint="eastAsia"/>
          <w:bCs/>
          <w:sz w:val="32"/>
          <w:szCs w:val="32"/>
        </w:rPr>
        <w:lastRenderedPageBreak/>
        <w:t>未出现资金收支不平衡以及债务风险等负面影响，确保了预算调整的合理性和必要性。</w:t>
      </w:r>
      <w:r>
        <w:rPr>
          <w:rFonts w:ascii="仿宋_GB2312" w:eastAsia="仿宋_GB2312" w:hAnsi="宋体" w:hint="eastAsia"/>
          <w:bCs/>
          <w:sz w:val="32"/>
          <w:szCs w:val="32"/>
        </w:rPr>
        <w:br/>
        <w:t>3.</w:t>
      </w:r>
      <w:r>
        <w:rPr>
          <w:rFonts w:ascii="仿宋_GB2312" w:eastAsia="仿宋_GB2312" w:hAnsi="宋体" w:hint="eastAsia"/>
          <w:bCs/>
          <w:sz w:val="32"/>
          <w:szCs w:val="32"/>
        </w:rPr>
        <w:t>资金使用主要内容、涉及的范围</w:t>
      </w:r>
      <w:r>
        <w:rPr>
          <w:rFonts w:ascii="仿宋_GB2312" w:eastAsia="仿宋_GB2312" w:hAnsi="宋体" w:hint="eastAsia"/>
          <w:bCs/>
          <w:sz w:val="32"/>
          <w:szCs w:val="32"/>
        </w:rPr>
        <w:br/>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年度部门整体支出为</w:t>
      </w:r>
      <w:r>
        <w:rPr>
          <w:rFonts w:ascii="仿宋_GB2312" w:eastAsia="仿宋_GB2312" w:hAnsi="宋体" w:hint="eastAsia"/>
          <w:bCs/>
          <w:sz w:val="32"/>
          <w:szCs w:val="32"/>
        </w:rPr>
        <w:t>97.6</w:t>
      </w:r>
      <w:r>
        <w:rPr>
          <w:rFonts w:ascii="仿宋_GB2312" w:eastAsia="仿宋_GB2312" w:hAnsi="宋体" w:hint="eastAsia"/>
          <w:bCs/>
          <w:sz w:val="32"/>
          <w:szCs w:val="32"/>
        </w:rPr>
        <w:t>万元，其中：</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）基本支出</w:t>
      </w:r>
      <w:r>
        <w:rPr>
          <w:rFonts w:ascii="仿宋_GB2312" w:eastAsia="仿宋_GB2312" w:hAnsi="宋体" w:hint="eastAsia"/>
          <w:bCs/>
          <w:sz w:val="32"/>
          <w:szCs w:val="32"/>
        </w:rPr>
        <w:t>97.6</w:t>
      </w:r>
      <w:r>
        <w:rPr>
          <w:rFonts w:ascii="仿宋_GB2312" w:eastAsia="仿宋_GB2312" w:hAnsi="宋体" w:hint="eastAsia"/>
          <w:bCs/>
          <w:sz w:val="32"/>
          <w:szCs w:val="32"/>
        </w:rPr>
        <w:t>万元，主要用于：基本工资、津贴补贴、奖金、机关事业单位基本养老保险缴费、职业年金缴费、职工基本医疗保险缴费、办公费、差旅费、维修（护）费、福利费、退休费，抚恤金，生活补助，其他个人补助支出等。</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）项目支出</w:t>
      </w:r>
      <w:r>
        <w:rPr>
          <w:rFonts w:ascii="仿宋_GB2312" w:eastAsia="仿宋_GB2312" w:hAnsi="宋体" w:hint="eastAsia"/>
          <w:bCs/>
          <w:sz w:val="32"/>
          <w:szCs w:val="32"/>
        </w:rPr>
        <w:t>0</w:t>
      </w:r>
      <w:r>
        <w:rPr>
          <w:rFonts w:ascii="仿宋_GB2312" w:eastAsia="仿宋_GB2312" w:hAnsi="宋体" w:hint="eastAsia"/>
          <w:bCs/>
          <w:sz w:val="32"/>
          <w:szCs w:val="32"/>
        </w:rPr>
        <w:t>万元。</w:t>
      </w:r>
    </w:p>
    <w:p w14:paraId="6DAEC9F0" w14:textId="77777777" w:rsidR="00FD6B74" w:rsidRDefault="00D526FC">
      <w:pPr>
        <w:numPr>
          <w:ilvl w:val="0"/>
          <w:numId w:val="1"/>
        </w:numPr>
        <w:snapToGrid w:val="0"/>
        <w:spacing w:line="540" w:lineRule="exac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部门单位整体</w:t>
      </w:r>
      <w:r>
        <w:rPr>
          <w:rFonts w:ascii="黑体" w:eastAsia="黑体" w:hAnsi="黑体" w:cs="宋体" w:hint="eastAsia"/>
          <w:b/>
          <w:color w:val="000000" w:themeColor="text1"/>
          <w:sz w:val="32"/>
          <w:szCs w:val="32"/>
        </w:rPr>
        <w:t>支出管理及使用情况：</w:t>
      </w:r>
    </w:p>
    <w:p w14:paraId="167A81E9"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（一）基本支出投入、管理和使用情况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基本支出投入和使用情况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基本支出年初预算安排</w:t>
      </w:r>
      <w:r>
        <w:rPr>
          <w:rFonts w:ascii="仿宋_GB2312" w:eastAsia="仿宋_GB2312" w:hAnsi="宋体" w:hint="eastAsia"/>
          <w:bCs/>
          <w:sz w:val="32"/>
          <w:szCs w:val="32"/>
        </w:rPr>
        <w:t>95.22</w:t>
      </w:r>
      <w:r>
        <w:rPr>
          <w:rFonts w:ascii="仿宋_GB2312" w:eastAsia="仿宋_GB2312" w:hAnsi="宋体" w:hint="eastAsia"/>
          <w:bCs/>
          <w:sz w:val="32"/>
          <w:szCs w:val="32"/>
        </w:rPr>
        <w:t>万元，全年预算数</w:t>
      </w:r>
      <w:r>
        <w:rPr>
          <w:rFonts w:ascii="仿宋_GB2312" w:eastAsia="仿宋_GB2312" w:hAnsi="宋体" w:hint="eastAsia"/>
          <w:bCs/>
          <w:sz w:val="32"/>
          <w:szCs w:val="32"/>
        </w:rPr>
        <w:t>97.6</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97.6</w:t>
      </w:r>
      <w:r>
        <w:rPr>
          <w:rFonts w:ascii="仿宋_GB2312" w:eastAsia="仿宋_GB2312" w:hAnsi="宋体" w:hint="eastAsia"/>
          <w:bCs/>
          <w:sz w:val="32"/>
          <w:szCs w:val="32"/>
        </w:rPr>
        <w:t>万元，其中：人员经费</w:t>
      </w:r>
      <w:r>
        <w:rPr>
          <w:rFonts w:ascii="仿宋_GB2312" w:eastAsia="仿宋_GB2312" w:hAnsi="宋体" w:hint="eastAsia"/>
          <w:bCs/>
          <w:sz w:val="32"/>
          <w:szCs w:val="32"/>
        </w:rPr>
        <w:t>92.96</w:t>
      </w:r>
      <w:r>
        <w:rPr>
          <w:rFonts w:ascii="仿宋_GB2312" w:eastAsia="仿宋_GB2312" w:hAnsi="宋体" w:hint="eastAsia"/>
          <w:bCs/>
          <w:sz w:val="32"/>
          <w:szCs w:val="32"/>
        </w:rPr>
        <w:t>万元，公用经费</w:t>
      </w:r>
      <w:r>
        <w:rPr>
          <w:rFonts w:ascii="仿宋_GB2312" w:eastAsia="仿宋_GB2312" w:hAnsi="宋体" w:hint="eastAsia"/>
          <w:bCs/>
          <w:sz w:val="32"/>
          <w:szCs w:val="32"/>
        </w:rPr>
        <w:t>4.64</w:t>
      </w:r>
      <w:r>
        <w:rPr>
          <w:rFonts w:ascii="仿宋_GB2312" w:eastAsia="仿宋_GB2312" w:hAnsi="宋体" w:hint="eastAsia"/>
          <w:bCs/>
          <w:sz w:val="32"/>
          <w:szCs w:val="32"/>
        </w:rPr>
        <w:t>万元。全年预算执行率</w:t>
      </w:r>
      <w:r>
        <w:rPr>
          <w:rFonts w:ascii="仿宋_GB2312" w:eastAsia="仿宋_GB2312" w:hAnsi="宋体" w:hint="eastAsia"/>
          <w:bCs/>
          <w:sz w:val="32"/>
          <w:szCs w:val="32"/>
        </w:rPr>
        <w:t>100.00%</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基本支出管理情况</w:t>
      </w:r>
      <w:r>
        <w:rPr>
          <w:rFonts w:ascii="仿宋_GB2312" w:eastAsia="仿宋_GB2312" w:hAnsi="宋体" w:hint="eastAsia"/>
          <w:bCs/>
          <w:sz w:val="32"/>
          <w:szCs w:val="32"/>
        </w:rPr>
        <w:br/>
      </w:r>
      <w:r>
        <w:rPr>
          <w:rFonts w:ascii="仿宋_GB2312" w:eastAsia="仿宋_GB2312" w:hAnsi="宋体" w:hint="eastAsia"/>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w:t>
      </w:r>
      <w:r>
        <w:rPr>
          <w:rFonts w:ascii="仿宋_GB2312" w:eastAsia="仿宋_GB2312" w:hAnsi="宋体" w:hint="eastAsia"/>
          <w:bCs/>
          <w:sz w:val="32"/>
          <w:szCs w:val="32"/>
        </w:rPr>
        <w:t>维修及购买车辆保险。</w:t>
      </w:r>
      <w:r>
        <w:rPr>
          <w:rFonts w:ascii="仿宋_GB2312" w:eastAsia="仿宋_GB2312" w:hAnsi="宋体" w:hint="eastAsia"/>
          <w:bCs/>
          <w:sz w:val="32"/>
          <w:szCs w:val="32"/>
        </w:rPr>
        <w:br/>
      </w:r>
      <w:r>
        <w:rPr>
          <w:rFonts w:ascii="仿宋_GB2312" w:eastAsia="仿宋_GB2312" w:hAnsi="宋体" w:hint="eastAsia"/>
          <w:bCs/>
          <w:sz w:val="32"/>
          <w:szCs w:val="32"/>
        </w:rPr>
        <w:t>（二）项目支出投入、管理和使用情况</w:t>
      </w:r>
      <w:r>
        <w:rPr>
          <w:rFonts w:ascii="仿宋_GB2312" w:eastAsia="仿宋_GB2312" w:hAnsi="宋体" w:hint="eastAsia"/>
          <w:bCs/>
          <w:sz w:val="32"/>
          <w:szCs w:val="32"/>
        </w:rPr>
        <w:br/>
      </w:r>
      <w:r>
        <w:rPr>
          <w:rFonts w:ascii="仿宋_GB2312" w:eastAsia="仿宋_GB2312" w:hAnsi="宋体" w:hint="eastAsia"/>
          <w:bCs/>
          <w:sz w:val="32"/>
          <w:szCs w:val="32"/>
        </w:rPr>
        <w:t>本单位</w:t>
      </w:r>
      <w:r>
        <w:rPr>
          <w:rFonts w:ascii="仿宋_GB2312" w:eastAsia="仿宋_GB2312" w:hAnsi="宋体" w:hint="eastAsia"/>
          <w:bCs/>
          <w:sz w:val="32"/>
          <w:szCs w:val="32"/>
        </w:rPr>
        <w:t>2023</w:t>
      </w:r>
      <w:r>
        <w:rPr>
          <w:rFonts w:ascii="仿宋_GB2312" w:eastAsia="仿宋_GB2312" w:hAnsi="宋体" w:hint="eastAsia"/>
          <w:bCs/>
          <w:sz w:val="32"/>
          <w:szCs w:val="32"/>
        </w:rPr>
        <w:t>年未安排项目支出。</w:t>
      </w:r>
    </w:p>
    <w:p w14:paraId="12B3D360" w14:textId="77777777" w:rsidR="00FD6B74" w:rsidRDefault="00D526FC">
      <w:pPr>
        <w:numPr>
          <w:ilvl w:val="0"/>
          <w:numId w:val="1"/>
        </w:numPr>
        <w:snapToGrid w:val="0"/>
        <w:spacing w:line="540" w:lineRule="exac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部门单位整体支出绩效分析：</w:t>
      </w:r>
    </w:p>
    <w:p w14:paraId="6BD5B897" w14:textId="77777777" w:rsidR="00FD6B74" w:rsidRDefault="00D526FC">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rPr>
        <w:lastRenderedPageBreak/>
        <w:t xml:space="preserve"> </w:t>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ascii="仿宋_GB2312" w:eastAsia="仿宋_GB2312" w:hAnsi="宋体" w:hint="eastAsia"/>
          <w:bCs/>
          <w:sz w:val="32"/>
          <w:szCs w:val="32"/>
        </w:rPr>
        <w:br/>
      </w:r>
      <w:r>
        <w:rPr>
          <w:rFonts w:ascii="仿宋_GB2312" w:eastAsia="仿宋_GB2312" w:hAnsi="宋体" w:hint="eastAsia"/>
          <w:bCs/>
          <w:sz w:val="32"/>
          <w:szCs w:val="32"/>
        </w:rPr>
        <w:t>我单位将部门单位整体绩效目标细化分解为具体的绩效指标，一级指标共</w:t>
      </w:r>
      <w:r>
        <w:rPr>
          <w:rFonts w:ascii="仿宋_GB2312" w:eastAsia="仿宋_GB2312" w:hAnsi="宋体" w:hint="eastAsia"/>
          <w:bCs/>
          <w:sz w:val="32"/>
          <w:szCs w:val="32"/>
        </w:rPr>
        <w:t>1</w:t>
      </w:r>
      <w:r>
        <w:rPr>
          <w:rFonts w:ascii="仿宋_GB2312" w:eastAsia="仿宋_GB2312" w:hAnsi="宋体" w:hint="eastAsia"/>
          <w:bCs/>
          <w:sz w:val="32"/>
          <w:szCs w:val="32"/>
        </w:rPr>
        <w:t>条，二级指标共</w:t>
      </w:r>
      <w:r>
        <w:rPr>
          <w:rFonts w:ascii="仿宋_GB2312" w:eastAsia="仿宋_GB2312" w:hAnsi="宋体" w:hint="eastAsia"/>
          <w:bCs/>
          <w:sz w:val="32"/>
          <w:szCs w:val="32"/>
        </w:rPr>
        <w:t>1</w:t>
      </w:r>
      <w:r>
        <w:rPr>
          <w:rFonts w:ascii="仿宋_GB2312" w:eastAsia="仿宋_GB2312" w:hAnsi="宋体" w:hint="eastAsia"/>
          <w:bCs/>
          <w:sz w:val="32"/>
          <w:szCs w:val="32"/>
        </w:rPr>
        <w:t>条，三级指标共</w:t>
      </w:r>
      <w:r>
        <w:rPr>
          <w:rFonts w:ascii="仿宋_GB2312" w:eastAsia="仿宋_GB2312" w:hAnsi="宋体" w:hint="eastAsia"/>
          <w:bCs/>
          <w:sz w:val="32"/>
          <w:szCs w:val="32"/>
        </w:rPr>
        <w:t>4</w:t>
      </w:r>
      <w:r>
        <w:rPr>
          <w:rFonts w:ascii="仿宋_GB2312" w:eastAsia="仿宋_GB2312" w:hAnsi="宋体" w:hint="eastAsia"/>
          <w:bCs/>
          <w:sz w:val="32"/>
          <w:szCs w:val="32"/>
        </w:rPr>
        <w:t>条，其中量化指标条数共</w:t>
      </w:r>
      <w:r>
        <w:rPr>
          <w:rFonts w:ascii="仿宋_GB2312" w:eastAsia="仿宋_GB2312" w:hAnsi="宋体" w:hint="eastAsia"/>
          <w:bCs/>
          <w:sz w:val="32"/>
          <w:szCs w:val="32"/>
        </w:rPr>
        <w:t>4</w:t>
      </w:r>
      <w:r>
        <w:rPr>
          <w:rFonts w:ascii="仿宋_GB2312" w:eastAsia="仿宋_GB2312" w:hAnsi="宋体" w:hint="eastAsia"/>
          <w:bCs/>
          <w:sz w:val="32"/>
          <w:szCs w:val="32"/>
        </w:rPr>
        <w:t>条，所有绩效指标均通过清晰、可衡量的指标</w:t>
      </w:r>
      <w:proofErr w:type="gramStart"/>
      <w:r>
        <w:rPr>
          <w:rFonts w:ascii="仿宋_GB2312" w:eastAsia="仿宋_GB2312" w:hAnsi="宋体" w:hint="eastAsia"/>
          <w:bCs/>
          <w:sz w:val="32"/>
          <w:szCs w:val="32"/>
        </w:rPr>
        <w:t>值予以</w:t>
      </w:r>
      <w:proofErr w:type="gramEnd"/>
      <w:r>
        <w:rPr>
          <w:rFonts w:ascii="仿宋_GB2312" w:eastAsia="仿宋_GB2312" w:hAnsi="宋体" w:hint="eastAsia"/>
          <w:bCs/>
          <w:sz w:val="32"/>
          <w:szCs w:val="32"/>
        </w:rPr>
        <w:t>体现。</w:t>
      </w:r>
      <w:r>
        <w:rPr>
          <w:rFonts w:ascii="仿宋_GB2312" w:eastAsia="仿宋_GB2312" w:hAnsi="宋体" w:hint="eastAsia"/>
          <w:bCs/>
          <w:sz w:val="32"/>
          <w:szCs w:val="32"/>
        </w:rPr>
        <w:br/>
      </w:r>
      <w:r>
        <w:rPr>
          <w:rFonts w:ascii="仿宋_GB2312" w:eastAsia="仿宋_GB2312" w:hAnsi="宋体" w:hint="eastAsia"/>
          <w:bCs/>
          <w:sz w:val="32"/>
          <w:szCs w:val="32"/>
        </w:rPr>
        <w:t>（一）指标</w:t>
      </w:r>
      <w:proofErr w:type="gramStart"/>
      <w:r>
        <w:rPr>
          <w:rFonts w:ascii="仿宋_GB2312" w:eastAsia="仿宋_GB2312" w:hAnsi="宋体" w:hint="eastAsia"/>
          <w:bCs/>
          <w:sz w:val="32"/>
          <w:szCs w:val="32"/>
        </w:rPr>
        <w:t>一</w:t>
      </w:r>
      <w:proofErr w:type="gramEnd"/>
      <w:r>
        <w:rPr>
          <w:rFonts w:ascii="仿宋_GB2312" w:eastAsia="仿宋_GB2312" w:hAnsi="宋体" w:hint="eastAsia"/>
          <w:bCs/>
          <w:sz w:val="32"/>
          <w:szCs w:val="32"/>
        </w:rPr>
        <w:t>：运行成本</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（二）指标二：管理效率</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（三）指标三：履职效能</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1</w:t>
      </w:r>
      <w:r>
        <w:rPr>
          <w:rFonts w:ascii="仿宋_GB2312" w:eastAsia="仿宋_GB2312" w:hAnsi="宋体" w:hint="eastAsia"/>
          <w:bCs/>
          <w:sz w:val="32"/>
          <w:szCs w:val="32"/>
        </w:rPr>
        <w:t>：开展职工培训次数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&gt;=2</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=1</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=2</w:t>
      </w:r>
      <w:r>
        <w:rPr>
          <w:rFonts w:ascii="仿宋_GB2312" w:eastAsia="仿宋_GB2312" w:hAnsi="宋体" w:hint="eastAsia"/>
          <w:bCs/>
          <w:sz w:val="32"/>
          <w:szCs w:val="32"/>
        </w:rPr>
        <w:t>次；指标完成率：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；成效分析：通过单位正常运转，提高了职工职业水平。</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2</w:t>
      </w:r>
      <w:r>
        <w:rPr>
          <w:rFonts w:ascii="仿宋_GB2312" w:eastAsia="仿宋_GB2312" w:hAnsi="宋体" w:hint="eastAsia"/>
          <w:bCs/>
          <w:sz w:val="32"/>
          <w:szCs w:val="32"/>
        </w:rPr>
        <w:t>：开展各类宣传宣讲活动次数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w:t>
      </w:r>
      <w:r>
        <w:rPr>
          <w:rFonts w:ascii="仿宋_GB2312" w:eastAsia="仿宋_GB2312" w:hAnsi="宋体" w:hint="eastAsia"/>
          <w:bCs/>
          <w:sz w:val="32"/>
          <w:szCs w:val="32"/>
        </w:rPr>
        <w:t>3</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=1</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=2</w:t>
      </w:r>
      <w:r>
        <w:rPr>
          <w:rFonts w:ascii="仿宋_GB2312" w:eastAsia="仿宋_GB2312" w:hAnsi="宋体" w:hint="eastAsia"/>
          <w:bCs/>
          <w:sz w:val="32"/>
          <w:szCs w:val="32"/>
        </w:rPr>
        <w:t>次；指标完成率：</w:t>
      </w:r>
      <w:r>
        <w:rPr>
          <w:rFonts w:ascii="仿宋_GB2312" w:eastAsia="仿宋_GB2312" w:hAnsi="宋体" w:hint="eastAsia"/>
          <w:bCs/>
          <w:sz w:val="32"/>
          <w:szCs w:val="32"/>
        </w:rPr>
        <w:t>66.67%</w:t>
      </w:r>
      <w:r>
        <w:rPr>
          <w:rFonts w:ascii="仿宋_GB2312" w:eastAsia="仿宋_GB2312" w:hAnsi="宋体" w:hint="eastAsia"/>
          <w:bCs/>
          <w:sz w:val="32"/>
          <w:szCs w:val="32"/>
        </w:rPr>
        <w:t>；成效分析：通过单位正常运转，提高了群众对工会政策了解。偏差原因：按全年实际工作执行；下一步措施：加强预期目标的执行。</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3</w:t>
      </w:r>
      <w:r>
        <w:rPr>
          <w:rFonts w:ascii="仿宋_GB2312" w:eastAsia="仿宋_GB2312" w:hAnsi="宋体" w:hint="eastAsia"/>
          <w:bCs/>
          <w:sz w:val="32"/>
          <w:szCs w:val="32"/>
        </w:rPr>
        <w:t>：开展在册困难职工情况分析</w:t>
      </w:r>
      <w:proofErr w:type="gramStart"/>
      <w:r>
        <w:rPr>
          <w:rFonts w:ascii="仿宋_GB2312" w:eastAsia="仿宋_GB2312" w:hAnsi="宋体" w:hint="eastAsia"/>
          <w:bCs/>
          <w:sz w:val="32"/>
          <w:szCs w:val="32"/>
        </w:rPr>
        <w:t>研</w:t>
      </w:r>
      <w:proofErr w:type="gramEnd"/>
      <w:r>
        <w:rPr>
          <w:rFonts w:ascii="仿宋_GB2312" w:eastAsia="仿宋_GB2312" w:hAnsi="宋体" w:hint="eastAsia"/>
          <w:bCs/>
          <w:sz w:val="32"/>
          <w:szCs w:val="32"/>
        </w:rPr>
        <w:t>判次数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&gt;=12</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=6</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=12</w:t>
      </w:r>
      <w:r>
        <w:rPr>
          <w:rFonts w:ascii="仿宋_GB2312" w:eastAsia="仿宋_GB2312" w:hAnsi="宋体" w:hint="eastAsia"/>
          <w:bCs/>
          <w:sz w:val="32"/>
          <w:szCs w:val="32"/>
        </w:rPr>
        <w:t>次；指标完成率：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；成效分析：通过单位正常运转，加强解决困难职工工作生活</w:t>
      </w:r>
      <w:r>
        <w:rPr>
          <w:rFonts w:ascii="仿宋_GB2312" w:eastAsia="仿宋_GB2312" w:hAnsi="宋体" w:hint="eastAsia"/>
          <w:bCs/>
          <w:sz w:val="32"/>
          <w:szCs w:val="32"/>
        </w:rPr>
        <w:lastRenderedPageBreak/>
        <w:t>问题。</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4</w:t>
      </w:r>
      <w:r>
        <w:rPr>
          <w:rFonts w:ascii="仿宋_GB2312" w:eastAsia="仿宋_GB2312" w:hAnsi="宋体" w:hint="eastAsia"/>
          <w:bCs/>
          <w:sz w:val="32"/>
          <w:szCs w:val="32"/>
        </w:rPr>
        <w:t>：签订工资集体协商合同数量</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&gt;=5</w:t>
      </w:r>
      <w:r>
        <w:rPr>
          <w:rFonts w:ascii="仿宋_GB2312" w:eastAsia="仿宋_GB2312" w:hAnsi="宋体" w:hint="eastAsia"/>
          <w:bCs/>
          <w:sz w:val="32"/>
          <w:szCs w:val="32"/>
        </w:rPr>
        <w:t>份；监控节点完成值：</w:t>
      </w:r>
      <w:r>
        <w:rPr>
          <w:rFonts w:ascii="仿宋_GB2312" w:eastAsia="仿宋_GB2312" w:hAnsi="宋体" w:hint="eastAsia"/>
          <w:bCs/>
          <w:sz w:val="32"/>
          <w:szCs w:val="32"/>
        </w:rPr>
        <w:t>=2</w:t>
      </w:r>
      <w:r>
        <w:rPr>
          <w:rFonts w:ascii="仿宋_GB2312" w:eastAsia="仿宋_GB2312" w:hAnsi="宋体" w:hint="eastAsia"/>
          <w:bCs/>
          <w:sz w:val="32"/>
          <w:szCs w:val="32"/>
        </w:rPr>
        <w:t>份；评价实际完成值：</w:t>
      </w:r>
      <w:r>
        <w:rPr>
          <w:rFonts w:ascii="仿宋_GB2312" w:eastAsia="仿宋_GB2312" w:hAnsi="宋体" w:hint="eastAsia"/>
          <w:bCs/>
          <w:sz w:val="32"/>
          <w:szCs w:val="32"/>
        </w:rPr>
        <w:t>=</w:t>
      </w:r>
      <w:r>
        <w:rPr>
          <w:rFonts w:ascii="仿宋_GB2312" w:eastAsia="仿宋_GB2312" w:hAnsi="宋体" w:hint="eastAsia"/>
          <w:bCs/>
          <w:sz w:val="32"/>
          <w:szCs w:val="32"/>
        </w:rPr>
        <w:t>3</w:t>
      </w:r>
      <w:r>
        <w:rPr>
          <w:rFonts w:ascii="仿宋_GB2312" w:eastAsia="仿宋_GB2312" w:hAnsi="宋体" w:hint="eastAsia"/>
          <w:bCs/>
          <w:sz w:val="32"/>
          <w:szCs w:val="32"/>
        </w:rPr>
        <w:t>份；指标完成率：</w:t>
      </w:r>
      <w:r>
        <w:rPr>
          <w:rFonts w:ascii="仿宋_GB2312" w:eastAsia="仿宋_GB2312" w:hAnsi="宋体" w:hint="eastAsia"/>
          <w:bCs/>
          <w:sz w:val="32"/>
          <w:szCs w:val="32"/>
        </w:rPr>
        <w:t>60.00%</w:t>
      </w:r>
      <w:r>
        <w:rPr>
          <w:rFonts w:ascii="仿宋_GB2312" w:eastAsia="仿宋_GB2312" w:hAnsi="宋体" w:hint="eastAsia"/>
          <w:bCs/>
          <w:sz w:val="32"/>
          <w:szCs w:val="32"/>
        </w:rPr>
        <w:t>；成效分析：通过单位正常运转，提高了职工就业情况，偏差原因：预期目标设置不精准；下一步措施：加强预期目标设定。</w:t>
      </w:r>
      <w:r>
        <w:rPr>
          <w:rFonts w:ascii="仿宋_GB2312" w:eastAsia="仿宋_GB2312" w:hAnsi="宋体" w:hint="eastAsia"/>
          <w:bCs/>
          <w:sz w:val="32"/>
          <w:szCs w:val="32"/>
        </w:rPr>
        <w:br/>
      </w:r>
      <w:r>
        <w:rPr>
          <w:rFonts w:ascii="仿宋_GB2312" w:eastAsia="仿宋_GB2312" w:hAnsi="宋体" w:hint="eastAsia"/>
          <w:bCs/>
          <w:sz w:val="32"/>
          <w:szCs w:val="32"/>
        </w:rPr>
        <w:t>（四）指标四：社会效益</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（五）指标五：可持续发展能力</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（六）指标六：服务对象满意度</w:t>
      </w:r>
      <w:r>
        <w:rPr>
          <w:rFonts w:ascii="仿宋_GB2312" w:eastAsia="仿宋_GB2312" w:hAnsi="宋体" w:hint="eastAsia"/>
          <w:bCs/>
          <w:sz w:val="32"/>
          <w:szCs w:val="32"/>
        </w:rPr>
        <w:br/>
      </w:r>
      <w:r>
        <w:rPr>
          <w:rFonts w:ascii="仿宋_GB2312" w:eastAsia="仿宋_GB2312" w:hAnsi="宋体" w:hint="eastAsia"/>
          <w:bCs/>
          <w:sz w:val="32"/>
          <w:szCs w:val="32"/>
        </w:rPr>
        <w:t>无此项指标。</w:t>
      </w:r>
    </w:p>
    <w:p w14:paraId="69A03633" w14:textId="77777777" w:rsidR="00FD6B74" w:rsidRDefault="00D526FC">
      <w:pPr>
        <w:numPr>
          <w:ilvl w:val="0"/>
          <w:numId w:val="1"/>
        </w:numPr>
        <w:snapToGrid w:val="0"/>
        <w:spacing w:line="540" w:lineRule="exac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评价结论：</w:t>
      </w:r>
    </w:p>
    <w:p w14:paraId="493E2BAE"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ascii="仿宋_GB2312" w:eastAsia="仿宋_GB2312" w:hAnsi="宋体" w:hint="eastAsia"/>
          <w:bCs/>
          <w:sz w:val="32"/>
          <w:szCs w:val="32"/>
        </w:rPr>
        <w:br/>
        <w:t>2023</w:t>
      </w:r>
      <w:r>
        <w:rPr>
          <w:rFonts w:ascii="仿宋_GB2312" w:eastAsia="仿宋_GB2312" w:hAnsi="宋体" w:hint="eastAsia"/>
          <w:bCs/>
          <w:sz w:val="32"/>
          <w:szCs w:val="32"/>
        </w:rPr>
        <w:t>年度部门整体支出绩效自评综合得分</w:t>
      </w:r>
      <w:r>
        <w:rPr>
          <w:rFonts w:ascii="仿宋_GB2312" w:eastAsia="仿宋_GB2312" w:hAnsi="宋体" w:hint="eastAsia"/>
          <w:bCs/>
          <w:sz w:val="32"/>
          <w:szCs w:val="32"/>
        </w:rPr>
        <w:t>83.3</w:t>
      </w:r>
      <w:r>
        <w:rPr>
          <w:rFonts w:ascii="仿宋_GB2312" w:eastAsia="仿宋_GB2312" w:hAnsi="宋体" w:hint="eastAsia"/>
          <w:bCs/>
          <w:sz w:val="32"/>
          <w:szCs w:val="32"/>
        </w:rPr>
        <w:t>分，评价结</w:t>
      </w:r>
      <w:r>
        <w:rPr>
          <w:rFonts w:ascii="仿宋_GB2312" w:eastAsia="仿宋_GB2312" w:hAnsi="宋体" w:hint="eastAsia"/>
          <w:bCs/>
          <w:sz w:val="32"/>
          <w:szCs w:val="32"/>
        </w:rPr>
        <w:t>果为良。</w:t>
      </w:r>
    </w:p>
    <w:p w14:paraId="637007FB" w14:textId="77777777" w:rsidR="00FD6B74" w:rsidRDefault="00D526FC">
      <w:pPr>
        <w:numPr>
          <w:ilvl w:val="0"/>
          <w:numId w:val="1"/>
        </w:numPr>
        <w:snapToGrid w:val="0"/>
        <w:spacing w:line="540" w:lineRule="exac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存在的主要问题及原因分析：</w:t>
      </w:r>
    </w:p>
    <w:p w14:paraId="25330A3D"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14:paraId="0E640E91" w14:textId="77777777" w:rsidR="00FD6B74" w:rsidRDefault="00D526FC">
      <w:pPr>
        <w:numPr>
          <w:ilvl w:val="0"/>
          <w:numId w:val="1"/>
        </w:numPr>
        <w:snapToGrid w:val="0"/>
        <w:spacing w:line="540" w:lineRule="exact"/>
        <w:rPr>
          <w:rFonts w:ascii="黑体" w:eastAsia="黑体" w:hAnsi="黑体" w:cs="宋体"/>
          <w:b/>
          <w:color w:val="000000" w:themeColor="text1"/>
          <w:sz w:val="32"/>
          <w:szCs w:val="32"/>
        </w:rPr>
      </w:pPr>
      <w:r>
        <w:rPr>
          <w:rFonts w:ascii="黑体" w:eastAsia="黑体" w:hAnsi="黑体" w:cs="宋体" w:hint="eastAsia"/>
          <w:b/>
          <w:color w:val="000000" w:themeColor="text1"/>
          <w:sz w:val="32"/>
          <w:szCs w:val="32"/>
        </w:rPr>
        <w:t>改进措施和建议：</w:t>
      </w:r>
    </w:p>
    <w:p w14:paraId="3F0B368D" w14:textId="77777777" w:rsidR="00FD6B74" w:rsidRDefault="00D526FC">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财务人员面对当前绩效管理工作既没有现成的经验可供借鉴，</w:t>
      </w:r>
      <w:r>
        <w:rPr>
          <w:rFonts w:ascii="仿宋_GB2312" w:eastAsia="仿宋_GB2312" w:hAnsi="宋体" w:hint="eastAsia"/>
          <w:bCs/>
          <w:sz w:val="32"/>
          <w:szCs w:val="32"/>
        </w:rPr>
        <w:lastRenderedPageBreak/>
        <w:t>又缺乏专业性很强的技能储备，只能是边工作、边学习、边积累，短期内部分工</w:t>
      </w:r>
      <w:proofErr w:type="gramStart"/>
      <w:r>
        <w:rPr>
          <w:rFonts w:ascii="仿宋_GB2312" w:eastAsia="仿宋_GB2312" w:hAnsi="宋体" w:hint="eastAsia"/>
          <w:bCs/>
          <w:sz w:val="32"/>
          <w:szCs w:val="32"/>
        </w:rPr>
        <w:t>作只能</w:t>
      </w:r>
      <w:proofErr w:type="gramEnd"/>
      <w:r>
        <w:rPr>
          <w:rFonts w:ascii="仿宋_GB2312" w:eastAsia="仿宋_GB2312" w:hAnsi="宋体" w:hint="eastAsia"/>
          <w:bCs/>
          <w:sz w:val="32"/>
          <w:szCs w:val="32"/>
        </w:rPr>
        <w:t>停留在表面，难以做到程序规范、管理科学，难以满足当前绩效管理要求。</w:t>
      </w:r>
    </w:p>
    <w:p w14:paraId="16B526A9" w14:textId="77777777" w:rsidR="00FD6B74" w:rsidRDefault="00FD6B74"/>
    <w:sectPr w:rsidR="00FD6B7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kMzYyMmJjOWI5NmNmMjc5NjllYzUyMDVkZDQzNzAifQ=="/>
  </w:docVars>
  <w:rsids>
    <w:rsidRoot w:val="00EB3604"/>
    <w:rsid w:val="00021B05"/>
    <w:rsid w:val="000B791B"/>
    <w:rsid w:val="001B6D6D"/>
    <w:rsid w:val="001C7F2C"/>
    <w:rsid w:val="00340E58"/>
    <w:rsid w:val="003E45AA"/>
    <w:rsid w:val="00486CD9"/>
    <w:rsid w:val="00584481"/>
    <w:rsid w:val="00653C1A"/>
    <w:rsid w:val="0072543F"/>
    <w:rsid w:val="007A5D83"/>
    <w:rsid w:val="007A798C"/>
    <w:rsid w:val="007B51CE"/>
    <w:rsid w:val="007D7702"/>
    <w:rsid w:val="007E47F4"/>
    <w:rsid w:val="007F0F7C"/>
    <w:rsid w:val="007F3908"/>
    <w:rsid w:val="00892E0B"/>
    <w:rsid w:val="008F0DCE"/>
    <w:rsid w:val="00916058"/>
    <w:rsid w:val="00AB72C1"/>
    <w:rsid w:val="00C10BB4"/>
    <w:rsid w:val="00CE0C6C"/>
    <w:rsid w:val="00D526FC"/>
    <w:rsid w:val="00DB647F"/>
    <w:rsid w:val="00DC7E33"/>
    <w:rsid w:val="00E40ABD"/>
    <w:rsid w:val="00E8616A"/>
    <w:rsid w:val="00EB3604"/>
    <w:rsid w:val="00FD6B74"/>
    <w:rsid w:val="020B07BA"/>
    <w:rsid w:val="02656D15"/>
    <w:rsid w:val="06696209"/>
    <w:rsid w:val="0D1922F1"/>
    <w:rsid w:val="10DF6E84"/>
    <w:rsid w:val="1438599A"/>
    <w:rsid w:val="1A1A1F09"/>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E660A4-3230-468B-AFBF-738A53034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C50A0-2F92-46E7-9E65-4B5DD494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424</Words>
  <Characters>2417</Characters>
  <Application>Microsoft Office Word</Application>
  <DocSecurity>0</DocSecurity>
  <Lines>20</Lines>
  <Paragraphs>5</Paragraphs>
  <ScaleCrop>false</ScaleCrop>
  <Company>Microsoft</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Windows 用户</cp:lastModifiedBy>
  <cp:revision>3</cp:revision>
  <dcterms:created xsi:type="dcterms:W3CDTF">2024-08-21T10:36:00Z</dcterms:created>
  <dcterms:modified xsi:type="dcterms:W3CDTF">2024-08-22T04:57:00Z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4E2A216151A24EE5A190066F518526B7</vt:lpwstr>
  </property>
</Properties>
</file>