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60C" w:rsidRDefault="006B1CE9">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4</w:t>
      </w:r>
      <w:r>
        <w:rPr>
          <w:rFonts w:ascii="黑体" w:eastAsia="黑体" w:hAnsi="黑体" w:cs="宋体" w:hint="eastAsia"/>
          <w:color w:val="333333"/>
          <w:sz w:val="32"/>
          <w:szCs w:val="32"/>
          <w:lang w:bidi="ar"/>
        </w:rPr>
        <w:t>：</w:t>
      </w: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1C460C">
      <w:pPr>
        <w:spacing w:line="540" w:lineRule="exact"/>
        <w:jc w:val="center"/>
        <w:rPr>
          <w:rFonts w:ascii="方正小标宋_GBK" w:eastAsia="方正小标宋_GBK" w:hAnsi="华文中宋" w:cs="宋体"/>
          <w:b/>
          <w:kern w:val="0"/>
          <w:sz w:val="48"/>
          <w:szCs w:val="48"/>
        </w:rPr>
      </w:pPr>
    </w:p>
    <w:p w:rsidR="001C460C" w:rsidRDefault="006B1CE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部门单位整体支出绩效</w:t>
      </w:r>
    </w:p>
    <w:p w:rsidR="001C460C" w:rsidRDefault="006B1CE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1C460C" w:rsidRDefault="001C460C">
      <w:pPr>
        <w:spacing w:line="540" w:lineRule="exact"/>
        <w:jc w:val="center"/>
        <w:rPr>
          <w:rFonts w:ascii="华文中宋" w:eastAsia="华文中宋" w:hAnsi="华文中宋" w:cs="宋体"/>
          <w:b/>
          <w:kern w:val="0"/>
          <w:sz w:val="52"/>
          <w:szCs w:val="52"/>
        </w:rPr>
      </w:pPr>
    </w:p>
    <w:p w:rsidR="001C460C" w:rsidRDefault="006B1CE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2023</w:t>
      </w:r>
      <w:r>
        <w:rPr>
          <w:rFonts w:eastAsia="仿宋_GB2312" w:hAnsi="宋体" w:cs="宋体" w:hint="eastAsia"/>
          <w:kern w:val="0"/>
          <w:sz w:val="36"/>
          <w:szCs w:val="36"/>
        </w:rPr>
        <w:t>年度）</w:t>
      </w: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6B1CE9">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7"/>
          <w:rFonts w:ascii="仿宋" w:eastAsia="仿宋" w:hAnsi="仿宋" w:cs="仿宋" w:hint="eastAsia"/>
          <w:b w:val="0"/>
          <w:bCs w:val="0"/>
          <w:spacing w:val="-4"/>
          <w:sz w:val="44"/>
          <w:szCs w:val="44"/>
        </w:rPr>
        <w:t>新疆库尔勒市归国华侨联合会</w:t>
      </w:r>
    </w:p>
    <w:p w:rsidR="001C460C" w:rsidRDefault="006B1CE9">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7"/>
          <w:rFonts w:ascii="仿宋" w:eastAsia="仿宋" w:hAnsi="仿宋" w:cs="仿宋" w:hint="eastAsia"/>
          <w:b w:val="0"/>
          <w:bCs w:val="0"/>
          <w:spacing w:val="-4"/>
          <w:sz w:val="44"/>
          <w:szCs w:val="44"/>
        </w:rPr>
        <w:t>2024</w:t>
      </w:r>
      <w:r>
        <w:rPr>
          <w:rStyle w:val="a7"/>
          <w:rFonts w:ascii="仿宋" w:eastAsia="仿宋" w:hAnsi="仿宋" w:cs="仿宋" w:hint="eastAsia"/>
          <w:b w:val="0"/>
          <w:bCs w:val="0"/>
          <w:spacing w:val="-4"/>
          <w:sz w:val="44"/>
          <w:szCs w:val="44"/>
        </w:rPr>
        <w:t>年</w:t>
      </w:r>
      <w:r>
        <w:rPr>
          <w:rStyle w:val="a7"/>
          <w:rFonts w:ascii="仿宋" w:eastAsia="仿宋" w:hAnsi="仿宋" w:cs="仿宋" w:hint="eastAsia"/>
          <w:b w:val="0"/>
          <w:bCs w:val="0"/>
          <w:spacing w:val="-4"/>
          <w:sz w:val="44"/>
          <w:szCs w:val="44"/>
        </w:rPr>
        <w:t>04</w:t>
      </w:r>
      <w:r>
        <w:rPr>
          <w:rStyle w:val="a7"/>
          <w:rFonts w:ascii="仿宋" w:eastAsia="仿宋" w:hAnsi="仿宋" w:cs="仿宋" w:hint="eastAsia"/>
          <w:b w:val="0"/>
          <w:bCs w:val="0"/>
          <w:spacing w:val="-4"/>
          <w:sz w:val="44"/>
          <w:szCs w:val="44"/>
        </w:rPr>
        <w:t>月</w:t>
      </w:r>
      <w:r>
        <w:rPr>
          <w:rStyle w:val="a7"/>
          <w:rFonts w:ascii="仿宋" w:eastAsia="仿宋" w:hAnsi="仿宋" w:cs="仿宋" w:hint="eastAsia"/>
          <w:b w:val="0"/>
          <w:bCs w:val="0"/>
          <w:spacing w:val="-4"/>
          <w:sz w:val="44"/>
          <w:szCs w:val="44"/>
        </w:rPr>
        <w:t>22</w:t>
      </w:r>
      <w:r>
        <w:rPr>
          <w:rStyle w:val="a7"/>
          <w:rFonts w:ascii="仿宋" w:eastAsia="仿宋" w:hAnsi="仿宋" w:cs="仿宋" w:hint="eastAsia"/>
          <w:b w:val="0"/>
          <w:bCs w:val="0"/>
          <w:spacing w:val="-4"/>
          <w:sz w:val="44"/>
          <w:szCs w:val="44"/>
        </w:rPr>
        <w:t>日</w:t>
      </w:r>
    </w:p>
    <w:p w:rsidR="001C460C" w:rsidRDefault="001C460C">
      <w:pPr>
        <w:spacing w:line="700" w:lineRule="exact"/>
        <w:jc w:val="left"/>
        <w:rPr>
          <w:rFonts w:eastAsia="仿宋_GB2312" w:hAnsi="宋体" w:cs="宋体"/>
          <w:kern w:val="0"/>
          <w:sz w:val="36"/>
          <w:szCs w:val="36"/>
        </w:rPr>
      </w:pPr>
    </w:p>
    <w:p w:rsidR="001C460C" w:rsidRDefault="001C460C">
      <w:pPr>
        <w:spacing w:line="700" w:lineRule="exact"/>
        <w:jc w:val="left"/>
        <w:rPr>
          <w:rFonts w:eastAsia="仿宋_GB2312" w:hAnsi="宋体" w:cs="宋体"/>
          <w:kern w:val="0"/>
          <w:sz w:val="36"/>
          <w:szCs w:val="36"/>
        </w:rPr>
      </w:pP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基本概况：</w:t>
      </w:r>
    </w:p>
    <w:p w:rsidR="001C460C" w:rsidRDefault="006B1CE9">
      <w:pPr>
        <w:spacing w:line="600" w:lineRule="exact"/>
        <w:ind w:firstLineChars="300" w:firstLine="964"/>
        <w:jc w:val="left"/>
        <w:rPr>
          <w:rFonts w:ascii="Arial" w:hAnsi="Arial" w:cs="Arial"/>
          <w:b/>
          <w:bCs/>
          <w:color w:val="333333"/>
          <w:sz w:val="30"/>
          <w:szCs w:val="30"/>
        </w:rPr>
      </w:pPr>
      <w:r>
        <w:rPr>
          <w:rFonts w:ascii="黑体" w:eastAsia="黑体" w:hAnsi="黑体" w:cs="宋体" w:hint="eastAsia"/>
          <w:b/>
          <w:color w:val="000000" w:themeColor="text1"/>
          <w:sz w:val="32"/>
          <w:szCs w:val="32"/>
          <w:lang w:bidi="ar"/>
        </w:rPr>
        <w:t>（一）</w:t>
      </w:r>
      <w:r>
        <w:rPr>
          <w:rFonts w:ascii="黑体" w:eastAsia="黑体" w:hAnsi="黑体" w:cs="宋体"/>
          <w:b/>
          <w:color w:val="000000" w:themeColor="text1"/>
          <w:sz w:val="32"/>
          <w:szCs w:val="32"/>
          <w:lang w:bidi="ar"/>
        </w:rPr>
        <w:t>部门单位基本情况</w:t>
      </w:r>
      <w:r>
        <w:rPr>
          <w:rFonts w:ascii="Arial" w:hAnsi="Arial" w:cs="Arial" w:hint="eastAsia"/>
          <w:b/>
          <w:bCs/>
          <w:color w:val="333333"/>
          <w:sz w:val="30"/>
          <w:szCs w:val="30"/>
        </w:rPr>
        <w:t>：</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部门职能</w:t>
      </w:r>
      <w:r>
        <w:rPr>
          <w:rFonts w:ascii="仿宋_GB2312" w:eastAsia="仿宋_GB2312" w:hAnsi="宋体" w:hint="eastAsia"/>
          <w:bCs/>
          <w:sz w:val="32"/>
          <w:szCs w:val="32"/>
        </w:rPr>
        <w:br/>
      </w:r>
      <w:r>
        <w:rPr>
          <w:rFonts w:ascii="仿宋_GB2312" w:eastAsia="仿宋_GB2312" w:hAnsi="宋体" w:hint="eastAsia"/>
          <w:bCs/>
          <w:sz w:val="32"/>
          <w:szCs w:val="32"/>
        </w:rPr>
        <w:t>以《中华人民共和国宪法》为根本的活动准则，根据《中华全国归国华侨联合会章程》，坚持以人为本、为侨服务的宗旨，广泛地团结全市归侨、侨眷和海外侨胞，积极主动、独立自主地开展工作，履行服务经济发展、依法维护侨益、拓展海外联谊、积极参政议政、弘扬中华文化、参与社会建设工作职能。</w:t>
      </w:r>
      <w:r>
        <w:rPr>
          <w:rFonts w:ascii="仿宋_GB2312" w:eastAsia="仿宋_GB2312" w:hAnsi="宋体" w:hint="eastAsia"/>
          <w:bCs/>
          <w:sz w:val="32"/>
          <w:szCs w:val="32"/>
        </w:rPr>
        <w:br/>
      </w:r>
      <w:r>
        <w:rPr>
          <w:rFonts w:ascii="仿宋_GB2312" w:eastAsia="仿宋_GB2312" w:hAnsi="宋体" w:hint="eastAsia"/>
          <w:bCs/>
          <w:sz w:val="32"/>
          <w:szCs w:val="32"/>
        </w:rPr>
        <w:t>2.</w:t>
      </w:r>
      <w:r>
        <w:rPr>
          <w:rFonts w:ascii="仿宋_GB2312" w:eastAsia="仿宋_GB2312" w:hAnsi="宋体" w:hint="eastAsia"/>
          <w:bCs/>
          <w:sz w:val="32"/>
          <w:szCs w:val="32"/>
        </w:rPr>
        <w:t>部门机构人员构成情况</w:t>
      </w:r>
      <w:r>
        <w:rPr>
          <w:rFonts w:ascii="仿宋_GB2312" w:eastAsia="仿宋_GB2312" w:hAnsi="宋体" w:hint="eastAsia"/>
          <w:bCs/>
          <w:sz w:val="32"/>
          <w:szCs w:val="32"/>
        </w:rPr>
        <w:br/>
      </w:r>
      <w:r>
        <w:rPr>
          <w:rFonts w:ascii="仿宋_GB2312" w:eastAsia="仿宋_GB2312" w:hAnsi="宋体" w:hint="eastAsia"/>
          <w:bCs/>
          <w:sz w:val="32"/>
          <w:szCs w:val="32"/>
        </w:rPr>
        <w:t>库尔勒市归国华侨联合会编制数</w:t>
      </w:r>
      <w:r>
        <w:rPr>
          <w:rFonts w:ascii="仿宋_GB2312" w:eastAsia="仿宋_GB2312" w:hAnsi="宋体" w:hint="eastAsia"/>
          <w:bCs/>
          <w:sz w:val="32"/>
          <w:szCs w:val="32"/>
        </w:rPr>
        <w:t>2</w:t>
      </w:r>
      <w:r>
        <w:rPr>
          <w:rFonts w:ascii="仿宋_GB2312" w:eastAsia="仿宋_GB2312" w:hAnsi="宋体" w:hint="eastAsia"/>
          <w:bCs/>
          <w:sz w:val="32"/>
          <w:szCs w:val="32"/>
        </w:rPr>
        <w:t>人，实有人数</w:t>
      </w:r>
      <w:r>
        <w:rPr>
          <w:rFonts w:ascii="仿宋_GB2312" w:eastAsia="仿宋_GB2312" w:hAnsi="宋体" w:hint="eastAsia"/>
          <w:bCs/>
          <w:sz w:val="32"/>
          <w:szCs w:val="32"/>
        </w:rPr>
        <w:t>5</w:t>
      </w:r>
      <w:r>
        <w:rPr>
          <w:rFonts w:ascii="仿宋_GB2312" w:eastAsia="仿宋_GB2312" w:hAnsi="宋体" w:hint="eastAsia"/>
          <w:bCs/>
          <w:sz w:val="32"/>
          <w:szCs w:val="32"/>
        </w:rPr>
        <w:t>人，其中：在职</w:t>
      </w:r>
      <w:r>
        <w:rPr>
          <w:rFonts w:ascii="仿宋_GB2312" w:eastAsia="仿宋_GB2312" w:hAnsi="宋体" w:hint="eastAsia"/>
          <w:bCs/>
          <w:sz w:val="32"/>
          <w:szCs w:val="32"/>
        </w:rPr>
        <w:t>1</w:t>
      </w:r>
      <w:r>
        <w:rPr>
          <w:rFonts w:ascii="仿宋_GB2312" w:eastAsia="仿宋_GB2312" w:hAnsi="宋体" w:hint="eastAsia"/>
          <w:bCs/>
          <w:sz w:val="32"/>
          <w:szCs w:val="32"/>
        </w:rPr>
        <w:t>人；退休</w:t>
      </w:r>
      <w:r>
        <w:rPr>
          <w:rFonts w:ascii="仿宋_GB2312" w:eastAsia="仿宋_GB2312" w:hAnsi="宋体" w:hint="eastAsia"/>
          <w:bCs/>
          <w:sz w:val="32"/>
          <w:szCs w:val="32"/>
        </w:rPr>
        <w:t>4</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rsidR="001C460C" w:rsidRDefault="006B1CE9">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（二）</w:t>
      </w:r>
      <w:r>
        <w:rPr>
          <w:rFonts w:ascii="黑体" w:eastAsia="黑体" w:hAnsi="黑体" w:cs="宋体"/>
          <w:b/>
          <w:color w:val="000000" w:themeColor="text1"/>
          <w:sz w:val="32"/>
          <w:szCs w:val="32"/>
          <w:lang w:bidi="ar"/>
        </w:rPr>
        <w:t>部门单位年度重点工作：</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1.2023</w:t>
      </w:r>
      <w:r>
        <w:rPr>
          <w:rFonts w:ascii="仿宋_GB2312" w:eastAsia="仿宋_GB2312" w:hAnsi="宋体" w:hint="eastAsia"/>
          <w:bCs/>
          <w:sz w:val="32"/>
          <w:szCs w:val="32"/>
        </w:rPr>
        <w:t>年度工作计划</w:t>
      </w:r>
      <w:r>
        <w:rPr>
          <w:rFonts w:ascii="仿宋_GB2312" w:eastAsia="仿宋_GB2312" w:hAnsi="宋体" w:hint="eastAsia"/>
          <w:bCs/>
          <w:sz w:val="32"/>
          <w:szCs w:val="32"/>
        </w:rPr>
        <w:br/>
        <w:t>1</w:t>
      </w:r>
      <w:r>
        <w:rPr>
          <w:rFonts w:ascii="仿宋_GB2312" w:eastAsia="仿宋_GB2312" w:hAnsi="宋体" w:hint="eastAsia"/>
          <w:bCs/>
          <w:sz w:val="32"/>
          <w:szCs w:val="32"/>
        </w:rPr>
        <w:t>，保证侨联围绕中心，服务大局，服务侨胞，</w:t>
      </w:r>
      <w:proofErr w:type="gramStart"/>
      <w:r>
        <w:rPr>
          <w:rFonts w:ascii="仿宋_GB2312" w:eastAsia="仿宋_GB2312" w:hAnsi="宋体" w:hint="eastAsia"/>
          <w:bCs/>
          <w:sz w:val="32"/>
          <w:szCs w:val="32"/>
        </w:rPr>
        <w:t>落实区州侨联</w:t>
      </w:r>
      <w:proofErr w:type="gramEnd"/>
      <w:r>
        <w:rPr>
          <w:rFonts w:ascii="仿宋_GB2312" w:eastAsia="仿宋_GB2312" w:hAnsi="宋体" w:hint="eastAsia"/>
          <w:bCs/>
          <w:sz w:val="32"/>
          <w:szCs w:val="32"/>
        </w:rPr>
        <w:t>工作部署，调研侨属企业，走访归侨侨眷家庭</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，促进海外联谊联络，增进海外库尔勒籍侨胞对祖籍</w:t>
      </w:r>
      <w:proofErr w:type="gramStart"/>
      <w:r>
        <w:rPr>
          <w:rFonts w:ascii="仿宋_GB2312" w:eastAsia="仿宋_GB2312" w:hAnsi="宋体" w:hint="eastAsia"/>
          <w:bCs/>
          <w:sz w:val="32"/>
          <w:szCs w:val="32"/>
        </w:rPr>
        <w:t>国认识</w:t>
      </w:r>
      <w:proofErr w:type="gramEnd"/>
      <w:r>
        <w:rPr>
          <w:rFonts w:ascii="仿宋_GB2312" w:eastAsia="仿宋_GB2312" w:hAnsi="宋体" w:hint="eastAsia"/>
          <w:bCs/>
          <w:sz w:val="32"/>
          <w:szCs w:val="32"/>
        </w:rPr>
        <w:t>和情感，感受家乡变化，讲好中国故事、新疆故事、库尔勒故事，加强我国在海外</w:t>
      </w:r>
      <w:proofErr w:type="gramStart"/>
      <w:r>
        <w:rPr>
          <w:rFonts w:ascii="仿宋_GB2312" w:eastAsia="仿宋_GB2312" w:hAnsi="宋体" w:hint="eastAsia"/>
          <w:bCs/>
          <w:sz w:val="32"/>
          <w:szCs w:val="32"/>
        </w:rPr>
        <w:t>的友我力量</w:t>
      </w:r>
      <w:proofErr w:type="gramEnd"/>
      <w:r>
        <w:rPr>
          <w:rFonts w:ascii="仿宋_GB2312" w:eastAsia="仿宋_GB2312" w:hAnsi="宋体" w:hint="eastAsia"/>
          <w:bCs/>
          <w:sz w:val="32"/>
          <w:szCs w:val="32"/>
        </w:rPr>
        <w:t>;</w:t>
      </w:r>
      <w:r>
        <w:rPr>
          <w:rFonts w:ascii="仿宋_GB2312" w:eastAsia="仿宋_GB2312" w:hAnsi="宋体" w:hint="eastAsia"/>
          <w:bCs/>
          <w:sz w:val="32"/>
          <w:szCs w:val="32"/>
        </w:rPr>
        <w:br/>
        <w:t>3</w:t>
      </w:r>
      <w:r>
        <w:rPr>
          <w:rFonts w:ascii="仿宋_GB2312" w:eastAsia="仿宋_GB2312" w:hAnsi="宋体" w:hint="eastAsia"/>
          <w:bCs/>
          <w:sz w:val="32"/>
          <w:szCs w:val="32"/>
        </w:rPr>
        <w:t>，落实新疆社会稳定总目标，发挥侨力、汇集侨智、凝聚侨心</w:t>
      </w:r>
      <w:r>
        <w:rPr>
          <w:rFonts w:ascii="仿宋_GB2312" w:eastAsia="仿宋_GB2312" w:hAnsi="宋体" w:hint="eastAsia"/>
          <w:bCs/>
          <w:sz w:val="32"/>
          <w:szCs w:val="32"/>
        </w:rPr>
        <w:t>;</w:t>
      </w:r>
      <w:r>
        <w:rPr>
          <w:rFonts w:ascii="仿宋_GB2312" w:eastAsia="仿宋_GB2312" w:hAnsi="宋体" w:hint="eastAsia"/>
          <w:bCs/>
          <w:sz w:val="32"/>
          <w:szCs w:val="32"/>
        </w:rPr>
        <w:br/>
        <w:t>4</w:t>
      </w:r>
      <w:r>
        <w:rPr>
          <w:rFonts w:ascii="仿宋_GB2312" w:eastAsia="仿宋_GB2312" w:hAnsi="宋体" w:hint="eastAsia"/>
          <w:bCs/>
          <w:sz w:val="32"/>
          <w:szCs w:val="32"/>
        </w:rPr>
        <w:t>，</w:t>
      </w:r>
      <w:proofErr w:type="gramStart"/>
      <w:r>
        <w:rPr>
          <w:rFonts w:ascii="仿宋_GB2312" w:eastAsia="仿宋_GB2312" w:hAnsi="宋体" w:hint="eastAsia"/>
          <w:bCs/>
          <w:sz w:val="32"/>
          <w:szCs w:val="32"/>
        </w:rPr>
        <w:t>参加区州侨联</w:t>
      </w:r>
      <w:proofErr w:type="gramEnd"/>
      <w:r>
        <w:rPr>
          <w:rFonts w:ascii="仿宋_GB2312" w:eastAsia="仿宋_GB2312" w:hAnsi="宋体" w:hint="eastAsia"/>
          <w:bCs/>
          <w:sz w:val="32"/>
          <w:szCs w:val="32"/>
        </w:rPr>
        <w:t>组织的业务培训</w:t>
      </w:r>
      <w:r>
        <w:rPr>
          <w:rFonts w:ascii="仿宋_GB2312" w:eastAsia="仿宋_GB2312" w:hAnsi="宋体" w:hint="eastAsia"/>
          <w:bCs/>
          <w:sz w:val="32"/>
          <w:szCs w:val="32"/>
        </w:rPr>
        <w:t>;</w:t>
      </w:r>
      <w:r>
        <w:rPr>
          <w:rFonts w:ascii="仿宋_GB2312" w:eastAsia="仿宋_GB2312" w:hAnsi="宋体" w:hint="eastAsia"/>
          <w:bCs/>
          <w:sz w:val="32"/>
          <w:szCs w:val="32"/>
        </w:rPr>
        <w:br/>
        <w:t>5</w:t>
      </w:r>
      <w:r>
        <w:rPr>
          <w:rFonts w:ascii="仿宋_GB2312" w:eastAsia="仿宋_GB2312" w:hAnsi="宋体" w:hint="eastAsia"/>
          <w:bCs/>
          <w:sz w:val="32"/>
          <w:szCs w:val="32"/>
        </w:rPr>
        <w:t>，开展“侨</w:t>
      </w:r>
      <w:r>
        <w:rPr>
          <w:rFonts w:ascii="仿宋_GB2312" w:eastAsia="仿宋_GB2312" w:hAnsi="宋体" w:hint="eastAsia"/>
          <w:bCs/>
          <w:sz w:val="32"/>
          <w:szCs w:val="32"/>
        </w:rPr>
        <w:t>爱心”公益活动</w:t>
      </w:r>
      <w:r>
        <w:rPr>
          <w:rFonts w:ascii="仿宋_GB2312" w:eastAsia="仿宋_GB2312" w:hAnsi="宋体" w:hint="eastAsia"/>
          <w:bCs/>
          <w:sz w:val="32"/>
          <w:szCs w:val="32"/>
        </w:rPr>
        <w:t>;</w:t>
      </w:r>
      <w:r>
        <w:rPr>
          <w:rFonts w:ascii="仿宋_GB2312" w:eastAsia="仿宋_GB2312" w:hAnsi="宋体" w:hint="eastAsia"/>
          <w:bCs/>
          <w:sz w:val="32"/>
          <w:szCs w:val="32"/>
        </w:rPr>
        <w:br/>
        <w:t>6</w:t>
      </w:r>
      <w:r>
        <w:rPr>
          <w:rFonts w:ascii="仿宋_GB2312" w:eastAsia="仿宋_GB2312" w:hAnsi="宋体" w:hint="eastAsia"/>
          <w:bCs/>
          <w:sz w:val="32"/>
          <w:szCs w:val="32"/>
        </w:rPr>
        <w:t>，传统节日慰问归侨侨眷家庭，将党委、政府对归侨侨眷关心、激</w:t>
      </w:r>
      <w:r>
        <w:rPr>
          <w:rFonts w:ascii="仿宋_GB2312" w:eastAsia="仿宋_GB2312" w:hAnsi="宋体" w:hint="eastAsia"/>
          <w:bCs/>
          <w:sz w:val="32"/>
          <w:szCs w:val="32"/>
        </w:rPr>
        <w:lastRenderedPageBreak/>
        <w:t>励落实到实处，帮助解决归侨侨眷困难</w:t>
      </w:r>
      <w:r>
        <w:rPr>
          <w:rFonts w:ascii="仿宋_GB2312" w:eastAsia="仿宋_GB2312" w:hAnsi="宋体" w:hint="eastAsia"/>
          <w:bCs/>
          <w:sz w:val="32"/>
          <w:szCs w:val="32"/>
        </w:rPr>
        <w:t>;</w:t>
      </w:r>
      <w:r>
        <w:rPr>
          <w:rFonts w:ascii="仿宋_GB2312" w:eastAsia="仿宋_GB2312" w:hAnsi="宋体" w:hint="eastAsia"/>
          <w:bCs/>
          <w:sz w:val="32"/>
          <w:szCs w:val="32"/>
        </w:rPr>
        <w:br/>
        <w:t>7</w:t>
      </w:r>
      <w:r>
        <w:rPr>
          <w:rFonts w:ascii="仿宋_GB2312" w:eastAsia="仿宋_GB2312" w:hAnsi="宋体" w:hint="eastAsia"/>
          <w:bCs/>
          <w:sz w:val="32"/>
          <w:szCs w:val="32"/>
        </w:rPr>
        <w:t>，加强侨界群众思想政治引领，推进“侨胞之家”建设，组织开展系列联谊活动，开展文化大宣讲活动，丰富侨界群众文化生活，促进各族群众交流交往交融，增进广大侨胞“五个认同”</w:t>
      </w:r>
      <w:r>
        <w:rPr>
          <w:rFonts w:ascii="仿宋_GB2312" w:eastAsia="仿宋_GB2312" w:hAnsi="宋体" w:hint="eastAsia"/>
          <w:bCs/>
          <w:sz w:val="32"/>
          <w:szCs w:val="32"/>
        </w:rPr>
        <w:t>;</w:t>
      </w:r>
      <w:r>
        <w:rPr>
          <w:rFonts w:ascii="仿宋_GB2312" w:eastAsia="仿宋_GB2312" w:hAnsi="宋体" w:hint="eastAsia"/>
          <w:bCs/>
          <w:sz w:val="32"/>
          <w:szCs w:val="32"/>
        </w:rPr>
        <w:br/>
        <w:t>8</w:t>
      </w:r>
      <w:r>
        <w:rPr>
          <w:rFonts w:ascii="仿宋_GB2312" w:eastAsia="仿宋_GB2312" w:hAnsi="宋体" w:hint="eastAsia"/>
          <w:bCs/>
          <w:sz w:val="32"/>
          <w:szCs w:val="32"/>
        </w:rPr>
        <w:t>，加强对归侨侨眷的法治宣传教育，推动涉侨法律法规的实施</w:t>
      </w:r>
      <w:r>
        <w:rPr>
          <w:rFonts w:ascii="仿宋_GB2312" w:eastAsia="仿宋_GB2312" w:hAnsi="宋体" w:hint="eastAsia"/>
          <w:bCs/>
          <w:sz w:val="32"/>
          <w:szCs w:val="32"/>
        </w:rPr>
        <w:br/>
        <w:t>2.</w:t>
      </w:r>
      <w:r>
        <w:rPr>
          <w:rFonts w:ascii="仿宋_GB2312" w:eastAsia="仿宋_GB2312" w:hAnsi="宋体" w:hint="eastAsia"/>
          <w:bCs/>
          <w:sz w:val="32"/>
          <w:szCs w:val="32"/>
        </w:rPr>
        <w:t>机构人员保障情况</w:t>
      </w:r>
      <w:r>
        <w:rPr>
          <w:rFonts w:ascii="仿宋_GB2312" w:eastAsia="仿宋_GB2312" w:hAnsi="宋体" w:hint="eastAsia"/>
          <w:bCs/>
          <w:sz w:val="32"/>
          <w:szCs w:val="32"/>
        </w:rPr>
        <w:br/>
      </w:r>
      <w:r>
        <w:rPr>
          <w:rFonts w:ascii="仿宋_GB2312" w:eastAsia="仿宋_GB2312" w:hAnsi="宋体" w:hint="eastAsia"/>
          <w:bCs/>
          <w:sz w:val="32"/>
          <w:szCs w:val="32"/>
        </w:rPr>
        <w:t>库尔勒市归国华侨联合会</w:t>
      </w:r>
      <w:r>
        <w:rPr>
          <w:rFonts w:ascii="仿宋_GB2312" w:eastAsia="仿宋_GB2312" w:hAnsi="宋体" w:hint="eastAsia"/>
          <w:bCs/>
          <w:sz w:val="32"/>
          <w:szCs w:val="32"/>
        </w:rPr>
        <w:t>2023</w:t>
      </w:r>
      <w:r>
        <w:rPr>
          <w:rFonts w:ascii="仿宋_GB2312" w:eastAsia="仿宋_GB2312" w:hAnsi="宋体" w:hint="eastAsia"/>
          <w:bCs/>
          <w:sz w:val="32"/>
          <w:szCs w:val="32"/>
        </w:rPr>
        <w:t>年通过本部门预算支出，确保了</w:t>
      </w:r>
      <w:r>
        <w:rPr>
          <w:rFonts w:ascii="仿宋_GB2312" w:eastAsia="仿宋_GB2312" w:hAnsi="宋体" w:hint="eastAsia"/>
          <w:bCs/>
          <w:sz w:val="32"/>
          <w:szCs w:val="32"/>
        </w:rPr>
        <w:t>1</w:t>
      </w:r>
      <w:r>
        <w:rPr>
          <w:rFonts w:ascii="仿宋_GB2312" w:eastAsia="仿宋_GB2312" w:hAnsi="宋体" w:hint="eastAsia"/>
          <w:bCs/>
          <w:sz w:val="32"/>
          <w:szCs w:val="32"/>
        </w:rPr>
        <w:t>名在职人员的工资、津贴、补贴、社保、绩效、公积金等以及</w:t>
      </w:r>
      <w:r>
        <w:rPr>
          <w:rFonts w:ascii="仿宋_GB2312" w:eastAsia="仿宋_GB2312" w:hAnsi="宋体" w:hint="eastAsia"/>
          <w:bCs/>
          <w:sz w:val="32"/>
          <w:szCs w:val="32"/>
        </w:rPr>
        <w:t>4</w:t>
      </w:r>
      <w:r>
        <w:rPr>
          <w:rFonts w:ascii="仿宋_GB2312" w:eastAsia="仿宋_GB2312" w:hAnsi="宋体" w:hint="eastAsia"/>
          <w:bCs/>
          <w:sz w:val="32"/>
          <w:szCs w:val="32"/>
        </w:rPr>
        <w:t>名离退休人员的工资、医疗费等。</w:t>
      </w:r>
      <w:r>
        <w:rPr>
          <w:rFonts w:ascii="仿宋_GB2312" w:eastAsia="仿宋_GB2312" w:hAnsi="宋体" w:hint="eastAsia"/>
          <w:bCs/>
          <w:sz w:val="32"/>
          <w:szCs w:val="32"/>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rsidR="001C460C" w:rsidRDefault="006B1CE9">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（三）</w:t>
      </w:r>
      <w:r>
        <w:rPr>
          <w:rFonts w:ascii="黑体" w:eastAsia="黑体" w:hAnsi="黑体" w:cs="宋体"/>
          <w:b/>
          <w:color w:val="000000" w:themeColor="text1"/>
          <w:sz w:val="32"/>
          <w:szCs w:val="32"/>
          <w:lang w:bidi="ar"/>
        </w:rPr>
        <w:t>部门单位整体预算规模及安排情况：</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年初预算安排</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年初安排预算数为</w:t>
      </w:r>
      <w:r>
        <w:rPr>
          <w:rFonts w:ascii="仿宋_GB2312" w:eastAsia="仿宋_GB2312" w:hAnsi="宋体" w:hint="eastAsia"/>
          <w:bCs/>
          <w:sz w:val="32"/>
          <w:szCs w:val="32"/>
        </w:rPr>
        <w:t>24.89</w:t>
      </w:r>
      <w:r>
        <w:rPr>
          <w:rFonts w:ascii="仿宋_GB2312" w:eastAsia="仿宋_GB2312" w:hAnsi="宋体" w:hint="eastAsia"/>
          <w:bCs/>
          <w:sz w:val="32"/>
          <w:szCs w:val="32"/>
        </w:rPr>
        <w:t>万元，其中</w:t>
      </w:r>
      <w:r>
        <w:rPr>
          <w:rFonts w:ascii="仿宋_GB2312" w:eastAsia="仿宋_GB2312" w:hAnsi="宋体" w:hint="eastAsia"/>
          <w:bCs/>
          <w:sz w:val="32"/>
          <w:szCs w:val="32"/>
        </w:rPr>
        <w:t>:</w:t>
      </w:r>
      <w:r>
        <w:rPr>
          <w:rFonts w:ascii="仿宋_GB2312" w:eastAsia="仿宋_GB2312" w:hAnsi="宋体" w:hint="eastAsia"/>
          <w:bCs/>
          <w:sz w:val="32"/>
          <w:szCs w:val="32"/>
        </w:rPr>
        <w:t>上级安排</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本级安排</w:t>
      </w:r>
      <w:r>
        <w:rPr>
          <w:rFonts w:ascii="仿宋_GB2312" w:eastAsia="仿宋_GB2312" w:hAnsi="宋体" w:hint="eastAsia"/>
          <w:bCs/>
          <w:sz w:val="32"/>
          <w:szCs w:val="32"/>
        </w:rPr>
        <w:t>24.89</w:t>
      </w:r>
      <w:r>
        <w:rPr>
          <w:rFonts w:ascii="仿宋_GB2312" w:eastAsia="仿宋_GB2312" w:hAnsi="宋体" w:hint="eastAsia"/>
          <w:bCs/>
          <w:sz w:val="32"/>
          <w:szCs w:val="32"/>
        </w:rPr>
        <w:t>万元，其他资金</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r>
      <w:r>
        <w:rPr>
          <w:rFonts w:ascii="仿宋_GB2312" w:eastAsia="仿宋_GB2312" w:hAnsi="宋体" w:hint="eastAsia"/>
          <w:bCs/>
          <w:sz w:val="32"/>
          <w:szCs w:val="32"/>
        </w:rPr>
        <w:t>综上所述，部门预算安排与本单位职能关联度较高，预算安排结构清晰明了，能够直观展示各项费用的分配情况，预算规模合理，为单位的稳健</w:t>
      </w:r>
      <w:r>
        <w:rPr>
          <w:rFonts w:ascii="仿宋_GB2312" w:eastAsia="仿宋_GB2312" w:hAnsi="宋体" w:hint="eastAsia"/>
          <w:bCs/>
          <w:sz w:val="32"/>
          <w:szCs w:val="32"/>
        </w:rPr>
        <w:t>发展和高效运行提供了有力保障。</w:t>
      </w:r>
      <w:r>
        <w:rPr>
          <w:rFonts w:ascii="仿宋_GB2312" w:eastAsia="仿宋_GB2312" w:hAnsi="宋体" w:hint="eastAsia"/>
          <w:bCs/>
          <w:sz w:val="32"/>
          <w:szCs w:val="32"/>
        </w:rPr>
        <w:br/>
        <w:t>2.</w:t>
      </w:r>
      <w:r>
        <w:rPr>
          <w:rFonts w:ascii="仿宋_GB2312" w:eastAsia="仿宋_GB2312" w:hAnsi="宋体" w:hint="eastAsia"/>
          <w:bCs/>
          <w:sz w:val="32"/>
          <w:szCs w:val="32"/>
        </w:rPr>
        <w:t>预算年中调整情况</w:t>
      </w:r>
      <w:r>
        <w:rPr>
          <w:rFonts w:ascii="仿宋_GB2312" w:eastAsia="仿宋_GB2312" w:hAnsi="宋体" w:hint="eastAsia"/>
          <w:bCs/>
          <w:sz w:val="32"/>
          <w:szCs w:val="32"/>
        </w:rPr>
        <w:br/>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w:t>
      </w:r>
      <w:r>
        <w:rPr>
          <w:rFonts w:ascii="仿宋_GB2312" w:eastAsia="仿宋_GB2312" w:hAnsi="宋体" w:hint="eastAsia"/>
          <w:bCs/>
          <w:sz w:val="32"/>
          <w:szCs w:val="32"/>
        </w:rPr>
        <w:t>24.89</w:t>
      </w:r>
      <w:r>
        <w:rPr>
          <w:rFonts w:ascii="仿宋_GB2312" w:eastAsia="仿宋_GB2312" w:hAnsi="宋体" w:hint="eastAsia"/>
          <w:bCs/>
          <w:sz w:val="32"/>
          <w:szCs w:val="32"/>
        </w:rPr>
        <w:t>万元，年中调整数</w:t>
      </w:r>
      <w:r>
        <w:rPr>
          <w:rFonts w:ascii="仿宋_GB2312" w:eastAsia="仿宋_GB2312" w:hAnsi="宋体" w:hint="eastAsia"/>
          <w:bCs/>
          <w:sz w:val="32"/>
          <w:szCs w:val="32"/>
        </w:rPr>
        <w:t>-2.21</w:t>
      </w:r>
      <w:r>
        <w:rPr>
          <w:rFonts w:ascii="仿宋_GB2312" w:eastAsia="仿宋_GB2312" w:hAnsi="宋体" w:hint="eastAsia"/>
          <w:bCs/>
          <w:sz w:val="32"/>
          <w:szCs w:val="32"/>
        </w:rPr>
        <w:t>万元，调整后全年预算数</w:t>
      </w:r>
      <w:r>
        <w:rPr>
          <w:rFonts w:ascii="仿宋_GB2312" w:eastAsia="仿宋_GB2312" w:hAnsi="宋体" w:hint="eastAsia"/>
          <w:bCs/>
          <w:sz w:val="32"/>
          <w:szCs w:val="32"/>
        </w:rPr>
        <w:t>22.68</w:t>
      </w:r>
      <w:r>
        <w:rPr>
          <w:rFonts w:ascii="仿宋_GB2312" w:eastAsia="仿宋_GB2312" w:hAnsi="宋体" w:hint="eastAsia"/>
          <w:bCs/>
          <w:sz w:val="32"/>
          <w:szCs w:val="32"/>
        </w:rPr>
        <w:t>万元，预算调整率</w:t>
      </w:r>
      <w:r>
        <w:rPr>
          <w:rFonts w:ascii="仿宋_GB2312" w:eastAsia="仿宋_GB2312" w:hAnsi="宋体" w:hint="eastAsia"/>
          <w:bCs/>
          <w:sz w:val="32"/>
          <w:szCs w:val="32"/>
        </w:rPr>
        <w:t>8.88%</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综上所述，年中预算调整幅度与本单位运转情况和履职情况相匹配，</w:t>
      </w:r>
      <w:r>
        <w:rPr>
          <w:rFonts w:ascii="仿宋_GB2312" w:eastAsia="仿宋_GB2312" w:hAnsi="宋体" w:hint="eastAsia"/>
          <w:bCs/>
          <w:sz w:val="32"/>
          <w:szCs w:val="32"/>
        </w:rPr>
        <w:lastRenderedPageBreak/>
        <w:t>未出现资金收支不平衡以及债务风险等负面影响，确保了预算调整的合理性和必要性。</w:t>
      </w:r>
      <w:r>
        <w:rPr>
          <w:rFonts w:ascii="仿宋_GB2312" w:eastAsia="仿宋_GB2312" w:hAnsi="宋体" w:hint="eastAsia"/>
          <w:bCs/>
          <w:sz w:val="32"/>
          <w:szCs w:val="32"/>
        </w:rPr>
        <w:br/>
        <w:t>3.</w:t>
      </w:r>
      <w:r>
        <w:rPr>
          <w:rFonts w:ascii="仿宋_GB2312" w:eastAsia="仿宋_GB2312" w:hAnsi="宋体" w:hint="eastAsia"/>
          <w:bCs/>
          <w:sz w:val="32"/>
          <w:szCs w:val="32"/>
        </w:rPr>
        <w:t>资金使用主要内容、涉及的范围</w:t>
      </w:r>
      <w:r>
        <w:rPr>
          <w:rFonts w:ascii="仿宋_GB2312" w:eastAsia="仿宋_GB2312" w:hAnsi="宋体" w:hint="eastAsia"/>
          <w:bCs/>
          <w:sz w:val="32"/>
          <w:szCs w:val="32"/>
        </w:rPr>
        <w:br/>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年度部门整体支出为</w:t>
      </w:r>
      <w:r>
        <w:rPr>
          <w:rFonts w:ascii="仿宋_GB2312" w:eastAsia="仿宋_GB2312" w:hAnsi="宋体" w:hint="eastAsia"/>
          <w:bCs/>
          <w:sz w:val="32"/>
          <w:szCs w:val="32"/>
        </w:rPr>
        <w:t>22.68</w:t>
      </w:r>
      <w:r>
        <w:rPr>
          <w:rFonts w:ascii="仿宋_GB2312" w:eastAsia="仿宋_GB2312" w:hAnsi="宋体" w:hint="eastAsia"/>
          <w:bCs/>
          <w:sz w:val="32"/>
          <w:szCs w:val="32"/>
        </w:rPr>
        <w:t>万元，其中：</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）基本支出</w:t>
      </w:r>
      <w:r>
        <w:rPr>
          <w:rFonts w:ascii="仿宋_GB2312" w:eastAsia="仿宋_GB2312" w:hAnsi="宋体" w:hint="eastAsia"/>
          <w:bCs/>
          <w:sz w:val="32"/>
          <w:szCs w:val="32"/>
        </w:rPr>
        <w:t>22.68</w:t>
      </w:r>
      <w:r>
        <w:rPr>
          <w:rFonts w:ascii="仿宋_GB2312" w:eastAsia="仿宋_GB2312" w:hAnsi="宋体" w:hint="eastAsia"/>
          <w:bCs/>
          <w:sz w:val="32"/>
          <w:szCs w:val="32"/>
        </w:rPr>
        <w:t>万元，主要用于：基本工资、津贴补贴、奖金、机关事业单位基本养老保险缴费、职业年金缴费、职</w:t>
      </w:r>
      <w:r>
        <w:rPr>
          <w:rFonts w:ascii="仿宋_GB2312" w:eastAsia="仿宋_GB2312" w:hAnsi="宋体" w:hint="eastAsia"/>
          <w:bCs/>
          <w:sz w:val="32"/>
          <w:szCs w:val="32"/>
        </w:rPr>
        <w:t>工基本医疗保险缴费、办公费、差旅费、维修（护）费、福利费、退休费，抚恤金，生活补助，其他个人补助支出等。</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）项目支出</w:t>
      </w:r>
      <w:r>
        <w:rPr>
          <w:rFonts w:ascii="仿宋_GB2312" w:eastAsia="仿宋_GB2312" w:hAnsi="宋体" w:hint="eastAsia"/>
          <w:bCs/>
          <w:sz w:val="32"/>
          <w:szCs w:val="32"/>
        </w:rPr>
        <w:t>0</w:t>
      </w:r>
      <w:r>
        <w:rPr>
          <w:rFonts w:ascii="仿宋_GB2312" w:eastAsia="仿宋_GB2312" w:hAnsi="宋体" w:hint="eastAsia"/>
          <w:bCs/>
          <w:sz w:val="32"/>
          <w:szCs w:val="32"/>
        </w:rPr>
        <w:t>万元。</w:t>
      </w: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部门单位整体支出管理及使用情况：</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（一）基本支出投入、管理和使用情况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基本支出年初预算安排</w:t>
      </w:r>
      <w:r>
        <w:rPr>
          <w:rFonts w:ascii="仿宋_GB2312" w:eastAsia="仿宋_GB2312" w:hAnsi="宋体" w:hint="eastAsia"/>
          <w:bCs/>
          <w:sz w:val="32"/>
          <w:szCs w:val="32"/>
        </w:rPr>
        <w:t>23.89</w:t>
      </w:r>
      <w:r>
        <w:rPr>
          <w:rFonts w:ascii="仿宋_GB2312" w:eastAsia="仿宋_GB2312" w:hAnsi="宋体" w:hint="eastAsia"/>
          <w:bCs/>
          <w:sz w:val="32"/>
          <w:szCs w:val="32"/>
        </w:rPr>
        <w:t>万元，全年预算数</w:t>
      </w:r>
      <w:r>
        <w:rPr>
          <w:rFonts w:ascii="仿宋_GB2312" w:eastAsia="仿宋_GB2312" w:hAnsi="宋体" w:hint="eastAsia"/>
          <w:bCs/>
          <w:sz w:val="32"/>
          <w:szCs w:val="32"/>
        </w:rPr>
        <w:t>22.68</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22.68</w:t>
      </w:r>
      <w:r>
        <w:rPr>
          <w:rFonts w:ascii="仿宋_GB2312" w:eastAsia="仿宋_GB2312" w:hAnsi="宋体" w:hint="eastAsia"/>
          <w:bCs/>
          <w:sz w:val="32"/>
          <w:szCs w:val="32"/>
        </w:rPr>
        <w:t>万元，其中：人员经费</w:t>
      </w:r>
      <w:r>
        <w:rPr>
          <w:rFonts w:ascii="仿宋_GB2312" w:eastAsia="仿宋_GB2312" w:hAnsi="宋体" w:hint="eastAsia"/>
          <w:bCs/>
          <w:sz w:val="32"/>
          <w:szCs w:val="32"/>
        </w:rPr>
        <w:t>21.05</w:t>
      </w:r>
      <w:r>
        <w:rPr>
          <w:rFonts w:ascii="仿宋_GB2312" w:eastAsia="仿宋_GB2312" w:hAnsi="宋体" w:hint="eastAsia"/>
          <w:bCs/>
          <w:sz w:val="32"/>
          <w:szCs w:val="32"/>
        </w:rPr>
        <w:t>万元，公用经费</w:t>
      </w:r>
      <w:r>
        <w:rPr>
          <w:rFonts w:ascii="仿宋_GB2312" w:eastAsia="仿宋_GB2312" w:hAnsi="宋体" w:hint="eastAsia"/>
          <w:bCs/>
          <w:sz w:val="32"/>
          <w:szCs w:val="32"/>
        </w:rPr>
        <w:t>1.63</w:t>
      </w:r>
      <w:r>
        <w:rPr>
          <w:rFonts w:ascii="仿宋_GB2312" w:eastAsia="仿宋_GB2312" w:hAnsi="宋体" w:hint="eastAsia"/>
          <w:bCs/>
          <w:sz w:val="32"/>
          <w:szCs w:val="32"/>
        </w:rPr>
        <w:t>万元。全年预算执行率</w:t>
      </w:r>
      <w:r>
        <w:rPr>
          <w:rFonts w:ascii="仿宋_GB2312" w:eastAsia="仿宋_GB2312" w:hAnsi="宋体" w:hint="eastAsia"/>
          <w:bCs/>
          <w:sz w:val="32"/>
          <w:szCs w:val="32"/>
        </w:rPr>
        <w:t>100.00%</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基本支出管理情况</w:t>
      </w:r>
      <w:r>
        <w:rPr>
          <w:rFonts w:ascii="仿宋_GB2312" w:eastAsia="仿宋_GB2312" w:hAnsi="宋体" w:hint="eastAsia"/>
          <w:bCs/>
          <w:sz w:val="32"/>
          <w:szCs w:val="32"/>
        </w:rPr>
        <w:br/>
      </w:r>
      <w:r>
        <w:rPr>
          <w:rFonts w:ascii="仿宋_GB2312" w:eastAsia="仿宋_GB2312" w:hAnsi="宋体" w:hint="eastAsia"/>
          <w:bCs/>
          <w:sz w:val="32"/>
          <w:szCs w:val="32"/>
        </w:rPr>
        <w:t>基本支出严格按照财务管理制度执行。人员工资由相关部门严格审核，按月申报</w:t>
      </w:r>
      <w:r>
        <w:rPr>
          <w:rFonts w:ascii="仿宋_GB2312" w:eastAsia="仿宋_GB2312" w:hAnsi="宋体" w:hint="eastAsia"/>
          <w:bCs/>
          <w:sz w:val="32"/>
          <w:szCs w:val="32"/>
        </w:rPr>
        <w:t>及发放。基本公用经费主要用于支付单位日常的办公费、邮电费、差旅费、维修（护）费、劳务费、车辆运行维护费等。公务用车运行维护费主要用于单位车辆加油、维修及购买车辆保险。</w:t>
      </w:r>
      <w:r>
        <w:rPr>
          <w:rFonts w:ascii="仿宋_GB2312" w:eastAsia="仿宋_GB2312" w:hAnsi="宋体" w:hint="eastAsia"/>
          <w:bCs/>
          <w:sz w:val="32"/>
          <w:szCs w:val="32"/>
        </w:rPr>
        <w:br/>
      </w:r>
      <w:r>
        <w:rPr>
          <w:rFonts w:ascii="仿宋_GB2312" w:eastAsia="仿宋_GB2312" w:hAnsi="宋体" w:hint="eastAsia"/>
          <w:bCs/>
          <w:sz w:val="32"/>
          <w:szCs w:val="32"/>
        </w:rPr>
        <w:t>（二）项目支出投入、管理和使用情况</w:t>
      </w:r>
      <w:r>
        <w:rPr>
          <w:rFonts w:ascii="仿宋_GB2312" w:eastAsia="仿宋_GB2312" w:hAnsi="宋体" w:hint="eastAsia"/>
          <w:bCs/>
          <w:sz w:val="32"/>
          <w:szCs w:val="32"/>
        </w:rPr>
        <w:br/>
      </w:r>
      <w:r>
        <w:rPr>
          <w:rFonts w:ascii="仿宋_GB2312" w:eastAsia="仿宋_GB2312" w:hAnsi="宋体" w:hint="eastAsia"/>
          <w:bCs/>
          <w:sz w:val="32"/>
          <w:szCs w:val="32"/>
        </w:rPr>
        <w:t>本单位</w:t>
      </w:r>
      <w:r>
        <w:rPr>
          <w:rFonts w:ascii="仿宋_GB2312" w:eastAsia="仿宋_GB2312" w:hAnsi="宋体" w:hint="eastAsia"/>
          <w:bCs/>
          <w:sz w:val="32"/>
          <w:szCs w:val="32"/>
        </w:rPr>
        <w:t>2023</w:t>
      </w:r>
      <w:r>
        <w:rPr>
          <w:rFonts w:ascii="仿宋_GB2312" w:eastAsia="仿宋_GB2312" w:hAnsi="宋体" w:hint="eastAsia"/>
          <w:bCs/>
          <w:sz w:val="32"/>
          <w:szCs w:val="32"/>
        </w:rPr>
        <w:t>年未安排项目支出。</w:t>
      </w: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部门单位整体支出绩效分析：</w:t>
      </w:r>
    </w:p>
    <w:p w:rsidR="001C460C" w:rsidRDefault="006B1CE9">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lastRenderedPageBreak/>
        <w:t xml:space="preserve"> </w:t>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hAnsi="宋体" w:hint="eastAsia"/>
          <w:bCs/>
          <w:sz w:val="32"/>
          <w:szCs w:val="32"/>
        </w:rPr>
        <w:br/>
      </w:r>
      <w:r>
        <w:rPr>
          <w:rFonts w:ascii="仿宋_GB2312" w:eastAsia="仿宋_GB2312" w:hAnsi="宋体" w:hint="eastAsia"/>
          <w:bCs/>
          <w:sz w:val="32"/>
          <w:szCs w:val="32"/>
        </w:rPr>
        <w:t>我单位将部门单位整体绩效目标细化分解为具体的绩效指标，一级指标共</w:t>
      </w:r>
      <w:r>
        <w:rPr>
          <w:rFonts w:ascii="仿宋_GB2312" w:eastAsia="仿宋_GB2312" w:hAnsi="宋体" w:hint="eastAsia"/>
          <w:bCs/>
          <w:sz w:val="32"/>
          <w:szCs w:val="32"/>
        </w:rPr>
        <w:t>1</w:t>
      </w:r>
      <w:r>
        <w:rPr>
          <w:rFonts w:ascii="仿宋_GB2312" w:eastAsia="仿宋_GB2312" w:hAnsi="宋体" w:hint="eastAsia"/>
          <w:bCs/>
          <w:sz w:val="32"/>
          <w:szCs w:val="32"/>
        </w:rPr>
        <w:t>条，二级指标共</w:t>
      </w:r>
      <w:r>
        <w:rPr>
          <w:rFonts w:ascii="仿宋_GB2312" w:eastAsia="仿宋_GB2312" w:hAnsi="宋体" w:hint="eastAsia"/>
          <w:bCs/>
          <w:sz w:val="32"/>
          <w:szCs w:val="32"/>
        </w:rPr>
        <w:t>1</w:t>
      </w:r>
      <w:r>
        <w:rPr>
          <w:rFonts w:ascii="仿宋_GB2312" w:eastAsia="仿宋_GB2312" w:hAnsi="宋体" w:hint="eastAsia"/>
          <w:bCs/>
          <w:sz w:val="32"/>
          <w:szCs w:val="32"/>
        </w:rPr>
        <w:t>条，三级指标共</w:t>
      </w:r>
      <w:r>
        <w:rPr>
          <w:rFonts w:ascii="仿宋_GB2312" w:eastAsia="仿宋_GB2312" w:hAnsi="宋体" w:hint="eastAsia"/>
          <w:bCs/>
          <w:sz w:val="32"/>
          <w:szCs w:val="32"/>
        </w:rPr>
        <w:t>4</w:t>
      </w:r>
      <w:r>
        <w:rPr>
          <w:rFonts w:ascii="仿宋_GB2312" w:eastAsia="仿宋_GB2312" w:hAnsi="宋体" w:hint="eastAsia"/>
          <w:bCs/>
          <w:sz w:val="32"/>
          <w:szCs w:val="32"/>
        </w:rPr>
        <w:t>条，其中量化指标条数共</w:t>
      </w:r>
      <w:r>
        <w:rPr>
          <w:rFonts w:ascii="仿宋_GB2312" w:eastAsia="仿宋_GB2312" w:hAnsi="宋体" w:hint="eastAsia"/>
          <w:bCs/>
          <w:sz w:val="32"/>
          <w:szCs w:val="32"/>
        </w:rPr>
        <w:t>4</w:t>
      </w:r>
      <w:r>
        <w:rPr>
          <w:rFonts w:ascii="仿宋_GB2312" w:eastAsia="仿宋_GB2312" w:hAnsi="宋体" w:hint="eastAsia"/>
          <w:bCs/>
          <w:sz w:val="32"/>
          <w:szCs w:val="32"/>
        </w:rPr>
        <w:t>条，所有绩效指标均通过清晰、可衡量的指标</w:t>
      </w:r>
      <w:proofErr w:type="gramStart"/>
      <w:r>
        <w:rPr>
          <w:rFonts w:ascii="仿宋_GB2312" w:eastAsia="仿宋_GB2312" w:hAnsi="宋体" w:hint="eastAsia"/>
          <w:bCs/>
          <w:sz w:val="32"/>
          <w:szCs w:val="32"/>
        </w:rPr>
        <w:t>值予以</w:t>
      </w:r>
      <w:proofErr w:type="gramEnd"/>
      <w:r>
        <w:rPr>
          <w:rFonts w:ascii="仿宋_GB2312" w:eastAsia="仿宋_GB2312" w:hAnsi="宋体" w:hint="eastAsia"/>
          <w:bCs/>
          <w:sz w:val="32"/>
          <w:szCs w:val="32"/>
        </w:rPr>
        <w:t>体现。</w:t>
      </w:r>
      <w:r>
        <w:rPr>
          <w:rFonts w:ascii="仿宋_GB2312" w:eastAsia="仿宋_GB2312" w:hAnsi="宋体" w:hint="eastAsia"/>
          <w:bCs/>
          <w:sz w:val="32"/>
          <w:szCs w:val="32"/>
        </w:rPr>
        <w:br/>
      </w:r>
      <w:r>
        <w:rPr>
          <w:rFonts w:ascii="仿宋_GB2312" w:eastAsia="仿宋_GB2312" w:hAnsi="宋体" w:hint="eastAsia"/>
          <w:bCs/>
          <w:sz w:val="32"/>
          <w:szCs w:val="32"/>
        </w:rPr>
        <w:t>（一）指标</w:t>
      </w:r>
      <w:proofErr w:type="gramStart"/>
      <w:r>
        <w:rPr>
          <w:rFonts w:ascii="仿宋_GB2312" w:eastAsia="仿宋_GB2312" w:hAnsi="宋体" w:hint="eastAsia"/>
          <w:bCs/>
          <w:sz w:val="32"/>
          <w:szCs w:val="32"/>
        </w:rPr>
        <w:t>一</w:t>
      </w:r>
      <w:proofErr w:type="gramEnd"/>
      <w:r>
        <w:rPr>
          <w:rFonts w:ascii="仿宋_GB2312" w:eastAsia="仿宋_GB2312" w:hAnsi="宋体" w:hint="eastAsia"/>
          <w:bCs/>
          <w:sz w:val="32"/>
          <w:szCs w:val="32"/>
        </w:rPr>
        <w:t>：运行成本</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（二）指</w:t>
      </w:r>
      <w:r>
        <w:rPr>
          <w:rFonts w:ascii="仿宋_GB2312" w:eastAsia="仿宋_GB2312" w:hAnsi="宋体" w:hint="eastAsia"/>
          <w:bCs/>
          <w:sz w:val="32"/>
          <w:szCs w:val="32"/>
        </w:rPr>
        <w:t>标二：管理效率</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（三）指标三：履职效能</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1</w:t>
      </w:r>
      <w:r>
        <w:rPr>
          <w:rFonts w:ascii="仿宋_GB2312" w:eastAsia="仿宋_GB2312" w:hAnsi="宋体" w:hint="eastAsia"/>
          <w:bCs/>
          <w:sz w:val="32"/>
          <w:szCs w:val="32"/>
        </w:rPr>
        <w:t>：开展各类联谊活动次数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&gt;=6</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=4</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=6</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；成效分析：通过单位正常运转，提高了侨眷对社会的文化包容性和开放性，有助于消除文化隔阂和偏见。</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2</w:t>
      </w:r>
      <w:r>
        <w:rPr>
          <w:rFonts w:ascii="仿宋_GB2312" w:eastAsia="仿宋_GB2312" w:hAnsi="宋体" w:hint="eastAsia"/>
          <w:bCs/>
          <w:sz w:val="32"/>
          <w:szCs w:val="32"/>
        </w:rPr>
        <w:t>：走访归侨侨眷家庭户数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&gt;=20</w:t>
      </w:r>
      <w:r>
        <w:rPr>
          <w:rFonts w:ascii="仿宋_GB2312" w:eastAsia="仿宋_GB2312" w:hAnsi="宋体" w:hint="eastAsia"/>
          <w:bCs/>
          <w:sz w:val="32"/>
          <w:szCs w:val="32"/>
        </w:rPr>
        <w:t>户；监控节点完成值：</w:t>
      </w:r>
      <w:r>
        <w:rPr>
          <w:rFonts w:ascii="仿宋_GB2312" w:eastAsia="仿宋_GB2312" w:hAnsi="宋体" w:hint="eastAsia"/>
          <w:bCs/>
          <w:sz w:val="32"/>
          <w:szCs w:val="32"/>
        </w:rPr>
        <w:t>=15</w:t>
      </w:r>
      <w:r>
        <w:rPr>
          <w:rFonts w:ascii="仿宋_GB2312" w:eastAsia="仿宋_GB2312" w:hAnsi="宋体" w:hint="eastAsia"/>
          <w:bCs/>
          <w:sz w:val="32"/>
          <w:szCs w:val="32"/>
        </w:rPr>
        <w:t>户；评价实际完成值：</w:t>
      </w:r>
      <w:r>
        <w:rPr>
          <w:rFonts w:ascii="仿宋_GB2312" w:eastAsia="仿宋_GB2312" w:hAnsi="宋体" w:hint="eastAsia"/>
          <w:bCs/>
          <w:sz w:val="32"/>
          <w:szCs w:val="32"/>
        </w:rPr>
        <w:t>=21</w:t>
      </w:r>
      <w:r>
        <w:rPr>
          <w:rFonts w:ascii="仿宋_GB2312" w:eastAsia="仿宋_GB2312" w:hAnsi="宋体" w:hint="eastAsia"/>
          <w:bCs/>
          <w:sz w:val="32"/>
          <w:szCs w:val="32"/>
        </w:rPr>
        <w:t>户；指标完成率：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；成效分析：通过单位正常运转，提高了侨眷的凝聚力和向心力，增进了对侨眷的了解和尊重。</w:t>
      </w:r>
      <w:r>
        <w:rPr>
          <w:rFonts w:ascii="仿宋_GB2312" w:eastAsia="仿宋_GB2312" w:hAnsi="宋体" w:hint="eastAsia"/>
          <w:bCs/>
          <w:sz w:val="32"/>
          <w:szCs w:val="32"/>
        </w:rPr>
        <w:br/>
      </w:r>
      <w:r>
        <w:rPr>
          <w:rFonts w:ascii="仿宋_GB2312" w:eastAsia="仿宋_GB2312" w:hAnsi="宋体" w:hint="eastAsia"/>
          <w:bCs/>
          <w:sz w:val="32"/>
          <w:szCs w:val="32"/>
        </w:rPr>
        <w:t>数量指</w:t>
      </w:r>
      <w:r>
        <w:rPr>
          <w:rFonts w:ascii="仿宋_GB2312" w:eastAsia="仿宋_GB2312" w:hAnsi="宋体" w:hint="eastAsia"/>
          <w:bCs/>
          <w:sz w:val="32"/>
          <w:szCs w:val="32"/>
        </w:rPr>
        <w:t>标</w:t>
      </w:r>
      <w:r>
        <w:rPr>
          <w:rFonts w:ascii="仿宋_GB2312" w:eastAsia="仿宋_GB2312" w:hAnsi="宋体" w:hint="eastAsia"/>
          <w:bCs/>
          <w:sz w:val="32"/>
          <w:szCs w:val="32"/>
        </w:rPr>
        <w:t>3</w:t>
      </w:r>
      <w:r>
        <w:rPr>
          <w:rFonts w:ascii="仿宋_GB2312" w:eastAsia="仿宋_GB2312" w:hAnsi="宋体" w:hint="eastAsia"/>
          <w:bCs/>
          <w:sz w:val="32"/>
          <w:szCs w:val="32"/>
        </w:rPr>
        <w:t>：走访侨资企业经营状况次数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&gt;=3</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=2</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=3</w:t>
      </w:r>
      <w:r>
        <w:rPr>
          <w:rFonts w:ascii="仿宋_GB2312" w:eastAsia="仿宋_GB2312" w:hAnsi="宋体" w:hint="eastAsia"/>
          <w:bCs/>
          <w:sz w:val="32"/>
          <w:szCs w:val="32"/>
        </w:rPr>
        <w:t>次；指标完成率：</w:t>
      </w:r>
      <w:r>
        <w:rPr>
          <w:rFonts w:ascii="仿宋_GB2312" w:eastAsia="仿宋_GB2312" w:hAnsi="宋体" w:hint="eastAsia"/>
          <w:bCs/>
          <w:sz w:val="32"/>
          <w:szCs w:val="32"/>
        </w:rPr>
        <w:lastRenderedPageBreak/>
        <w:t>100.00%</w:t>
      </w:r>
      <w:r>
        <w:rPr>
          <w:rFonts w:ascii="仿宋_GB2312" w:eastAsia="仿宋_GB2312" w:hAnsi="宋体" w:hint="eastAsia"/>
          <w:bCs/>
          <w:sz w:val="32"/>
          <w:szCs w:val="32"/>
        </w:rPr>
        <w:t>；成效分析：通过单位正常运转，提升了工作人员的认知视野和思维方式，促进文化交流与融合方面的独特作用。</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4</w:t>
      </w:r>
      <w:r>
        <w:rPr>
          <w:rFonts w:ascii="仿宋_GB2312" w:eastAsia="仿宋_GB2312" w:hAnsi="宋体" w:hint="eastAsia"/>
          <w:bCs/>
          <w:sz w:val="32"/>
          <w:szCs w:val="32"/>
        </w:rPr>
        <w:t>：开展侨眷思想政治引领学习次数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&gt;=3</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=2</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=3</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；成效分析：通过单位正常运转，提升了文化认同与家国情怀。</w:t>
      </w:r>
      <w:r>
        <w:rPr>
          <w:rFonts w:ascii="仿宋_GB2312" w:eastAsia="仿宋_GB2312" w:hAnsi="宋体" w:hint="eastAsia"/>
          <w:bCs/>
          <w:sz w:val="32"/>
          <w:szCs w:val="32"/>
        </w:rPr>
        <w:br/>
      </w:r>
      <w:r>
        <w:rPr>
          <w:rFonts w:ascii="仿宋_GB2312" w:eastAsia="仿宋_GB2312" w:hAnsi="宋体" w:hint="eastAsia"/>
          <w:bCs/>
          <w:sz w:val="32"/>
          <w:szCs w:val="32"/>
        </w:rPr>
        <w:t>（四）指标四：社会效益</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（五）指标五：可持续发展能力</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（六）指标六：服务对象满意度</w:t>
      </w:r>
      <w:r>
        <w:rPr>
          <w:rFonts w:ascii="仿宋_GB2312" w:eastAsia="仿宋_GB2312" w:hAnsi="宋体" w:hint="eastAsia"/>
          <w:bCs/>
          <w:sz w:val="32"/>
          <w:szCs w:val="32"/>
        </w:rPr>
        <w:br/>
      </w:r>
      <w:r>
        <w:rPr>
          <w:rFonts w:ascii="仿宋_GB2312" w:eastAsia="仿宋_GB2312" w:hAnsi="宋体" w:hint="eastAsia"/>
          <w:bCs/>
          <w:sz w:val="32"/>
          <w:szCs w:val="32"/>
        </w:rPr>
        <w:t>无此项指标。</w:t>
      </w: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评价结论：</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ascii="仿宋_GB2312" w:eastAsia="仿宋_GB2312" w:hAnsi="宋体" w:hint="eastAsia"/>
          <w:bCs/>
          <w:sz w:val="32"/>
          <w:szCs w:val="32"/>
        </w:rPr>
        <w:br/>
        <w:t>2023</w:t>
      </w:r>
      <w:r>
        <w:rPr>
          <w:rFonts w:ascii="仿宋_GB2312" w:eastAsia="仿宋_GB2312" w:hAnsi="宋体" w:hint="eastAsia"/>
          <w:bCs/>
          <w:sz w:val="32"/>
          <w:szCs w:val="32"/>
        </w:rPr>
        <w:t>年度部门整体支出绩效自评综合得分</w:t>
      </w:r>
      <w:r>
        <w:rPr>
          <w:rFonts w:ascii="仿宋_GB2312" w:eastAsia="仿宋_GB2312" w:hAnsi="宋体" w:hint="eastAsia"/>
          <w:bCs/>
          <w:sz w:val="32"/>
          <w:szCs w:val="32"/>
        </w:rPr>
        <w:t>100</w:t>
      </w:r>
      <w:r>
        <w:rPr>
          <w:rFonts w:ascii="仿宋_GB2312" w:eastAsia="仿宋_GB2312" w:hAnsi="宋体" w:hint="eastAsia"/>
          <w:bCs/>
          <w:sz w:val="32"/>
          <w:szCs w:val="32"/>
        </w:rPr>
        <w:t>分，评价结果为“优”。</w:t>
      </w: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存在的主要问题及原因分析：</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2023</w:t>
      </w:r>
      <w:r>
        <w:rPr>
          <w:rFonts w:ascii="仿宋_GB2312" w:eastAsia="仿宋_GB2312" w:hAnsi="宋体" w:hint="eastAsia"/>
          <w:bCs/>
          <w:sz w:val="32"/>
          <w:szCs w:val="32"/>
        </w:rPr>
        <w:t>年本单位基本支出绩效目标全部完成，不存在未完成绩效目标情况。但在资金管理等方面仍存在部分问题，具体如下：</w:t>
      </w:r>
      <w:r>
        <w:rPr>
          <w:rFonts w:ascii="仿宋_GB2312" w:eastAsia="仿宋_GB2312" w:hAnsi="宋体" w:hint="eastAsia"/>
          <w:bCs/>
          <w:sz w:val="32"/>
          <w:szCs w:val="32"/>
        </w:rPr>
        <w:br/>
      </w:r>
      <w:r>
        <w:rPr>
          <w:rFonts w:ascii="仿宋_GB2312" w:eastAsia="仿宋_GB2312" w:hAnsi="宋体" w:hint="eastAsia"/>
          <w:bCs/>
          <w:sz w:val="32"/>
          <w:szCs w:val="32"/>
        </w:rPr>
        <w:t>一是对预算绩效的认识还不够深入，相关知识了解还不够、掌握还不够多，把绩</w:t>
      </w:r>
      <w:r>
        <w:rPr>
          <w:rFonts w:ascii="仿宋_GB2312" w:eastAsia="仿宋_GB2312" w:hAnsi="宋体" w:hint="eastAsia"/>
          <w:bCs/>
          <w:sz w:val="32"/>
          <w:szCs w:val="32"/>
        </w:rPr>
        <w:t>效管理简单等同于工作目标、工作考核和业务管理；二是</w:t>
      </w:r>
      <w:r>
        <w:rPr>
          <w:rFonts w:ascii="仿宋_GB2312" w:eastAsia="仿宋_GB2312" w:hAnsi="宋体" w:hint="eastAsia"/>
          <w:bCs/>
          <w:sz w:val="32"/>
          <w:szCs w:val="32"/>
        </w:rPr>
        <w:lastRenderedPageBreak/>
        <w:t>资金管理水平有待进一步提高，财务审核还需进一步加强。</w:t>
      </w:r>
    </w:p>
    <w:p w:rsidR="001C460C" w:rsidRDefault="006B1CE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改进措施和建议：</w:t>
      </w:r>
    </w:p>
    <w:p w:rsidR="001C460C" w:rsidRDefault="006B1CE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）预算绩效观念不深入。</w:t>
      </w:r>
      <w:r>
        <w:rPr>
          <w:rFonts w:ascii="仿宋_GB2312" w:eastAsia="仿宋_GB2312" w:hAnsi="宋体" w:hint="eastAsia"/>
          <w:bCs/>
          <w:sz w:val="32"/>
          <w:szCs w:val="32"/>
        </w:rPr>
        <w:br/>
      </w:r>
      <w:r>
        <w:rPr>
          <w:rFonts w:ascii="仿宋_GB2312" w:eastAsia="仿宋_GB2312" w:hAnsi="宋体" w:hint="eastAsia"/>
          <w:bCs/>
          <w:sz w:val="32"/>
          <w:szCs w:val="32"/>
        </w:rPr>
        <w:t>在日常绩效工作中存在着一定程度的“重分配、轻管理、重支出、轻绩效”的情况，造成该问题的主要原因是自身绩效理念较薄弱，单位绩效目标编制仍有缺失，需要进一步加强对资金绩效管理的重视程度。</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）预算绩效规范管理有盲点。</w:t>
      </w:r>
      <w:r>
        <w:rPr>
          <w:rFonts w:ascii="仿宋_GB2312" w:eastAsia="仿宋_GB2312" w:hAnsi="宋体" w:hint="eastAsia"/>
          <w:bCs/>
          <w:sz w:val="32"/>
          <w:szCs w:val="32"/>
        </w:rPr>
        <w:br/>
      </w:r>
      <w:r>
        <w:rPr>
          <w:rFonts w:ascii="仿宋_GB2312" w:eastAsia="仿宋_GB2312" w:hAnsi="宋体" w:hint="eastAsia"/>
          <w:bCs/>
          <w:sz w:val="32"/>
          <w:szCs w:val="32"/>
        </w:rPr>
        <w:t>财务人员面对当前绩效管理工作既没有现成的经验可供借鉴，又缺乏专业性很强的技能储备，只能是边工作、边学习、边积累，短期内部分工</w:t>
      </w:r>
      <w:proofErr w:type="gramStart"/>
      <w:r>
        <w:rPr>
          <w:rFonts w:ascii="仿宋_GB2312" w:eastAsia="仿宋_GB2312" w:hAnsi="宋体" w:hint="eastAsia"/>
          <w:bCs/>
          <w:sz w:val="32"/>
          <w:szCs w:val="32"/>
        </w:rPr>
        <w:t>作只能</w:t>
      </w:r>
      <w:proofErr w:type="gramEnd"/>
      <w:r>
        <w:rPr>
          <w:rFonts w:ascii="仿宋_GB2312" w:eastAsia="仿宋_GB2312" w:hAnsi="宋体" w:hint="eastAsia"/>
          <w:bCs/>
          <w:sz w:val="32"/>
          <w:szCs w:val="32"/>
        </w:rPr>
        <w:t>停留在表面，难以</w:t>
      </w:r>
      <w:r>
        <w:rPr>
          <w:rFonts w:ascii="仿宋_GB2312" w:eastAsia="仿宋_GB2312" w:hAnsi="宋体" w:hint="eastAsia"/>
          <w:bCs/>
          <w:sz w:val="32"/>
          <w:szCs w:val="32"/>
        </w:rPr>
        <w:t>做到程序规范、管理科学，难以满足当前绩效管理要求。</w:t>
      </w:r>
    </w:p>
    <w:p w:rsidR="001C460C" w:rsidRDefault="001C460C"/>
    <w:sectPr w:rsidR="001C460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460C"/>
    <w:rsid w:val="001C7F2C"/>
    <w:rsid w:val="00340E58"/>
    <w:rsid w:val="003E45AA"/>
    <w:rsid w:val="00486CD9"/>
    <w:rsid w:val="00584481"/>
    <w:rsid w:val="00653C1A"/>
    <w:rsid w:val="006B1CE9"/>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809350-B22B-4FDF-9D0A-C9E31624D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443</Words>
  <Characters>2529</Characters>
  <Application>Microsoft Office Word</Application>
  <DocSecurity>0</DocSecurity>
  <Lines>21</Lines>
  <Paragraphs>5</Paragraphs>
  <ScaleCrop>false</ScaleCrop>
  <Company>Microsoft</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用户</cp:lastModifiedBy>
  <cp:revision>2</cp:revision>
  <dcterms:created xsi:type="dcterms:W3CDTF">2024-08-20T10:01:00Z</dcterms:created>
  <dcterms:modified xsi:type="dcterms:W3CDTF">2024-08-20T10:01:00Z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