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val="en-US" w:eastAsia="zh-CN"/>
        </w:rPr>
        <w:t>库尔勒市康都街道办事处</w:t>
      </w:r>
      <w:r>
        <w:rPr>
          <w:rFonts w:hint="eastAsia" w:ascii="方正小标宋_GBK" w:hAnsi="宋体" w:eastAsia="方正小标宋_GBK"/>
          <w:color w:val="auto"/>
          <w:sz w:val="44"/>
          <w:szCs w:val="44"/>
          <w:highlight w:val="none"/>
          <w:lang w:eastAsia="zh-CN"/>
        </w:rPr>
        <w:t xml:space="preserve"> 2023年度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部门决算公开说明</w:t>
      </w:r>
      <w:bookmarkStart w:id="48" w:name="_GoBack"/>
      <w:bookmarkEnd w:id="48"/>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1</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 xml:space="preserve">贯彻执行党和国家的各项方针、政策、法令、法规上级人民政府关于街道工作方面的决定，制定具体的管理办法并组织实施。  </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2</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 xml:space="preserve">负责辖区内的社会管理综合治理，人民调解、法律服务工作，依照有关规定管理外来流动人员。 </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3</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 xml:space="preserve">开展社区服务、拥军优属工作，负责社区优抚、社会救济、社会福利工作，做好社区文化、科普、体育、教育工作。 </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4</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 xml:space="preserve">按照职责范围做好计划生育、爱国卫生、绿化、环境保护、劳动就业、安全生产等管理工作。    </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5</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配合有关部门做好防汛、防风、防火、防震、抢险和防灾救灾工作。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6</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会同有关部门做好本辖区综治、维稳等工作；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7</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负责辖区内市容市貌和环境卫生的日常管理工作，发动辖区单位和群众保护环境，开展爱国卫生运动；</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8</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指导和帮助居民委员会的工作，调解</w:t>
      </w:r>
      <w:r>
        <w:rPr>
          <w:rFonts w:hint="eastAsia" w:ascii="方正仿宋_GBK" w:hAnsi="方正仿宋_GBK" w:eastAsia="方正仿宋_GBK" w:cs="方正仿宋_GBK"/>
          <w:color w:val="auto"/>
          <w:sz w:val="31"/>
          <w:szCs w:val="31"/>
          <w:highlight w:val="none"/>
          <w:lang w:eastAsia="zh-CN"/>
        </w:rPr>
        <w:t>解决</w:t>
      </w:r>
      <w:r>
        <w:rPr>
          <w:rFonts w:hint="eastAsia" w:ascii="方正仿宋_GBK" w:hAnsi="方正仿宋_GBK" w:eastAsia="方正仿宋_GBK" w:cs="方正仿宋_GBK"/>
          <w:color w:val="auto"/>
          <w:sz w:val="31"/>
          <w:szCs w:val="31"/>
          <w:highlight w:val="none"/>
        </w:rPr>
        <w:t>行政事务、社会管理和公共服务方面的问题，促进居民委员会的依法建设。</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9</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协助武装部门做好国防动员、民兵训练和公民服兵役工作；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10</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维护老年人、妇女、青少年、儿童和残疾人的合法权益。</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11</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动员和领导居民及各单位、各部门开展社区建设工作；制定并实施社区建设规划和年度计划；</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rPr>
      </w:pP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12</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 xml:space="preserve"> 向市党委、市政府反映居民群众的意见和要求，办理人民群众的来信来访等事项。 </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仿宋_GB2312" w:eastAsia="仿宋_GB2312"/>
          <w:color w:val="auto"/>
          <w:sz w:val="32"/>
          <w:szCs w:val="32"/>
          <w:highlight w:val="none"/>
        </w:rPr>
      </w:pP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1</w:t>
      </w:r>
      <w:r>
        <w:rPr>
          <w:rFonts w:hint="eastAsia" w:ascii="方正仿宋_GBK" w:hAnsi="方正仿宋_GBK" w:eastAsia="方正仿宋_GBK" w:cs="方正仿宋_GBK"/>
          <w:color w:val="auto"/>
          <w:sz w:val="31"/>
          <w:szCs w:val="31"/>
          <w:highlight w:val="none"/>
          <w:lang w:val="en-US" w:eastAsia="zh-CN"/>
        </w:rPr>
        <w:t>3</w:t>
      </w:r>
      <w:r>
        <w:rPr>
          <w:rFonts w:hint="eastAsia" w:ascii="方正仿宋_GBK" w:hAnsi="方正仿宋_GBK" w:eastAsia="方正仿宋_GBK" w:cs="方正仿宋_GBK"/>
          <w:color w:val="auto"/>
          <w:sz w:val="31"/>
          <w:szCs w:val="31"/>
          <w:highlight w:val="none"/>
          <w:lang w:eastAsia="zh-CN"/>
        </w:rPr>
        <w:t>）</w:t>
      </w:r>
      <w:r>
        <w:rPr>
          <w:rFonts w:hint="eastAsia" w:ascii="方正仿宋_GBK" w:hAnsi="方正仿宋_GBK" w:eastAsia="方正仿宋_GBK" w:cs="方正仿宋_GBK"/>
          <w:color w:val="auto"/>
          <w:sz w:val="31"/>
          <w:szCs w:val="31"/>
          <w:highlight w:val="none"/>
        </w:rPr>
        <w:t>承办市党委、市政府交办的其他事项。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库尔勒市康都街道办事处</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bCs/>
          <w:color w:val="auto"/>
          <w:kern w:val="0"/>
          <w:sz w:val="31"/>
          <w:szCs w:val="31"/>
          <w:highlight w:val="none"/>
        </w:rPr>
      </w:pPr>
      <w:r>
        <w:rPr>
          <w:rFonts w:hint="eastAsia" w:ascii="仿宋_GB2312" w:hAnsi="黑体" w:eastAsia="仿宋_GB2312" w:cs="宋体"/>
          <w:bCs/>
          <w:color w:val="auto"/>
          <w:kern w:val="0"/>
          <w:sz w:val="32"/>
          <w:szCs w:val="32"/>
          <w:highlight w:val="none"/>
        </w:rPr>
        <w:t>单位无下属预算单位，</w:t>
      </w:r>
      <w:r>
        <w:rPr>
          <w:rFonts w:hint="eastAsia" w:ascii="方正仿宋_GBK" w:hAnsi="方正仿宋_GBK" w:eastAsia="方正仿宋_GBK" w:cs="方正仿宋_GBK"/>
          <w:bCs/>
          <w:color w:val="auto"/>
          <w:kern w:val="0"/>
          <w:sz w:val="31"/>
          <w:szCs w:val="31"/>
          <w:highlight w:val="none"/>
        </w:rPr>
        <w:t>下设</w:t>
      </w:r>
      <w:r>
        <w:rPr>
          <w:rFonts w:hint="eastAsia" w:ascii="Times New Roman" w:hAnsi="Times New Roman" w:eastAsia="方正仿宋_GBK" w:cs="Times New Roman"/>
          <w:color w:val="auto"/>
          <w:sz w:val="31"/>
          <w:szCs w:val="31"/>
          <w:highlight w:val="none"/>
          <w:lang w:val="en-US" w:eastAsia="zh-CN"/>
        </w:rPr>
        <w:t>6</w:t>
      </w:r>
      <w:r>
        <w:rPr>
          <w:rFonts w:hint="eastAsia" w:ascii="方正仿宋_GBK" w:hAnsi="方正仿宋_GBK" w:eastAsia="方正仿宋_GBK" w:cs="方正仿宋_GBK"/>
          <w:bCs/>
          <w:color w:val="auto"/>
          <w:kern w:val="0"/>
          <w:sz w:val="31"/>
          <w:szCs w:val="31"/>
          <w:highlight w:val="none"/>
        </w:rPr>
        <w:t>个处室，分别是：</w:t>
      </w:r>
      <w:r>
        <w:rPr>
          <w:rFonts w:hint="eastAsia" w:ascii="方正仿宋_GBK" w:hAnsi="方正仿宋_GBK" w:eastAsia="方正仿宋_GBK" w:cs="方正仿宋_GBK"/>
          <w:bCs/>
          <w:color w:val="auto"/>
          <w:kern w:val="0"/>
          <w:sz w:val="31"/>
          <w:szCs w:val="31"/>
          <w:highlight w:val="none"/>
          <w:lang w:val="en-US" w:eastAsia="zh-CN"/>
        </w:rPr>
        <w:t>综合执法办、</w:t>
      </w:r>
      <w:r>
        <w:rPr>
          <w:rFonts w:hint="eastAsia" w:ascii="方正仿宋_GBK" w:hAnsi="方正仿宋_GBK" w:eastAsia="方正仿宋_GBK" w:cs="方正仿宋_GBK"/>
          <w:bCs/>
          <w:color w:val="auto"/>
          <w:kern w:val="0"/>
          <w:sz w:val="31"/>
          <w:szCs w:val="31"/>
          <w:highlight w:val="none"/>
        </w:rPr>
        <w:t>综合协调办、党建办、</w:t>
      </w:r>
      <w:r>
        <w:rPr>
          <w:rFonts w:hint="eastAsia" w:ascii="方正仿宋_GBK" w:hAnsi="方正仿宋_GBK" w:eastAsia="方正仿宋_GBK" w:cs="方正仿宋_GBK"/>
          <w:bCs/>
          <w:color w:val="auto"/>
          <w:kern w:val="0"/>
          <w:sz w:val="31"/>
          <w:szCs w:val="31"/>
          <w:highlight w:val="none"/>
          <w:lang w:val="en-US" w:eastAsia="zh-CN"/>
        </w:rPr>
        <w:t>综治网格化服务中心、社会退役军人服务中心、党群服务中心。</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1,306.53万元，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1,306.53万元，使用非财政拨款结余0.00万元，年初结转和结余0.00万元。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1,306.53万元，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1,306.53万元，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减少3.96</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下降0.30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公岗及事业岗人员辞职、人员减少、工资、社保支出减少；</w:t>
      </w:r>
      <w:r>
        <w:rPr>
          <w:rFonts w:hint="eastAsia" w:ascii="方正仿宋_GBK" w:hAnsi="方正仿宋_GBK" w:eastAsia="方正仿宋_GBK" w:cs="方正仿宋_GBK"/>
          <w:color w:val="auto"/>
          <w:sz w:val="31"/>
          <w:szCs w:val="31"/>
          <w:highlight w:val="none"/>
          <w:lang w:val="en-US" w:eastAsia="zh-CN"/>
        </w:rPr>
        <w:t>认真</w:t>
      </w:r>
      <w:r>
        <w:rPr>
          <w:rFonts w:hint="eastAsia" w:ascii="方正仿宋_GBK" w:hAnsi="方正仿宋_GBK" w:eastAsia="方正仿宋_GBK" w:cs="方正仿宋_GBK"/>
          <w:color w:val="auto"/>
          <w:sz w:val="31"/>
          <w:szCs w:val="31"/>
          <w:highlight w:val="none"/>
          <w:lang w:val="en-US" w:eastAsia="zh-CN"/>
        </w:rPr>
        <w:t>贯彻落实中央八项规定</w:t>
      </w:r>
      <w:r>
        <w:rPr>
          <w:rFonts w:hint="eastAsia" w:ascii="方正仿宋_GBK" w:hAnsi="方正仿宋_GBK" w:eastAsia="方正仿宋_GBK" w:cs="方正仿宋_GBK"/>
          <w:color w:val="auto"/>
          <w:sz w:val="31"/>
          <w:szCs w:val="31"/>
          <w:highlight w:val="none"/>
          <w:lang w:val="en-US" w:eastAsia="zh-CN"/>
        </w:rPr>
        <w:t>精神要求，从严控制经费开支</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1,306.53</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1,306.53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本年支出1,306.53万元，其中：基本支出1,128.75万元，占86.39%；项目支出177.78万元，占13.61%；上缴上级支出0.00万元，占0.00%；经营支出0.00万元，占0.00%；对附属单位补助支出0.00万元，占0.00%。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1,306.53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1,306.53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1,306.53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1,306.53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,减少3.96</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下降0.30%,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公岗及事业岗人员辞职、人员减少、工资、社保支出减少；</w:t>
      </w:r>
      <w:r>
        <w:rPr>
          <w:rFonts w:hint="eastAsia" w:ascii="方正仿宋_GBK" w:hAnsi="方正仿宋_GBK" w:eastAsia="方正仿宋_GBK" w:cs="方正仿宋_GBK"/>
          <w:color w:val="auto"/>
          <w:sz w:val="31"/>
          <w:szCs w:val="31"/>
          <w:highlight w:val="none"/>
          <w:lang w:val="en-US" w:eastAsia="zh-CN"/>
        </w:rPr>
        <w:t>认真</w:t>
      </w:r>
      <w:r>
        <w:rPr>
          <w:rFonts w:hint="eastAsia" w:ascii="方正仿宋_GBK" w:hAnsi="方正仿宋_GBK" w:eastAsia="方正仿宋_GBK" w:cs="方正仿宋_GBK"/>
          <w:color w:val="auto"/>
          <w:sz w:val="31"/>
          <w:szCs w:val="31"/>
          <w:highlight w:val="none"/>
          <w:lang w:val="en-US" w:eastAsia="zh-CN"/>
        </w:rPr>
        <w:t>贯彻落实中央八项规定</w:t>
      </w:r>
      <w:r>
        <w:rPr>
          <w:rFonts w:hint="eastAsia" w:ascii="方正仿宋_GBK" w:hAnsi="方正仿宋_GBK" w:eastAsia="方正仿宋_GBK" w:cs="方正仿宋_GBK"/>
          <w:color w:val="auto"/>
          <w:sz w:val="31"/>
          <w:szCs w:val="31"/>
          <w:highlight w:val="none"/>
          <w:lang w:val="en-US" w:eastAsia="zh-CN"/>
        </w:rPr>
        <w:t>精神要求，从严控制经费开支</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1,265.99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1,306.53</w:t>
      </w:r>
      <w:r>
        <w:rPr>
          <w:rFonts w:hint="eastAsia" w:ascii="仿宋_GB2312" w:eastAsia="仿宋_GB2312"/>
          <w:color w:val="auto"/>
          <w:spacing w:val="0"/>
          <w:sz w:val="32"/>
          <w:szCs w:val="32"/>
          <w:highlight w:val="none"/>
          <w:lang w:eastAsia="zh-CN"/>
        </w:rPr>
        <w:t>万元，预决算差异率3.20%，主要原因是：</w:t>
      </w:r>
      <w:r>
        <w:rPr>
          <w:rFonts w:hint="eastAsia" w:ascii="方正仿宋_GBK" w:hAnsi="方正仿宋_GBK" w:eastAsia="方正仿宋_GBK" w:cs="方正仿宋_GBK"/>
          <w:color w:val="auto"/>
          <w:sz w:val="31"/>
          <w:szCs w:val="31"/>
          <w:highlight w:val="none"/>
          <w:lang w:val="en-US" w:eastAsia="zh-CN"/>
        </w:rPr>
        <w:t>人员调动、社保费基数增加、公用经费的增加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2023年度一般公共预算财政拨款支出1,223.10万元，占本年支出合计的</w:t>
      </w:r>
      <w:r>
        <w:rPr>
          <w:rFonts w:hint="eastAsia" w:ascii="仿宋_GB2312" w:eastAsia="仿宋_GB2312"/>
          <w:color w:val="auto"/>
          <w:spacing w:val="0"/>
          <w:sz w:val="32"/>
          <w:szCs w:val="32"/>
          <w:highlight w:val="none"/>
          <w:lang w:val="zh-CN" w:eastAsia="zh-CN"/>
        </w:rPr>
        <w:t>93.61%</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en-US" w:eastAsia="zh-CN"/>
        </w:rPr>
        <w:t>减少13.39</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下降1.08%,</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公岗及事业岗人员辞职、人员减少、工资、社保支出减少；</w:t>
      </w:r>
      <w:r>
        <w:rPr>
          <w:rFonts w:hint="eastAsia" w:ascii="方正仿宋_GBK" w:hAnsi="方正仿宋_GBK" w:eastAsia="方正仿宋_GBK" w:cs="方正仿宋_GBK"/>
          <w:color w:val="auto"/>
          <w:sz w:val="31"/>
          <w:szCs w:val="31"/>
          <w:highlight w:val="none"/>
          <w:lang w:val="en-US" w:eastAsia="zh-CN"/>
        </w:rPr>
        <w:t>认真</w:t>
      </w:r>
      <w:r>
        <w:rPr>
          <w:rFonts w:hint="eastAsia" w:ascii="方正仿宋_GBK" w:hAnsi="方正仿宋_GBK" w:eastAsia="方正仿宋_GBK" w:cs="方正仿宋_GBK"/>
          <w:color w:val="auto"/>
          <w:sz w:val="31"/>
          <w:szCs w:val="31"/>
          <w:highlight w:val="none"/>
          <w:lang w:val="en-US" w:eastAsia="zh-CN"/>
        </w:rPr>
        <w:t>贯彻落实中央八项规定</w:t>
      </w:r>
      <w:r>
        <w:rPr>
          <w:rFonts w:hint="eastAsia" w:ascii="方正仿宋_GBK" w:hAnsi="方正仿宋_GBK" w:eastAsia="方正仿宋_GBK" w:cs="方正仿宋_GBK"/>
          <w:color w:val="auto"/>
          <w:sz w:val="31"/>
          <w:szCs w:val="31"/>
          <w:highlight w:val="none"/>
          <w:lang w:val="en-US" w:eastAsia="zh-CN"/>
        </w:rPr>
        <w:t>精神要求，从严控制经费开支</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1,254.08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1,223.10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-2.47%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公岗及事业岗人员辞职、人员减少、工资、社保支出减少；</w:t>
      </w:r>
      <w:r>
        <w:rPr>
          <w:rFonts w:hint="eastAsia" w:ascii="方正仿宋_GBK" w:hAnsi="方正仿宋_GBK" w:eastAsia="方正仿宋_GBK" w:cs="方正仿宋_GBK"/>
          <w:color w:val="auto"/>
          <w:sz w:val="31"/>
          <w:szCs w:val="31"/>
          <w:highlight w:val="none"/>
          <w:lang w:val="en-US" w:eastAsia="zh-CN"/>
        </w:rPr>
        <w:t>认真</w:t>
      </w:r>
      <w:r>
        <w:rPr>
          <w:rFonts w:hint="eastAsia" w:ascii="方正仿宋_GBK" w:hAnsi="方正仿宋_GBK" w:eastAsia="方正仿宋_GBK" w:cs="方正仿宋_GBK"/>
          <w:color w:val="auto"/>
          <w:sz w:val="31"/>
          <w:szCs w:val="31"/>
          <w:highlight w:val="none"/>
          <w:lang w:val="en-US" w:eastAsia="zh-CN"/>
        </w:rPr>
        <w:t>贯彻落实中央八项规定</w:t>
      </w:r>
      <w:r>
        <w:rPr>
          <w:rFonts w:hint="eastAsia" w:ascii="方正仿宋_GBK" w:hAnsi="方正仿宋_GBK" w:eastAsia="方正仿宋_GBK" w:cs="方正仿宋_GBK"/>
          <w:color w:val="auto"/>
          <w:sz w:val="31"/>
          <w:szCs w:val="31"/>
          <w:highlight w:val="none"/>
          <w:lang w:val="en-US" w:eastAsia="zh-CN"/>
        </w:rPr>
        <w:t>精神要求，从严控制经费开支</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963.94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78.81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2.04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0.17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118.20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9.66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18.84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1.54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30.23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2.47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89.85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7.35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1.一般公共服务支出（类）组织事务（款）其他组织事务支出（项）:支出决算数为79.44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增加65.40万元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增长465.81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2023年开展文体、健身慰问等活动较2022年增多</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2.其他支出（类）其他支出（款）其他支出（项）:支出决算数为89.85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89.85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方正仿宋_GBK" w:hAnsi="方正仿宋_GBK" w:eastAsia="方正仿宋_GBK" w:cs="方正仿宋_GBK"/>
          <w:color w:val="auto"/>
          <w:sz w:val="31"/>
          <w:szCs w:val="31"/>
          <w:highlight w:val="none"/>
          <w:lang w:val="en-US" w:eastAsia="zh-CN"/>
        </w:rPr>
        <w:t>上年度无此支出。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3.卫生健康支出（类）行政事业单位医疗（款）行政单位医疗（项）:支出决算数为16.63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减少0.46万元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下降2.69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公岗及事业岗人员辞职、人员减少、医疗支出减少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4.社会保障和就业支出（类）行政事业单位养老支出（款）机关事业单位基本养老保险缴费支出（项）:支出决算数为36.81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减少0.66万元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下降1.76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公岗及事业岗人员辞职、人员减少、社保支出减少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5.一般公共服务支出（类）政府办公厅（室）及相关机构事务（款）行政运行（项）:支出决算数为840.41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减少111.78万元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下降11.74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公岗及事业岗人员辞职、人员减少、工资、社保支出减少；</w:t>
      </w:r>
      <w:r>
        <w:rPr>
          <w:rFonts w:hint="eastAsia" w:ascii="方正仿宋_GBK" w:hAnsi="方正仿宋_GBK" w:eastAsia="方正仿宋_GBK" w:cs="方正仿宋_GBK"/>
          <w:color w:val="auto"/>
          <w:sz w:val="31"/>
          <w:szCs w:val="31"/>
          <w:highlight w:val="none"/>
          <w:lang w:val="en-US" w:eastAsia="zh-CN"/>
        </w:rPr>
        <w:t>认真</w:t>
      </w:r>
      <w:r>
        <w:rPr>
          <w:rFonts w:hint="eastAsia" w:ascii="方正仿宋_GBK" w:hAnsi="方正仿宋_GBK" w:eastAsia="方正仿宋_GBK" w:cs="方正仿宋_GBK"/>
          <w:color w:val="auto"/>
          <w:sz w:val="31"/>
          <w:szCs w:val="31"/>
          <w:highlight w:val="none"/>
          <w:lang w:val="en-US" w:eastAsia="zh-CN"/>
        </w:rPr>
        <w:t>贯彻落实中央八项规定</w:t>
      </w:r>
      <w:r>
        <w:rPr>
          <w:rFonts w:hint="eastAsia" w:ascii="方正仿宋_GBK" w:hAnsi="方正仿宋_GBK" w:eastAsia="方正仿宋_GBK" w:cs="方正仿宋_GBK"/>
          <w:color w:val="auto"/>
          <w:sz w:val="31"/>
          <w:szCs w:val="31"/>
          <w:highlight w:val="none"/>
          <w:lang w:val="en-US" w:eastAsia="zh-CN"/>
        </w:rPr>
        <w:t>精神要求，从严控制经费开支</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6.一般公共服务支出（类）政府办公厅（室）及相关机构事务（款）其他政府办公厅（室）及相关机构事务支出（项）:支出决算数为39.59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增加24.86万元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增长168.77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方正仿宋_GBK" w:hAnsi="方正仿宋_GBK" w:eastAsia="方正仿宋_GBK" w:cs="方正仿宋_GBK"/>
          <w:color w:val="auto"/>
          <w:sz w:val="31"/>
          <w:szCs w:val="31"/>
          <w:highlight w:val="none"/>
          <w:lang w:val="en-US" w:eastAsia="zh-CN"/>
        </w:rPr>
        <w:t>项目支出增加、</w:t>
      </w:r>
      <w:r>
        <w:rPr>
          <w:rFonts w:hint="eastAsia" w:eastAsia="仿宋_GB2312" w:cs="Times New Roman"/>
          <w:color w:val="auto"/>
          <w:kern w:val="2"/>
          <w:sz w:val="32"/>
          <w:szCs w:val="32"/>
          <w:highlight w:val="none"/>
          <w:lang w:val="en-US" w:eastAsia="zh-CN" w:bidi="ar-SA"/>
        </w:rPr>
        <w:t>商品及服务支出中办公费支出增加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7.教育支出（类）进修及培训（款）培训支出（项）:支出决算数为2.04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增加0.06万元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增长3.03</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2023年度外出培训较2022年增加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8.一般公共服务支出（类）人大事务（款）代表工作（项）:支出决算数为2.00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方正仿宋_GBK" w:hAnsi="方正仿宋_GBK" w:eastAsia="方正仿宋_GBK" w:cs="方正仿宋_GBK"/>
          <w:color w:val="auto"/>
          <w:sz w:val="31"/>
          <w:szCs w:val="31"/>
          <w:highlight w:val="none"/>
          <w:lang w:val="en-US" w:eastAsia="zh-CN"/>
        </w:rPr>
        <w:t>上年度无此支出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9.社会保障和就业支出（类）就业补助（款）公益性岗位补贴（项）:支出决算数为81.39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减少55.21万元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下降40.42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公岗人员辞职、人员减少、工资、社保支出减少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10.卫生健康支出（类）行政事业单位医疗（款）公务员医疗补助（项）:支出决算数为2.22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增加0.48万元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增长27.59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2023年工资基数提高，公务员医疗补助增加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11.住房保障支出（类）住房改革支出（款）住房公积金（项）:支出决算数为30.23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减少23.08万元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下降43.29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default" w:ascii="Times New Roman" w:hAnsi="Times New Roman" w:eastAsia="方正仿宋_GBK" w:cs="Times New Roman"/>
          <w:color w:val="auto"/>
          <w:sz w:val="31"/>
          <w:szCs w:val="31"/>
          <w:highlight w:val="none"/>
          <w:lang w:val="en-US" w:eastAsia="zh-CN"/>
        </w:rPr>
        <w:t>本年度事业岗公积金计入其他工资福利支出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12.一般公共服务支出（类）纪检监察事务（款）其他纪检监察事务支出（项）:支出决算数为2.50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方正仿宋_GBK" w:hAnsi="方正仿宋_GBK" w:eastAsia="方正仿宋_GBK" w:cs="方正仿宋_GBK"/>
          <w:color w:val="auto"/>
          <w:sz w:val="31"/>
          <w:szCs w:val="31"/>
          <w:highlight w:val="none"/>
          <w:lang w:val="en-US" w:eastAsia="zh-CN"/>
        </w:rPr>
        <w:t>上年度无此支出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13.国防支出（类）国防支出（款）民兵（项）:支出决算数为0万元，比上年决算减少1.08万元，下降100</w:t>
      </w:r>
      <w:r>
        <w:rPr>
          <w:rFonts w:hint="default"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，主要原因是：本年度未安排此项目。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14.卫生健康支出（类）公共卫生（款）突发公共卫生事件应急处理（项）:支出决算数为0万元，比上年决算减少</w:t>
      </w:r>
      <w:r>
        <w:rPr>
          <w:rFonts w:hint="default" w:eastAsia="仿宋_GB2312" w:cs="Times New Roman"/>
          <w:color w:val="auto"/>
          <w:kern w:val="2"/>
          <w:sz w:val="32"/>
          <w:szCs w:val="32"/>
          <w:highlight w:val="none"/>
          <w:lang w:val="en-US" w:eastAsia="zh-CN" w:bidi="ar-SA"/>
        </w:rPr>
        <w:t>6.28</w:t>
      </w:r>
      <w:r>
        <w:rPr>
          <w:rFonts w:hint="eastAsia" w:eastAsia="仿宋_GB2312" w:cs="Times New Roman"/>
          <w:color w:val="auto"/>
          <w:kern w:val="2"/>
          <w:sz w:val="32"/>
          <w:szCs w:val="32"/>
          <w:highlight w:val="none"/>
          <w:lang w:val="en-US" w:eastAsia="zh-CN" w:bidi="ar-SA"/>
        </w:rPr>
        <w:t>万元，下降</w:t>
      </w:r>
      <w:r>
        <w:rPr>
          <w:rFonts w:hint="default"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，主要原因是：本年度未安排此项目。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15.一般公共服务（类）政府办公厅（室）及相关机构事务（款）信访事务（项）：支出决算数为0万元，比上年决算增加0万元，增长0</w:t>
      </w:r>
      <w:r>
        <w:rPr>
          <w:rFonts w:hint="default"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，主要原因是：本年度未安排此项目。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16.一般公共服务（类）纪检监察事务（款）其他纪检监察事务（项）：支出决算数为0万元，比上年决算增加0万元，增长0</w:t>
      </w:r>
      <w:r>
        <w:rPr>
          <w:rFonts w:hint="default"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，主要原因是：本年度未安排此项目。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17.一般公共服务（类）组织事务（款）其他共产党事务（项）：支出决算数为0万元，比上年决算增加0万元，增长0</w:t>
      </w:r>
      <w:r>
        <w:rPr>
          <w:rFonts w:hint="default"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，主要原因是：本年度未安排此项目。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18.公共安全（类）其他公共安全（款）其他公共安全（项）：支出决算数为0万元，比上年决算增加0万元，增长0</w:t>
      </w:r>
      <w:r>
        <w:rPr>
          <w:rFonts w:hint="default"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，主要原因是：本年度未安排此项目。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eastAsia="仿宋_GB2312" w:cs="Times New Roman"/>
          <w:color w:val="auto"/>
          <w:kern w:val="2"/>
          <w:sz w:val="32"/>
          <w:szCs w:val="32"/>
          <w:highlight w:val="none"/>
          <w:lang w:val="en-US" w:eastAsia="zh-CN" w:bidi="ar-SA"/>
        </w:rPr>
        <w:t>19.文化旅游体育与传媒（类）其他文化旅游体育与传媒（款）其他文化旅游体育与传媒（项）：支出决算数为0万元，比上年决算增加0万元，增长0</w:t>
      </w:r>
      <w:r>
        <w:rPr>
          <w:rFonts w:hint="default"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，主要原因是：本年度未安排此项目。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1,128.75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1,047.32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基本工资、津贴补贴、奖金、机关事业单位基本养老保险缴费、职工基本医疗保险缴费、公务员医疗补助缴费、其他社会保障缴费、住房公积金、其他工资福利支出、生活补助。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81.43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办公费、水费、电费、邮电费、取暖费、差旅费、维修（护）费、培训费、工会经费、公务用车运行维护费、其他交通费用</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“三公”经费支出1.27万元，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增长0%,</w:t>
      </w:r>
      <w:r>
        <w:rPr>
          <w:rFonts w:hint="eastAsia" w:ascii="仿宋_GB2312" w:eastAsia="仿宋_GB2312"/>
          <w:color w:val="auto"/>
          <w:sz w:val="32"/>
          <w:szCs w:val="32"/>
          <w:highlight w:val="none"/>
          <w:lang w:val="zh-CN" w:eastAsia="zh-CN"/>
        </w:rPr>
        <w:t>主要原因是：</w:t>
      </w:r>
      <w:r>
        <w:rPr>
          <w:rFonts w:hint="eastAsia" w:ascii="方正仿宋_GBK" w:hAnsi="方正仿宋_GBK" w:eastAsia="方正仿宋_GBK" w:cs="方正仿宋_GBK"/>
          <w:color w:val="auto"/>
          <w:sz w:val="31"/>
          <w:szCs w:val="31"/>
          <w:highlight w:val="none"/>
          <w:lang w:val="en-US" w:eastAsia="zh-CN"/>
        </w:rPr>
        <w:t>认真</w:t>
      </w:r>
      <w:r>
        <w:rPr>
          <w:rFonts w:hint="eastAsia" w:ascii="方正仿宋_GBK" w:hAnsi="方正仿宋_GBK" w:eastAsia="方正仿宋_GBK" w:cs="方正仿宋_GBK"/>
          <w:color w:val="auto"/>
          <w:sz w:val="31"/>
          <w:szCs w:val="31"/>
          <w:highlight w:val="none"/>
          <w:lang w:val="en-US" w:eastAsia="zh-CN"/>
        </w:rPr>
        <w:t>贯彻落实中央八项规定</w:t>
      </w:r>
      <w:r>
        <w:rPr>
          <w:rFonts w:hint="eastAsia" w:ascii="方正仿宋_GBK" w:hAnsi="方正仿宋_GBK" w:eastAsia="方正仿宋_GBK" w:cs="方正仿宋_GBK"/>
          <w:color w:val="auto"/>
          <w:sz w:val="31"/>
          <w:szCs w:val="31"/>
          <w:highlight w:val="none"/>
          <w:lang w:val="en-US" w:eastAsia="zh-CN"/>
        </w:rPr>
        <w:t>精神要求，从严控制“三公”经费开支</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方正仿宋_GBK" w:hAnsi="方正仿宋_GBK" w:eastAsia="方正仿宋_GBK" w:cs="方正仿宋_GBK"/>
          <w:color w:val="auto"/>
          <w:sz w:val="31"/>
          <w:szCs w:val="31"/>
          <w:highlight w:val="none"/>
        </w:rPr>
        <w:t>本年无因公出国（境）费支出，与上年相比无变动</w:t>
      </w:r>
      <w:r>
        <w:rPr>
          <w:rFonts w:hint="eastAsia" w:ascii="仿宋_GB2312" w:eastAsia="仿宋_GB2312"/>
          <w:color w:val="auto"/>
          <w:sz w:val="32"/>
          <w:szCs w:val="32"/>
          <w:highlight w:val="none"/>
          <w:lang w:val="zh-CN" w:eastAsia="zh-CN"/>
        </w:rPr>
        <w:t>；公务用车购置及运行维护费支出1.27万元，占100.00%，比上年增加</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增长0%,</w:t>
      </w:r>
      <w:r>
        <w:rPr>
          <w:rFonts w:hint="eastAsia" w:ascii="仿宋_GB2312" w:eastAsia="仿宋_GB2312"/>
          <w:color w:val="auto"/>
          <w:sz w:val="32"/>
          <w:szCs w:val="32"/>
          <w:highlight w:val="none"/>
          <w:lang w:val="zh-CN" w:eastAsia="zh-CN"/>
        </w:rPr>
        <w:t>主要原因是：</w:t>
      </w:r>
      <w:r>
        <w:rPr>
          <w:rFonts w:hint="eastAsia" w:ascii="方正仿宋_GBK" w:hAnsi="方正仿宋_GBK" w:eastAsia="方正仿宋_GBK" w:cs="方正仿宋_GBK"/>
          <w:color w:val="auto"/>
          <w:sz w:val="31"/>
          <w:szCs w:val="31"/>
          <w:highlight w:val="none"/>
          <w:lang w:val="en-US" w:eastAsia="zh-CN"/>
        </w:rPr>
        <w:t>认真</w:t>
      </w:r>
      <w:r>
        <w:rPr>
          <w:rFonts w:hint="eastAsia" w:ascii="方正仿宋_GBK" w:hAnsi="方正仿宋_GBK" w:eastAsia="方正仿宋_GBK" w:cs="方正仿宋_GBK"/>
          <w:color w:val="auto"/>
          <w:sz w:val="31"/>
          <w:szCs w:val="31"/>
          <w:highlight w:val="none"/>
          <w:lang w:val="en-US" w:eastAsia="zh-CN"/>
        </w:rPr>
        <w:t>贯彻落实中央八项规定</w:t>
      </w:r>
      <w:r>
        <w:rPr>
          <w:rFonts w:hint="eastAsia" w:ascii="方正仿宋_GBK" w:hAnsi="方正仿宋_GBK" w:eastAsia="方正仿宋_GBK" w:cs="方正仿宋_GBK"/>
          <w:color w:val="auto"/>
          <w:sz w:val="31"/>
          <w:szCs w:val="31"/>
          <w:highlight w:val="none"/>
          <w:lang w:val="en-US" w:eastAsia="zh-CN"/>
        </w:rPr>
        <w:t>精神要求，从严控制“三公”经费开支</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方正仿宋_GBK" w:hAnsi="方正仿宋_GBK" w:eastAsia="方正仿宋_GBK" w:cs="方正仿宋_GBK"/>
          <w:color w:val="auto"/>
          <w:sz w:val="31"/>
          <w:szCs w:val="31"/>
          <w:highlight w:val="none"/>
          <w:lang w:eastAsia="zh-CN"/>
        </w:rPr>
        <w:t>我单位无公务接待</w:t>
      </w:r>
      <w:r>
        <w:rPr>
          <w:rFonts w:hint="eastAsia" w:ascii="方正仿宋_GBK" w:hAnsi="方正仿宋_GBK" w:eastAsia="方正仿宋_GBK" w:cs="方正仿宋_GBK"/>
          <w:color w:val="auto"/>
          <w:sz w:val="31"/>
          <w:szCs w:val="31"/>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方正仿宋_GBK" w:hAnsi="方正仿宋_GBK" w:eastAsia="方正仿宋_GBK" w:cs="方正仿宋_GBK"/>
          <w:color w:val="auto"/>
          <w:sz w:val="31"/>
          <w:szCs w:val="31"/>
          <w:highlight w:val="none"/>
        </w:rPr>
        <w:t>本年未安排因公出国（境）费支出，无开支内容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公务用车购置及运行维护费1.27万元，其中：公务用车购置费0.00万元，公务用车运行维护费1.27万元。公务用车运行维护费开支内容包括</w:t>
      </w:r>
      <w:r>
        <w:rPr>
          <w:rFonts w:hint="eastAsia" w:ascii="方正仿宋_GBK" w:hAnsi="方正仿宋_GBK" w:eastAsia="方正仿宋_GBK" w:cs="方正仿宋_GBK"/>
          <w:color w:val="auto"/>
          <w:sz w:val="31"/>
          <w:szCs w:val="31"/>
          <w:highlight w:val="none"/>
          <w:lang w:val="en-US" w:eastAsia="zh-CN"/>
        </w:rPr>
        <w:t>车辆维修、车辆保养、车辆保险等</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方正仿宋_GBK" w:hAnsi="方正仿宋_GBK" w:eastAsia="方正仿宋_GBK" w:cs="方正仿宋_GBK"/>
          <w:color w:val="auto"/>
          <w:sz w:val="31"/>
          <w:szCs w:val="31"/>
          <w:highlight w:val="none"/>
        </w:rPr>
        <w:t>本年未安排公务接待费支出，无开支内容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预算数4.80万元，决算数1.27万元，预决算差异率-73.60%，主要原因是：</w:t>
      </w:r>
      <w:r>
        <w:rPr>
          <w:rFonts w:hint="eastAsia" w:ascii="方正仿宋_GBK" w:hAnsi="方正仿宋_GBK" w:eastAsia="方正仿宋_GBK" w:cs="方正仿宋_GBK"/>
          <w:color w:val="auto"/>
          <w:sz w:val="31"/>
          <w:szCs w:val="31"/>
          <w:highlight w:val="none"/>
          <w:lang w:val="en-US" w:eastAsia="zh-CN"/>
        </w:rPr>
        <w:t>认真</w:t>
      </w:r>
      <w:r>
        <w:rPr>
          <w:rFonts w:hint="eastAsia" w:ascii="方正仿宋_GBK" w:hAnsi="方正仿宋_GBK" w:eastAsia="方正仿宋_GBK" w:cs="方正仿宋_GBK"/>
          <w:color w:val="auto"/>
          <w:sz w:val="31"/>
          <w:szCs w:val="31"/>
          <w:highlight w:val="none"/>
          <w:lang w:val="en-US" w:eastAsia="zh-CN"/>
        </w:rPr>
        <w:t>贯彻落实中央八项规定</w:t>
      </w:r>
      <w:r>
        <w:rPr>
          <w:rFonts w:hint="eastAsia" w:ascii="方正仿宋_GBK" w:hAnsi="方正仿宋_GBK" w:eastAsia="方正仿宋_GBK" w:cs="方正仿宋_GBK"/>
          <w:color w:val="auto"/>
          <w:sz w:val="31"/>
          <w:szCs w:val="31"/>
          <w:highlight w:val="none"/>
          <w:lang w:val="en-US" w:eastAsia="zh-CN"/>
        </w:rPr>
        <w:t>精神要求，从严控制“三公”经费开支</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方正仿宋_GBK" w:hAnsi="方正仿宋_GBK" w:eastAsia="方正仿宋_GBK" w:cs="方正仿宋_GBK"/>
          <w:color w:val="auto"/>
          <w:sz w:val="31"/>
          <w:szCs w:val="31"/>
          <w:highlight w:val="none"/>
        </w:rPr>
        <w:t>本年未安排因公出国（境）</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方正仿宋_GBK" w:hAnsi="方正仿宋_GBK" w:eastAsia="方正仿宋_GBK" w:cs="方正仿宋_GBK"/>
          <w:color w:val="auto"/>
          <w:sz w:val="31"/>
          <w:szCs w:val="31"/>
          <w:highlight w:val="none"/>
          <w:lang w:eastAsia="zh-CN"/>
        </w:rPr>
        <w:t>本年未安排公务用车购置费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预算数4.80万元，决算数1.27万元，预决算差异率-73.60%，主要原因是：</w:t>
      </w:r>
      <w:r>
        <w:rPr>
          <w:rFonts w:hint="eastAsia" w:ascii="方正仿宋_GBK" w:hAnsi="方正仿宋_GBK" w:eastAsia="方正仿宋_GBK" w:cs="方正仿宋_GBK"/>
          <w:color w:val="auto"/>
          <w:sz w:val="31"/>
          <w:szCs w:val="31"/>
          <w:highlight w:val="none"/>
          <w:lang w:val="en-US" w:eastAsia="zh-CN"/>
        </w:rPr>
        <w:t>按照市委市政府有关规定，加强公务车辆出行管理，</w:t>
      </w:r>
      <w:r>
        <w:rPr>
          <w:rFonts w:hint="eastAsia" w:ascii="方正仿宋_GBK" w:hAnsi="方正仿宋_GBK" w:eastAsia="方正仿宋_GBK" w:cs="方正仿宋_GBK"/>
          <w:color w:val="auto"/>
          <w:sz w:val="31"/>
          <w:szCs w:val="31"/>
          <w:highlight w:val="none"/>
          <w:lang w:val="en-US" w:eastAsia="zh-CN"/>
        </w:rPr>
        <w:t>严格控制开支</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方正仿宋_GBK" w:hAnsi="方正仿宋_GBK" w:eastAsia="方正仿宋_GBK" w:cs="方正仿宋_GBK"/>
          <w:color w:val="auto"/>
          <w:sz w:val="31"/>
          <w:szCs w:val="31"/>
          <w:highlight w:val="none"/>
          <w:lang w:eastAsia="zh-CN"/>
        </w:rPr>
        <w:t>本年我单位无公务接待</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2023年度国有资本经营预算</w:t>
      </w:r>
      <w:r>
        <w:rPr>
          <w:rFonts w:hint="eastAsia" w:ascii="Times New Roman" w:hAnsi="Times New Roman" w:eastAsia="仿宋_GB2312" w:cs="Times New Roman"/>
          <w:color w:val="auto"/>
          <w:sz w:val="32"/>
          <w:szCs w:val="32"/>
          <w:highlight w:val="none"/>
          <w:lang w:val="en-US" w:eastAsia="zh-CN"/>
        </w:rPr>
        <w:t>财政拨款</w:t>
      </w:r>
      <w:r>
        <w:rPr>
          <w:rFonts w:hint="eastAsia" w:ascii="Times New Roman" w:hAnsi="Times New Roman" w:eastAsia="仿宋_GB2312" w:cs="Times New Roman"/>
          <w:color w:val="auto"/>
          <w:sz w:val="32"/>
          <w:szCs w:val="32"/>
          <w:highlight w:val="none"/>
          <w:lang w:val="zh-CN" w:eastAsia="zh-CN"/>
        </w:rPr>
        <w:t>收入</w:t>
      </w:r>
      <w:r>
        <w:rPr>
          <w:rFonts w:hint="eastAsia" w:ascii="Times New Roman" w:hAnsi="Times New Roman" w:eastAsia="仿宋_GB2312" w:cs="Times New Roman"/>
          <w:color w:val="auto"/>
          <w:sz w:val="32"/>
          <w:szCs w:val="32"/>
          <w:highlight w:val="none"/>
          <w:lang w:val="en-US" w:eastAsia="zh-CN"/>
        </w:rPr>
        <w:t>总计83.43</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其中：年初结转和结余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本年收入</w:t>
      </w:r>
      <w:r>
        <w:rPr>
          <w:rFonts w:hint="eastAsia" w:ascii="Times New Roman" w:hAnsi="Times New Roman" w:eastAsia="仿宋_GB2312" w:cs="Times New Roman"/>
          <w:color w:val="auto"/>
          <w:sz w:val="32"/>
          <w:szCs w:val="32"/>
          <w:highlight w:val="none"/>
          <w:lang w:val="zh-CN" w:eastAsia="zh-CN"/>
        </w:rPr>
        <w:t>83.43万元。国有资本经营预算财政拨款支出</w:t>
      </w:r>
      <w:r>
        <w:rPr>
          <w:rFonts w:hint="eastAsia" w:ascii="Times New Roman" w:hAnsi="Times New Roman" w:eastAsia="仿宋_GB2312" w:cs="Times New Roman"/>
          <w:color w:val="auto"/>
          <w:sz w:val="32"/>
          <w:szCs w:val="32"/>
          <w:highlight w:val="none"/>
          <w:lang w:val="en-US" w:eastAsia="zh-CN"/>
        </w:rPr>
        <w:t>总计83.43</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其中：年末结转和结余</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en-US" w:eastAsia="zh-CN"/>
        </w:rPr>
        <w:t>本年支出</w:t>
      </w:r>
      <w:r>
        <w:rPr>
          <w:rFonts w:hint="eastAsia" w:ascii="Times New Roman" w:hAnsi="Times New Roman" w:eastAsia="仿宋_GB2312" w:cs="Times New Roman"/>
          <w:color w:val="auto"/>
          <w:sz w:val="32"/>
          <w:szCs w:val="32"/>
          <w:highlight w:val="none"/>
          <w:lang w:val="zh-CN" w:eastAsia="zh-CN"/>
        </w:rPr>
        <w:t>83.43万元。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国有资本经营预算财政拨款</w:t>
      </w:r>
      <w:r>
        <w:rPr>
          <w:rFonts w:hint="eastAsia" w:ascii="Times New Roman" w:hAnsi="Times New Roman" w:eastAsia="仿宋_GB2312" w:cs="Times New Roman"/>
          <w:color w:val="auto"/>
          <w:sz w:val="32"/>
          <w:szCs w:val="32"/>
          <w:highlight w:val="none"/>
          <w:lang w:val="en-US" w:eastAsia="zh-CN"/>
        </w:rPr>
        <w:t>收入支出</w:t>
      </w:r>
      <w:r>
        <w:rPr>
          <w:rFonts w:hint="eastAsia" w:ascii="Times New Roman" w:hAnsi="Times New Roman" w:eastAsia="仿宋_GB2312" w:cs="Times New Roman"/>
          <w:color w:val="auto"/>
          <w:sz w:val="32"/>
          <w:szCs w:val="32"/>
          <w:highlight w:val="none"/>
          <w:lang w:val="zh-CN" w:eastAsia="zh-CN"/>
        </w:rPr>
        <w:t>与上年相比，增加83.43万元</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增长100.00%</w:t>
      </w:r>
      <w:r>
        <w:rPr>
          <w:rFonts w:hint="eastAsia"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zh-CN" w:eastAsia="zh-CN"/>
        </w:rPr>
        <w:t>上年度无此支出</w:t>
      </w:r>
      <w:r>
        <w:rPr>
          <w:rFonts w:hint="eastAsia" w:ascii="Times New Roman" w:hAnsi="Times New Roman" w:eastAsia="仿宋_GB2312" w:cs="Times New Roman"/>
          <w:color w:val="auto"/>
          <w:sz w:val="32"/>
          <w:szCs w:val="32"/>
          <w:highlight w:val="none"/>
          <w:lang w:val="zh-CN" w:eastAsia="zh-CN"/>
        </w:rPr>
        <w:t>。与年初预算相比，年初预算数</w:t>
      </w:r>
      <w:r>
        <w:rPr>
          <w:rFonts w:hint="eastAsia" w:ascii="Times New Roman" w:hAnsi="Times New Roman" w:eastAsia="仿宋_GB2312" w:cs="Times New Roman"/>
          <w:color w:val="auto"/>
          <w:sz w:val="32"/>
          <w:szCs w:val="32"/>
          <w:highlight w:val="none"/>
          <w:lang w:val="en-US" w:eastAsia="zh-CN"/>
        </w:rPr>
        <w:t>11.91</w:t>
      </w:r>
      <w:r>
        <w:rPr>
          <w:rFonts w:hint="eastAsia" w:ascii="Times New Roman" w:hAnsi="Times New Roman" w:eastAsia="仿宋_GB2312" w:cs="Times New Roman"/>
          <w:color w:val="auto"/>
          <w:sz w:val="32"/>
          <w:szCs w:val="32"/>
          <w:highlight w:val="none"/>
          <w:lang w:val="zh-CN" w:eastAsia="zh-CN"/>
        </w:rPr>
        <w:t>万元，决算数</w:t>
      </w:r>
      <w:r>
        <w:rPr>
          <w:rFonts w:hint="eastAsia" w:ascii="Times New Roman" w:hAnsi="Times New Roman" w:eastAsia="仿宋_GB2312" w:cs="Times New Roman"/>
          <w:color w:val="auto"/>
          <w:sz w:val="32"/>
          <w:szCs w:val="32"/>
          <w:highlight w:val="none"/>
          <w:lang w:val="en-US" w:eastAsia="zh-CN"/>
        </w:rPr>
        <w:t>83.43</w:t>
      </w:r>
      <w:r>
        <w:rPr>
          <w:rFonts w:hint="eastAsia" w:ascii="Times New Roman" w:hAnsi="Times New Roman" w:eastAsia="仿宋_GB2312" w:cs="Times New Roman"/>
          <w:color w:val="auto"/>
          <w:sz w:val="32"/>
          <w:szCs w:val="32"/>
          <w:highlight w:val="none"/>
          <w:lang w:val="zh-CN" w:eastAsia="zh-CN"/>
        </w:rPr>
        <w:t>万元，预决算差异率600.71%，主要原因是：</w:t>
      </w:r>
      <w:r>
        <w:rPr>
          <w:rFonts w:hint="eastAsia" w:ascii="Times New Roman" w:hAnsi="Times New Roman" w:eastAsia="仿宋_GB2312" w:cs="Times New Roman"/>
          <w:color w:val="auto"/>
          <w:sz w:val="32"/>
          <w:szCs w:val="32"/>
          <w:highlight w:val="none"/>
          <w:lang w:val="en-US" w:eastAsia="zh-CN"/>
        </w:rPr>
        <w:t>此项</w:t>
      </w:r>
      <w:r>
        <w:rPr>
          <w:rFonts w:hint="eastAsia" w:eastAsia="仿宋_GB2312" w:cs="Times New Roman"/>
          <w:color w:val="auto"/>
          <w:sz w:val="32"/>
          <w:szCs w:val="32"/>
          <w:highlight w:val="none"/>
          <w:lang w:val="en-US" w:eastAsia="zh-CN"/>
        </w:rPr>
        <w:t>目</w:t>
      </w:r>
      <w:r>
        <w:rPr>
          <w:rFonts w:hint="eastAsia" w:ascii="Times New Roman" w:hAnsi="Times New Roman" w:eastAsia="仿宋_GB2312" w:cs="Times New Roman"/>
          <w:color w:val="auto"/>
          <w:sz w:val="32"/>
          <w:szCs w:val="32"/>
          <w:highlight w:val="none"/>
          <w:lang w:val="en-US" w:eastAsia="zh-CN"/>
        </w:rPr>
        <w:t>支出年中追加预算数。</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Times New Roman" w:hAnsi="Times New Roman" w:eastAsia="仿宋_GB2312" w:cs="Times New Roman"/>
          <w:color w:val="auto"/>
          <w:sz w:val="32"/>
          <w:szCs w:val="32"/>
          <w:highlight w:val="none"/>
          <w:lang w:val="zh-CN" w:eastAsia="zh-CN"/>
        </w:rPr>
        <w:t>国有资本经营预算财政拨款支出</w:t>
      </w:r>
      <w:r>
        <w:rPr>
          <w:rFonts w:hint="eastAsia" w:ascii="Times New Roman" w:hAnsi="Times New Roman" w:eastAsia="仿宋_GB2312" w:cs="Times New Roman"/>
          <w:color w:val="auto"/>
          <w:sz w:val="32"/>
          <w:szCs w:val="32"/>
          <w:highlight w:val="none"/>
          <w:lang w:val="en-US" w:eastAsia="zh-CN"/>
        </w:rPr>
        <w:t>83.43</w:t>
      </w:r>
      <w:r>
        <w:rPr>
          <w:rFonts w:hint="eastAsia" w:ascii="Times New Roman" w:hAnsi="Times New Roman" w:eastAsia="仿宋_GB2312" w:cs="Times New Roman"/>
          <w:color w:val="auto"/>
          <w:sz w:val="32"/>
          <w:szCs w:val="32"/>
          <w:highlight w:val="none"/>
          <w:lang w:val="zh-CN" w:eastAsia="zh-CN"/>
        </w:rPr>
        <w:t>万元。</w:t>
      </w:r>
    </w:p>
    <w:p>
      <w:pPr>
        <w:ind w:firstLine="640" w:firstLineChars="200"/>
        <w:rPr>
          <w:rFonts w:hint="eastAsia" w:ascii="Times New Roman" w:hAnsi="Times New Roman" w:eastAsia="仿宋_GB2312" w:cs="Times New Roman"/>
          <w:color w:val="auto"/>
          <w:sz w:val="32"/>
          <w:szCs w:val="32"/>
          <w:highlight w:val="none"/>
          <w:lang w:val="zh-CN" w:eastAsia="zh-CN"/>
        </w:rPr>
      </w:pPr>
      <w:r>
        <w:rPr>
          <w:rFonts w:hint="eastAsia" w:ascii="仿宋_GB2312" w:hAnsi="仿宋_GB2312" w:eastAsia="仿宋_GB2312" w:cs="仿宋_GB2312"/>
          <w:color w:val="auto"/>
          <w:kern w:val="0"/>
          <w:sz w:val="32"/>
          <w:szCs w:val="32"/>
          <w:highlight w:val="none"/>
        </w:rPr>
        <w:t>1.国有资本经营预算支出（类）解决历史遗留问题及改革成本支出（款）国有企业退休人员社会化管理补助支出（项）:支出决算数为83.43</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eastAsia="仿宋_GB2312" w:cs="Times New Roman"/>
          <w:color w:val="auto"/>
          <w:kern w:val="2"/>
          <w:sz w:val="30"/>
          <w:szCs w:val="30"/>
          <w:highlight w:val="none"/>
          <w:lang w:val="en-US" w:eastAsia="zh-CN" w:bidi="ar-SA"/>
        </w:rPr>
        <w:t>增加</w:t>
      </w:r>
      <w:r>
        <w:rPr>
          <w:rFonts w:hint="eastAsia" w:ascii="仿宋_GB2312" w:hAnsi="仿宋_GB2312" w:eastAsia="仿宋_GB2312" w:cs="仿宋_GB2312"/>
          <w:color w:val="auto"/>
          <w:kern w:val="0"/>
          <w:sz w:val="32"/>
          <w:szCs w:val="32"/>
          <w:highlight w:val="none"/>
        </w:rPr>
        <w:t>83.43</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eastAsia="仿宋_GB2312" w:cs="Times New Roman"/>
          <w:color w:val="auto"/>
          <w:kern w:val="2"/>
          <w:sz w:val="30"/>
          <w:szCs w:val="30"/>
          <w:highlight w:val="none"/>
          <w:lang w:val="en-US" w:eastAsia="zh-CN" w:bidi="ar-SA"/>
        </w:rPr>
        <w:t>增长</w:t>
      </w:r>
      <w:r>
        <w:rPr>
          <w:rFonts w:hint="eastAsia" w:ascii="仿宋_GB2312" w:hAnsi="仿宋_GB2312" w:eastAsia="仿宋_GB2312" w:cs="仿宋_GB2312"/>
          <w:color w:val="auto"/>
          <w:kern w:val="0"/>
          <w:sz w:val="32"/>
          <w:szCs w:val="32"/>
          <w:highlight w:val="none"/>
        </w:rPr>
        <w:t>100%，主要原因是：</w:t>
      </w:r>
      <w:r>
        <w:rPr>
          <w:rFonts w:hint="eastAsia" w:ascii="方正仿宋_GBK" w:hAnsi="方正仿宋_GBK" w:eastAsia="方正仿宋_GBK" w:cs="方正仿宋_GBK"/>
          <w:color w:val="auto"/>
          <w:sz w:val="31"/>
          <w:szCs w:val="31"/>
          <w:highlight w:val="none"/>
          <w:lang w:val="en-US" w:eastAsia="zh-CN"/>
        </w:rPr>
        <w:t>上年度无此支出</w:t>
      </w:r>
      <w:r>
        <w:rPr>
          <w:rFonts w:hint="eastAsia" w:ascii="Times New Roman" w:hAnsi="Times New Roman" w:eastAsia="仿宋_GB2312" w:cs="Times New Roman"/>
          <w:color w:val="auto"/>
          <w:sz w:val="32"/>
          <w:szCs w:val="32"/>
          <w:highlight w:val="none"/>
          <w:lang w:val="zh-CN" w:eastAsia="zh-CN"/>
        </w:rPr>
        <w:t>。本年新增国企退休人员举办活动、阵地运转等费用。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库尔勒市康都街道办事处（行政单位和参照公务员法管理事业单位）机关运行经费支出81.43万元，</w:t>
      </w:r>
      <w:r>
        <w:rPr>
          <w:rFonts w:hint="eastAsia" w:ascii="Times New Roman" w:hAnsi="Times New Roman" w:eastAsia="仿宋_GB2312" w:cs="Times New Roman"/>
          <w:color w:val="auto"/>
          <w:sz w:val="32"/>
          <w:szCs w:val="32"/>
          <w:highlight w:val="none"/>
          <w:lang w:val="zh-CN" w:eastAsia="zh-CN"/>
        </w:rPr>
        <w:t>比上年增加</w:t>
      </w:r>
      <w:r>
        <w:rPr>
          <w:rFonts w:hint="eastAsia" w:eastAsia="仿宋_GB2312" w:cs="Times New Roman"/>
          <w:color w:val="auto"/>
          <w:sz w:val="32"/>
          <w:szCs w:val="32"/>
          <w:highlight w:val="none"/>
          <w:lang w:val="en-US" w:eastAsia="zh-CN"/>
        </w:rPr>
        <w:t>21.55</w:t>
      </w:r>
      <w:r>
        <w:rPr>
          <w:rFonts w:hint="eastAsia" w:ascii="Times New Roman" w:hAnsi="Times New Roman" w:eastAsia="仿宋_GB2312" w:cs="Times New Roman"/>
          <w:color w:val="auto"/>
          <w:sz w:val="32"/>
          <w:szCs w:val="32"/>
          <w:highlight w:val="none"/>
          <w:lang w:val="zh-CN" w:eastAsia="zh-CN"/>
        </w:rPr>
        <w:t>万元，增长</w:t>
      </w:r>
      <w:r>
        <w:rPr>
          <w:rFonts w:hint="eastAsia" w:eastAsia="仿宋_GB2312" w:cs="Times New Roman"/>
          <w:color w:val="auto"/>
          <w:sz w:val="32"/>
          <w:szCs w:val="32"/>
          <w:highlight w:val="none"/>
          <w:lang w:val="en-US" w:eastAsia="zh-CN"/>
        </w:rPr>
        <w:t>35.99</w:t>
      </w:r>
      <w:r>
        <w:rPr>
          <w:rFonts w:hint="eastAsia" w:ascii="Times New Roman" w:hAnsi="Times New Roman" w:eastAsia="仿宋_GB2312" w:cs="Times New Roman"/>
          <w:color w:val="auto"/>
          <w:sz w:val="32"/>
          <w:szCs w:val="32"/>
          <w:highlight w:val="none"/>
          <w:lang w:val="zh-CN" w:eastAsia="zh-CN"/>
        </w:rPr>
        <w:t>%，主要原因是：</w:t>
      </w:r>
      <w:r>
        <w:rPr>
          <w:rFonts w:hint="eastAsia" w:ascii="方正仿宋_GBK" w:hAnsi="方正仿宋_GBK" w:eastAsia="方正仿宋_GBK" w:cs="方正仿宋_GBK"/>
          <w:color w:val="auto"/>
          <w:sz w:val="31"/>
          <w:szCs w:val="31"/>
          <w:highlight w:val="none"/>
          <w:lang w:eastAsia="zh-CN"/>
        </w:rPr>
        <w:t>办公支出增加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3.75万元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其中：政府采购货物支出3.75万元、政府采购工程支出0.00万元、政府采购服务支出0.00万元。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授予中小企业合同金额3.75万元，占政府采购支出总额的100.00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，其中：授予小微企业合同金额3.75万元，占政府采购支出总额的100.00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36.97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屋0.0平方米，价值0.00万元。车辆1辆，价值6.95万元，其中：副部（省）级及以上领导用车0辆、主要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方正仿宋_GBK" w:hAnsi="方正仿宋_GBK" w:eastAsia="方正仿宋_GBK" w:cs="方正仿宋_GBK"/>
          <w:color w:val="auto"/>
          <w:sz w:val="31"/>
          <w:szCs w:val="31"/>
          <w:highlight w:val="none"/>
          <w:lang w:val="en-US" w:eastAsia="zh-CN"/>
        </w:rPr>
        <w:t>街道、纪工委和各社区开展业务用车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 w:hAnsi="仿宋" w:eastAsia="仿宋" w:cs="仿宋"/>
          <w:b w:val="0"/>
          <w:bCs/>
          <w:color w:val="auto"/>
          <w:sz w:val="32"/>
          <w:szCs w:val="32"/>
          <w:highlight w:val="none"/>
          <w:lang w:val="en-US" w:eastAsia="zh-CN"/>
        </w:rPr>
        <w:t>1306.53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 w:hAnsi="仿宋" w:eastAsia="仿宋" w:cs="仿宋"/>
          <w:b w:val="0"/>
          <w:bCs/>
          <w:color w:val="auto"/>
          <w:sz w:val="32"/>
          <w:szCs w:val="32"/>
          <w:highlight w:val="none"/>
          <w:lang w:val="en-US" w:eastAsia="zh-CN"/>
        </w:rPr>
        <w:t>1306.53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仿宋" w:hAnsi="仿宋" w:eastAsia="仿宋" w:cs="仿宋"/>
          <w:color w:val="auto"/>
          <w:kern w:val="2"/>
          <w:sz w:val="32"/>
          <w:szCs w:val="32"/>
          <w:highlight w:val="none"/>
          <w:lang w:val="en-US" w:eastAsia="zh-CN"/>
        </w:rPr>
        <w:t>163.09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仿宋" w:hAnsi="仿宋" w:eastAsia="仿宋" w:cs="仿宋"/>
          <w:color w:val="auto"/>
          <w:kern w:val="2"/>
          <w:sz w:val="32"/>
          <w:szCs w:val="32"/>
          <w:highlight w:val="none"/>
          <w:lang w:val="en-US" w:eastAsia="zh-CN"/>
        </w:rPr>
        <w:t>66.52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default" w:ascii="Times New Roman" w:hAnsi="Times New Roman" w:eastAsia="方正仿宋_GBK" w:cs="Times New Roman"/>
          <w:color w:val="auto"/>
          <w:sz w:val="31"/>
          <w:szCs w:val="31"/>
          <w:highlight w:val="none"/>
        </w:rPr>
        <w:t>一是各项资金的有效使用，对改善基层设施条件，加快构建现代化服务体系，为居民提供良好的生活环境，更好的长期开展</w:t>
      </w:r>
      <w:r>
        <w:rPr>
          <w:rFonts w:hint="default" w:ascii="Times New Roman" w:hAnsi="Times New Roman" w:eastAsia="方正仿宋_GBK" w:cs="Times New Roman"/>
          <w:color w:val="auto"/>
          <w:sz w:val="31"/>
          <w:szCs w:val="31"/>
          <w:highlight w:val="none"/>
          <w:lang w:eastAsia="zh-CN"/>
        </w:rPr>
        <w:t>基层综合治理</w:t>
      </w:r>
      <w:r>
        <w:rPr>
          <w:rFonts w:hint="default" w:ascii="Times New Roman" w:hAnsi="Times New Roman" w:eastAsia="方正仿宋_GBK" w:cs="Times New Roman"/>
          <w:color w:val="auto"/>
          <w:sz w:val="31"/>
          <w:szCs w:val="31"/>
          <w:highlight w:val="none"/>
        </w:rPr>
        <w:t>工作</w:t>
      </w:r>
      <w:r>
        <w:rPr>
          <w:rFonts w:hint="default" w:ascii="Times New Roman" w:hAnsi="Times New Roman" w:eastAsia="方正仿宋_GBK" w:cs="Times New Roman"/>
          <w:color w:val="auto"/>
          <w:sz w:val="31"/>
          <w:szCs w:val="31"/>
          <w:highlight w:val="none"/>
          <w:lang w:eastAsia="zh-CN"/>
        </w:rPr>
        <w:t>起到了关键作用</w:t>
      </w:r>
      <w:r>
        <w:rPr>
          <w:rFonts w:hint="default" w:ascii="Times New Roman" w:hAnsi="Times New Roman" w:eastAsia="方正仿宋_GBK" w:cs="Times New Roman"/>
          <w:color w:val="auto"/>
          <w:sz w:val="31"/>
          <w:szCs w:val="31"/>
          <w:highlight w:val="none"/>
        </w:rPr>
        <w:t>；二是为民办好事、办实事，提升了居民满意度</w:t>
      </w:r>
      <w:r>
        <w:rPr>
          <w:rFonts w:hint="eastAsia" w:ascii="仿宋_GB2312" w:eastAsia="仿宋_GB2312"/>
          <w:color w:val="auto"/>
          <w:sz w:val="32"/>
          <w:szCs w:val="32"/>
          <w:highlight w:val="none"/>
          <w:lang w:eastAsia="zh-CN"/>
        </w:rPr>
        <w:t>。发现的问题及原因：</w:t>
      </w:r>
      <w:r>
        <w:rPr>
          <w:rFonts w:hint="eastAsia" w:ascii="Times New Roman" w:hAnsi="Times New Roman" w:eastAsia="方正仿宋_GBK" w:cs="Times New Roman"/>
          <w:color w:val="auto"/>
          <w:sz w:val="31"/>
          <w:szCs w:val="31"/>
          <w:highlight w:val="none"/>
          <w:lang w:val="en-US" w:eastAsia="zh-CN"/>
        </w:rPr>
        <w:t>一是项目资金执行率存在加强与上升空间，需要有关部门加强工作效率，在重点工作的完成率和完成度上都需要进一步提升。二是项目资金执行力度需进一步加强</w:t>
      </w:r>
      <w:r>
        <w:rPr>
          <w:rFonts w:hint="eastAsia" w:ascii="仿宋_GB2312" w:eastAsia="仿宋_GB2312"/>
          <w:color w:val="auto"/>
          <w:sz w:val="32"/>
          <w:szCs w:val="32"/>
          <w:highlight w:val="none"/>
          <w:lang w:eastAsia="zh-CN"/>
        </w:rPr>
        <w:t>。下一步改进措施：</w:t>
      </w:r>
      <w:r>
        <w:rPr>
          <w:rFonts w:hint="eastAsia" w:ascii="Times New Roman" w:hAnsi="Times New Roman" w:eastAsia="方正仿宋_GBK" w:cs="Times New Roman"/>
          <w:color w:val="auto"/>
          <w:sz w:val="31"/>
          <w:szCs w:val="31"/>
          <w:highlight w:val="none"/>
          <w:lang w:val="en-US" w:eastAsia="zh-CN"/>
        </w:rPr>
        <w:t>一</w:t>
      </w:r>
      <w:r>
        <w:rPr>
          <w:rFonts w:hint="default" w:ascii="Times New Roman" w:hAnsi="Times New Roman" w:eastAsia="方正仿宋_GBK" w:cs="Times New Roman"/>
          <w:color w:val="auto"/>
          <w:sz w:val="31"/>
          <w:szCs w:val="31"/>
          <w:highlight w:val="none"/>
        </w:rPr>
        <w:t>是加强财务管理，严格财务审批。在费用保障支付时，按照预算规定的费用项目和用途进行资金使用、审核、列报支付，财务核算杜绝超预算支付的发生。</w:t>
      </w:r>
      <w:r>
        <w:rPr>
          <w:rFonts w:hint="eastAsia" w:ascii="Times New Roman" w:hAnsi="Times New Roman" w:eastAsia="方正仿宋_GBK" w:cs="Times New Roman"/>
          <w:color w:val="auto"/>
          <w:sz w:val="31"/>
          <w:szCs w:val="31"/>
          <w:highlight w:val="none"/>
          <w:lang w:val="en-US" w:eastAsia="zh-CN"/>
        </w:rPr>
        <w:t>二</w:t>
      </w:r>
      <w:r>
        <w:rPr>
          <w:rFonts w:hint="default" w:ascii="Times New Roman" w:hAnsi="Times New Roman" w:eastAsia="方正仿宋_GBK" w:cs="Times New Roman"/>
          <w:color w:val="auto"/>
          <w:sz w:val="31"/>
          <w:szCs w:val="31"/>
          <w:highlight w:val="none"/>
        </w:rPr>
        <w:t>是加强项目实时监控，严格按照相关要求对相关项目的资金进行使用，确保资金专款专用及时有效</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r>
        <w:rPr>
          <w:rFonts w:hint="eastAsia" w:ascii="方正楷体_GBK" w:hAnsi="方正楷体_GBK" w:eastAsia="方正楷体_GBK" w:cs="方正楷体_GBK"/>
          <w:bCs/>
          <w:color w:val="auto"/>
          <w:kern w:val="0"/>
          <w:sz w:val="31"/>
          <w:szCs w:val="31"/>
          <w:highlight w:val="none"/>
          <w:lang w:val="en-US" w:eastAsia="zh-CN"/>
        </w:rPr>
        <w:t>(空表)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rPr>
          <w:highlight w:val="none"/>
        </w:rPr>
        <w:drawing>
          <wp:anchor distT="0" distB="0" distL="114300" distR="114300" simplePos="0" relativeHeight="251658240" behindDoc="0" locked="0" layoutInCell="1" allowOverlap="1">
            <wp:simplePos x="0" y="0"/>
            <wp:positionH relativeFrom="column">
              <wp:posOffset>-631190</wp:posOffset>
            </wp:positionH>
            <wp:positionV relativeFrom="paragraph">
              <wp:posOffset>138430</wp:posOffset>
            </wp:positionV>
            <wp:extent cx="6631305" cy="7035800"/>
            <wp:effectExtent l="0" t="0" r="17145" b="1270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6631305" cy="703580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rPr>
          <w:highlight w:val="none"/>
        </w:rPr>
        <w:drawing>
          <wp:anchor distT="0" distB="0" distL="114300" distR="114300" simplePos="0" relativeHeight="251659264" behindDoc="0" locked="0" layoutInCell="1" allowOverlap="1">
            <wp:simplePos x="0" y="0"/>
            <wp:positionH relativeFrom="column">
              <wp:posOffset>-564515</wp:posOffset>
            </wp:positionH>
            <wp:positionV relativeFrom="paragraph">
              <wp:posOffset>83820</wp:posOffset>
            </wp:positionV>
            <wp:extent cx="6615430" cy="6811645"/>
            <wp:effectExtent l="0" t="0" r="13970" b="8255"/>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6615430" cy="681164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rPr>
          <w:highlight w:val="none"/>
        </w:rPr>
        <w:drawing>
          <wp:anchor distT="0" distB="0" distL="114300" distR="114300" simplePos="0" relativeHeight="251660288" behindDoc="0" locked="0" layoutInCell="1" allowOverlap="1">
            <wp:simplePos x="0" y="0"/>
            <wp:positionH relativeFrom="column">
              <wp:posOffset>-688340</wp:posOffset>
            </wp:positionH>
            <wp:positionV relativeFrom="paragraph">
              <wp:posOffset>182880</wp:posOffset>
            </wp:positionV>
            <wp:extent cx="6663690" cy="6711950"/>
            <wp:effectExtent l="0" t="0" r="3810" b="1270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6663690" cy="671195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rPr>
          <w:highlight w:val="none"/>
        </w:rPr>
        <w:drawing>
          <wp:anchor distT="0" distB="0" distL="114300" distR="114300" simplePos="0" relativeHeight="251661312" behindDoc="0" locked="0" layoutInCell="1" allowOverlap="1">
            <wp:simplePos x="0" y="0"/>
            <wp:positionH relativeFrom="column">
              <wp:posOffset>-707390</wp:posOffset>
            </wp:positionH>
            <wp:positionV relativeFrom="paragraph">
              <wp:posOffset>137160</wp:posOffset>
            </wp:positionV>
            <wp:extent cx="6717665" cy="6075680"/>
            <wp:effectExtent l="0" t="0" r="6985" b="1270"/>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6717665" cy="607568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rPr>
          <w:highlight w:val="none"/>
        </w:rPr>
        <w:drawing>
          <wp:anchor distT="0" distB="0" distL="114300" distR="114300" simplePos="0" relativeHeight="251662336" behindDoc="0" locked="0" layoutInCell="1" allowOverlap="1">
            <wp:simplePos x="0" y="0"/>
            <wp:positionH relativeFrom="column">
              <wp:posOffset>-463550</wp:posOffset>
            </wp:positionH>
            <wp:positionV relativeFrom="paragraph">
              <wp:posOffset>358140</wp:posOffset>
            </wp:positionV>
            <wp:extent cx="6099175" cy="7272020"/>
            <wp:effectExtent l="0" t="0" r="15875" b="5080"/>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9"/>
                    <a:stretch>
                      <a:fillRect/>
                    </a:stretch>
                  </pic:blipFill>
                  <pic:spPr>
                    <a:xfrm>
                      <a:off x="0" y="0"/>
                      <a:ext cx="6099175" cy="727202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rPr>
          <w:highlight w:val="none"/>
        </w:rPr>
        <w:drawing>
          <wp:anchor distT="0" distB="0" distL="114300" distR="114300" simplePos="0" relativeHeight="251663360" behindDoc="0" locked="0" layoutInCell="1" allowOverlap="1">
            <wp:simplePos x="0" y="0"/>
            <wp:positionH relativeFrom="column">
              <wp:posOffset>-499745</wp:posOffset>
            </wp:positionH>
            <wp:positionV relativeFrom="paragraph">
              <wp:posOffset>440055</wp:posOffset>
            </wp:positionV>
            <wp:extent cx="6297295" cy="7110095"/>
            <wp:effectExtent l="0" t="0" r="8255" b="14605"/>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stretch>
                      <a:fillRect/>
                    </a:stretch>
                  </pic:blipFill>
                  <pic:spPr>
                    <a:xfrm>
                      <a:off x="0" y="0"/>
                      <a:ext cx="6297295" cy="711009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rPr>
          <w:highlight w:val="none"/>
        </w:rPr>
        <w:drawing>
          <wp:anchor distT="0" distB="0" distL="114300" distR="114300" simplePos="0" relativeHeight="251664384" behindDoc="0" locked="0" layoutInCell="1" allowOverlap="1">
            <wp:simplePos x="0" y="0"/>
            <wp:positionH relativeFrom="column">
              <wp:posOffset>-716915</wp:posOffset>
            </wp:positionH>
            <wp:positionV relativeFrom="paragraph">
              <wp:posOffset>156210</wp:posOffset>
            </wp:positionV>
            <wp:extent cx="6797675" cy="1711960"/>
            <wp:effectExtent l="0" t="0" r="3175" b="2540"/>
            <wp:wrapSquare wrapText="bothSides"/>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1"/>
                    <a:stretch>
                      <a:fillRect/>
                    </a:stretch>
                  </pic:blipFill>
                  <pic:spPr>
                    <a:xfrm>
                      <a:off x="0" y="0"/>
                      <a:ext cx="6797675" cy="171196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rPr>
          <w:highlight w:val="none"/>
        </w:rPr>
        <w:drawing>
          <wp:anchor distT="0" distB="0" distL="114300" distR="114300" simplePos="0" relativeHeight="251665408" behindDoc="0" locked="0" layoutInCell="1" allowOverlap="1">
            <wp:simplePos x="0" y="0"/>
            <wp:positionH relativeFrom="column">
              <wp:posOffset>-810895</wp:posOffset>
            </wp:positionH>
            <wp:positionV relativeFrom="paragraph">
              <wp:posOffset>100965</wp:posOffset>
            </wp:positionV>
            <wp:extent cx="6847205" cy="2012950"/>
            <wp:effectExtent l="0" t="0" r="10795" b="6350"/>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2"/>
                    <a:stretch>
                      <a:fillRect/>
                    </a:stretch>
                  </pic:blipFill>
                  <pic:spPr>
                    <a:xfrm>
                      <a:off x="0" y="0"/>
                      <a:ext cx="6847205" cy="201295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rPr>
          <w:rFonts w:hint="eastAsia" w:ascii="黑体" w:hAnsi="黑体" w:eastAsia="黑体" w:cs="宋体"/>
          <w:bCs/>
          <w:color w:val="auto"/>
          <w:kern w:val="0"/>
          <w:sz w:val="32"/>
          <w:szCs w:val="32"/>
          <w:highlight w:val="none"/>
          <w:lang w:eastAsia="zh-CN"/>
        </w:rPr>
      </w:pPr>
      <w:r>
        <w:rPr>
          <w:highlight w:val="none"/>
        </w:rPr>
        <w:drawing>
          <wp:anchor distT="0" distB="0" distL="114300" distR="114300" simplePos="0" relativeHeight="251666432" behindDoc="0" locked="0" layoutInCell="1" allowOverlap="1">
            <wp:simplePos x="0" y="0"/>
            <wp:positionH relativeFrom="column">
              <wp:posOffset>-755015</wp:posOffset>
            </wp:positionH>
            <wp:positionV relativeFrom="paragraph">
              <wp:posOffset>338455</wp:posOffset>
            </wp:positionV>
            <wp:extent cx="6805295" cy="2389505"/>
            <wp:effectExtent l="0" t="0" r="14605" b="10795"/>
            <wp:wrapSquare wrapText="bothSides"/>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3"/>
                    <a:stretch>
                      <a:fillRect/>
                    </a:stretch>
                  </pic:blipFill>
                  <pic:spPr>
                    <a:xfrm>
                      <a:off x="0" y="0"/>
                      <a:ext cx="6805295" cy="238950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253AA9"/>
    <w:rsid w:val="02420FE9"/>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E67635"/>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DF00B29"/>
    <w:rsid w:val="0E640559"/>
    <w:rsid w:val="0E726176"/>
    <w:rsid w:val="0F1113DA"/>
    <w:rsid w:val="0F78534A"/>
    <w:rsid w:val="0F89358A"/>
    <w:rsid w:val="0F8C6D51"/>
    <w:rsid w:val="105B0B5E"/>
    <w:rsid w:val="112E58D0"/>
    <w:rsid w:val="11731CAC"/>
    <w:rsid w:val="119500A0"/>
    <w:rsid w:val="11C0733B"/>
    <w:rsid w:val="11D50D17"/>
    <w:rsid w:val="120E0809"/>
    <w:rsid w:val="127F665A"/>
    <w:rsid w:val="12F7068C"/>
    <w:rsid w:val="13107EF9"/>
    <w:rsid w:val="14207DC0"/>
    <w:rsid w:val="1495350B"/>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7E82525"/>
    <w:rsid w:val="180059E9"/>
    <w:rsid w:val="184510FD"/>
    <w:rsid w:val="190648B0"/>
    <w:rsid w:val="19071D6C"/>
    <w:rsid w:val="19677C57"/>
    <w:rsid w:val="19D26CD4"/>
    <w:rsid w:val="19E60D19"/>
    <w:rsid w:val="1A3E3450"/>
    <w:rsid w:val="1AD807E5"/>
    <w:rsid w:val="1B39345B"/>
    <w:rsid w:val="1BD87879"/>
    <w:rsid w:val="1BFB2A1F"/>
    <w:rsid w:val="1C015D4A"/>
    <w:rsid w:val="1C2317CC"/>
    <w:rsid w:val="1C290ED5"/>
    <w:rsid w:val="1C317E4F"/>
    <w:rsid w:val="1C472464"/>
    <w:rsid w:val="1D22799A"/>
    <w:rsid w:val="1D5C1A72"/>
    <w:rsid w:val="1DAF458D"/>
    <w:rsid w:val="1E086ACE"/>
    <w:rsid w:val="1E62130A"/>
    <w:rsid w:val="1E97358B"/>
    <w:rsid w:val="1EAA4A5F"/>
    <w:rsid w:val="1EE869A7"/>
    <w:rsid w:val="1FA15E62"/>
    <w:rsid w:val="1FBA78BD"/>
    <w:rsid w:val="1FED69B6"/>
    <w:rsid w:val="2064678E"/>
    <w:rsid w:val="20DC1AB9"/>
    <w:rsid w:val="20DD6197"/>
    <w:rsid w:val="212631E0"/>
    <w:rsid w:val="214F1F1C"/>
    <w:rsid w:val="21A53757"/>
    <w:rsid w:val="221236C6"/>
    <w:rsid w:val="22D7662C"/>
    <w:rsid w:val="23326B7F"/>
    <w:rsid w:val="2380045B"/>
    <w:rsid w:val="238159E8"/>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DC919C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462660"/>
    <w:rsid w:val="3389023A"/>
    <w:rsid w:val="33CB74FA"/>
    <w:rsid w:val="34053F8C"/>
    <w:rsid w:val="343642F2"/>
    <w:rsid w:val="343F3010"/>
    <w:rsid w:val="345D0A00"/>
    <w:rsid w:val="34713BFD"/>
    <w:rsid w:val="34C13589"/>
    <w:rsid w:val="353369E3"/>
    <w:rsid w:val="356E38A3"/>
    <w:rsid w:val="35722673"/>
    <w:rsid w:val="35E00D72"/>
    <w:rsid w:val="36965B9D"/>
    <w:rsid w:val="36C549FD"/>
    <w:rsid w:val="36DB4E6E"/>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F018DB"/>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09284C"/>
    <w:rsid w:val="3F183429"/>
    <w:rsid w:val="3FB77A1D"/>
    <w:rsid w:val="3FDC3674"/>
    <w:rsid w:val="3FED7F8A"/>
    <w:rsid w:val="40094AEF"/>
    <w:rsid w:val="405470BD"/>
    <w:rsid w:val="406D6164"/>
    <w:rsid w:val="40794A29"/>
    <w:rsid w:val="40834692"/>
    <w:rsid w:val="40B40C1B"/>
    <w:rsid w:val="411D0DD8"/>
    <w:rsid w:val="41431AD5"/>
    <w:rsid w:val="414B3C0F"/>
    <w:rsid w:val="417C1CE7"/>
    <w:rsid w:val="41900018"/>
    <w:rsid w:val="41944406"/>
    <w:rsid w:val="41CE128F"/>
    <w:rsid w:val="41DA6F12"/>
    <w:rsid w:val="42171FB1"/>
    <w:rsid w:val="434E6957"/>
    <w:rsid w:val="43BA0E31"/>
    <w:rsid w:val="43C15147"/>
    <w:rsid w:val="43E14DD2"/>
    <w:rsid w:val="43F800E9"/>
    <w:rsid w:val="441548FD"/>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B8032C"/>
    <w:rsid w:val="4AE12E67"/>
    <w:rsid w:val="4B4C0111"/>
    <w:rsid w:val="4B767CA2"/>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524C98"/>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30651"/>
    <w:rsid w:val="56166703"/>
    <w:rsid w:val="56510474"/>
    <w:rsid w:val="567C5511"/>
    <w:rsid w:val="56861525"/>
    <w:rsid w:val="56A93273"/>
    <w:rsid w:val="56BD550C"/>
    <w:rsid w:val="56E07045"/>
    <w:rsid w:val="56FF28AF"/>
    <w:rsid w:val="57540E7D"/>
    <w:rsid w:val="577B4878"/>
    <w:rsid w:val="57926973"/>
    <w:rsid w:val="58175352"/>
    <w:rsid w:val="581F2200"/>
    <w:rsid w:val="583059FA"/>
    <w:rsid w:val="584A0929"/>
    <w:rsid w:val="58CD2491"/>
    <w:rsid w:val="58D304DC"/>
    <w:rsid w:val="591B41B2"/>
    <w:rsid w:val="59254A26"/>
    <w:rsid w:val="59326325"/>
    <w:rsid w:val="595C505B"/>
    <w:rsid w:val="595E55C3"/>
    <w:rsid w:val="596E7E20"/>
    <w:rsid w:val="5A0C317F"/>
    <w:rsid w:val="5A60780B"/>
    <w:rsid w:val="5AB34579"/>
    <w:rsid w:val="5AFC6609"/>
    <w:rsid w:val="5B113480"/>
    <w:rsid w:val="5BD456CE"/>
    <w:rsid w:val="5C0D1F49"/>
    <w:rsid w:val="5C3D2258"/>
    <w:rsid w:val="5CBB0CE2"/>
    <w:rsid w:val="5CC17177"/>
    <w:rsid w:val="5CF306BC"/>
    <w:rsid w:val="5D3F3D64"/>
    <w:rsid w:val="5D833043"/>
    <w:rsid w:val="5DA85D37"/>
    <w:rsid w:val="5DD92690"/>
    <w:rsid w:val="5DDB1CFD"/>
    <w:rsid w:val="5E7E6D93"/>
    <w:rsid w:val="5ED44800"/>
    <w:rsid w:val="5F350BDE"/>
    <w:rsid w:val="5F61632C"/>
    <w:rsid w:val="5FA17648"/>
    <w:rsid w:val="5FAA4DAC"/>
    <w:rsid w:val="5FB01604"/>
    <w:rsid w:val="5FE705CB"/>
    <w:rsid w:val="603D5080"/>
    <w:rsid w:val="60D0261B"/>
    <w:rsid w:val="613D7DEB"/>
    <w:rsid w:val="618E3791"/>
    <w:rsid w:val="61947DCA"/>
    <w:rsid w:val="61A46A97"/>
    <w:rsid w:val="61D1382F"/>
    <w:rsid w:val="61F114A2"/>
    <w:rsid w:val="62512BB4"/>
    <w:rsid w:val="625D7D1A"/>
    <w:rsid w:val="62DD7D21"/>
    <w:rsid w:val="637D586B"/>
    <w:rsid w:val="63A5560B"/>
    <w:rsid w:val="63E9091F"/>
    <w:rsid w:val="64104954"/>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632D24"/>
    <w:rsid w:val="67C304AB"/>
    <w:rsid w:val="683F0658"/>
    <w:rsid w:val="689C6793"/>
    <w:rsid w:val="68DB0208"/>
    <w:rsid w:val="68FB170C"/>
    <w:rsid w:val="691B3D98"/>
    <w:rsid w:val="693748F0"/>
    <w:rsid w:val="69846A0E"/>
    <w:rsid w:val="69AA1366"/>
    <w:rsid w:val="69AD798C"/>
    <w:rsid w:val="69D005C0"/>
    <w:rsid w:val="69D80B96"/>
    <w:rsid w:val="6B68175F"/>
    <w:rsid w:val="6B7F302D"/>
    <w:rsid w:val="6BFD799F"/>
    <w:rsid w:val="6C4A2E5A"/>
    <w:rsid w:val="6C8138D0"/>
    <w:rsid w:val="6CEF0725"/>
    <w:rsid w:val="6D4B2604"/>
    <w:rsid w:val="6D6443C2"/>
    <w:rsid w:val="6D8030E4"/>
    <w:rsid w:val="6E06168C"/>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4466DA"/>
    <w:rsid w:val="724915BA"/>
    <w:rsid w:val="727B234E"/>
    <w:rsid w:val="72AA50E2"/>
    <w:rsid w:val="72D068C7"/>
    <w:rsid w:val="72E42ED8"/>
    <w:rsid w:val="735F4CB9"/>
    <w:rsid w:val="73674C62"/>
    <w:rsid w:val="73845865"/>
    <w:rsid w:val="739B6D9E"/>
    <w:rsid w:val="73BC1D76"/>
    <w:rsid w:val="73FB6630"/>
    <w:rsid w:val="74834D12"/>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467D7"/>
    <w:rsid w:val="78574801"/>
    <w:rsid w:val="7873527F"/>
    <w:rsid w:val="79015BC0"/>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widowControl w:val="0"/>
      <w:spacing w:before="260" w:beforeAutospacing="0" w:after="260" w:afterAutospacing="0" w:line="412" w:lineRule="auto"/>
      <w:outlineLvl w:val="2"/>
    </w:pPr>
    <w:rPr>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32</TotalTime>
  <ScaleCrop>false</ScaleCrop>
  <LinksUpToDate>false</LinksUpToDate>
  <CharactersWithSpaces>20937</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2024-11-29T09:11:58Z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D624B15633CD43C8BF9435464A96BF70</vt:lpwstr>
  </property>
</Properties>
</file>