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库尔勒市应急管理局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负责应急管理工作，指导各乡镇场街道，市属各部门对安全生产类、自然灾害类突发事件和综合防灾减灾工作；负责安全生产类、自然灾害类应急预案体系建设，健全自然灾害信息资源获取和共享机制，依法统一发布灾情；统筹应急救援力量建设，负责消防、森林和草原火灾扑救、抗洪抢险、地震和地质灾害救援、生产安全事故救援专业应急救援力量建设，管理指挥库尔勒市综合性应急救援队伍，指挥各乡镇场、街道及社会力量建设；负责消防管理工作，指导消防监督、火灾预防、火灾扑救等工作；指导协调森林和草原火灾、水旱灾害、地震和地质灾害防治工作，组织协调灾害救助工作，组织指导灾情核查、损失评估、救灾捐赠工作；负责应急管理、安全生产宣传教育培训工作，组织指导全市应急管理、安全生产的科学技术研究、推广应用和信息化建设工作；负责全市非煤矿山、危险化学品、煤矿等工贸企业安全生产日常监督管理工作，承担库尔勒市安委会办公室、应急指挥中心日常业务等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库尔勒市应急管理局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库尔勒市应急管理局无下属预算单位，下设3 个处室，分别是：办公室（党建办）、应急指挥中心、安全生产综合协调股</w:t>
      </w:r>
      <w:r>
        <w:rPr>
          <w:rFonts w:hint="eastAsia" w:ascii="仿宋_GB2312" w:eastAsia="仿宋_GB2312"/>
          <w:color w:val="auto"/>
          <w:sz w:val="32"/>
          <w:szCs w:val="32"/>
          <w:highlight w:val="none"/>
        </w:rPr>
        <w:t>。</w:t>
      </w: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2023年度收入总计1698.98万元，其中：本年收入合计1698.98万元，使用非财政拨款结余0万元，年初结转和结余0万元。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2023年度支出总计1698.98万元，其中：本年支出合计1698.98万元，结余分配0万元，年末结转和结余0万元。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收入支出总体与上年相比，增加116.74万元，增长7.38%，主要原因是：人员增加，安全生产、应急救援事务投入增加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本年收入1698.98万元，其中：财政拨款收入1698.98万元，占100%；上级补助收入0万元，占0%；事业收入0万元，占0%；经营收入0万元，占0%；附属单位上缴收入0万元，占0%；其他收入0万元，占0%。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仿宋_GB2312"/>
          <w:color w:val="auto"/>
          <w:sz w:val="32"/>
          <w:szCs w:val="32"/>
          <w:highlight w:val="none"/>
          <w:lang w:val="zh-CN" w:eastAsia="zh-CN"/>
        </w:rPr>
      </w:pPr>
      <w:bookmarkStart w:id="14" w:name="_Toc4393"/>
      <w:bookmarkStart w:id="15" w:name="_Toc26564"/>
      <w:r>
        <w:rPr>
          <w:rFonts w:hint="eastAsia" w:ascii="Times New Roman" w:hAnsi="Times New Roman" w:eastAsia="仿宋_GB2312" w:cs="仿宋_GB2312"/>
          <w:color w:val="auto"/>
          <w:sz w:val="32"/>
          <w:szCs w:val="32"/>
          <w:highlight w:val="none"/>
          <w:lang w:val="zh-CN" w:eastAsia="zh-CN"/>
        </w:rPr>
        <w:t>本年支出1698.98万元，其中：基本支出1477.94万元，占86.99%；项目支出221.04万元，占13.01%；上缴上级支出0万元，占0%；经营支出0万元，占0%；对附属单位补助支出0万元，占0%。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2023年度财政拨款收入总计1698.98万元，其中：年初财政拨款结转和结余0万元，本年财政拨款收入1698.98万元。财政拨款支出总计1698.98万元，其中：年末财政拨款结转和结余0万元，本年财政拨款支出1698.98万元。</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增加116.74万元，增长7.38%，主要原因是：人员增加，安全生产、应急救援事务投入增加。与年初预算相比，年初预算数1752.33万元，决算数1698.98万元，预决算差异率-3.04%，主要原是：项目资金支付手续缓慢原因，比年初预算数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color w:val="auto"/>
          <w:spacing w:val="0"/>
          <w:sz w:val="32"/>
          <w:szCs w:val="32"/>
          <w:highlight w:val="yellow"/>
          <w:lang w:val="en-US" w:eastAsia="zh-CN"/>
        </w:rPr>
      </w:pPr>
      <w:r>
        <w:rPr>
          <w:rFonts w:hint="eastAsia" w:ascii="仿宋_GB2312" w:eastAsia="仿宋_GB2312"/>
          <w:color w:val="auto"/>
          <w:spacing w:val="0"/>
          <w:sz w:val="32"/>
          <w:szCs w:val="32"/>
          <w:highlight w:val="none"/>
          <w:lang w:eastAsia="zh-CN"/>
        </w:rPr>
        <w:t>2023年度一般公共预算财政拨款支出1698.98万元，占本年支出合计的100%。与上年相比，增加116.74万元，增长7.38%，主要原因是：人员增加，安全生产、应急救援事务投入增加。与年初预算相比,年初预算数1752.33万元，决算数1698.98万元，预决算差异率-3.04%，主要原因是：项目资金支付手续缓慢原因，比年初预算数减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lang w:val="zh-CN" w:eastAsia="zh-CN" w:bidi="ar-SA"/>
        </w:rPr>
      </w:pPr>
      <w:r>
        <w:rPr>
          <w:rFonts w:hint="default" w:ascii="仿宋_GB2312" w:hAnsi="Times New Roman" w:eastAsia="仿宋_GB2312" w:cs="Times New Roman"/>
          <w:color w:val="auto"/>
          <w:spacing w:val="0"/>
          <w:kern w:val="2"/>
          <w:sz w:val="32"/>
          <w:szCs w:val="32"/>
          <w:lang w:val="zh-CN" w:eastAsia="zh-CN" w:bidi="ar-SA"/>
        </w:rPr>
        <w:t>1.一般公共服务支出（类）8.09万元，占0.48%；</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lang w:val="zh-CN" w:eastAsia="zh-CN" w:bidi="ar-SA"/>
        </w:rPr>
      </w:pPr>
      <w:r>
        <w:rPr>
          <w:rFonts w:hint="default" w:ascii="仿宋_GB2312" w:hAnsi="Times New Roman" w:eastAsia="仿宋_GB2312" w:cs="Times New Roman"/>
          <w:color w:val="auto"/>
          <w:spacing w:val="0"/>
          <w:kern w:val="2"/>
          <w:sz w:val="32"/>
          <w:szCs w:val="32"/>
          <w:lang w:val="zh-CN" w:eastAsia="zh-CN" w:bidi="ar-SA"/>
        </w:rPr>
        <w:t>2.教育支出（类）1.17万元， 占0.07%；</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lang w:val="zh-CN" w:eastAsia="zh-CN" w:bidi="ar-SA"/>
        </w:rPr>
      </w:pPr>
      <w:r>
        <w:rPr>
          <w:rFonts w:hint="default" w:ascii="仿宋_GB2312" w:hAnsi="Times New Roman" w:eastAsia="仿宋_GB2312" w:cs="Times New Roman"/>
          <w:color w:val="auto"/>
          <w:spacing w:val="0"/>
          <w:kern w:val="2"/>
          <w:sz w:val="32"/>
          <w:szCs w:val="32"/>
          <w:lang w:val="zh-CN" w:eastAsia="zh-CN" w:bidi="ar-SA"/>
        </w:rPr>
        <w:t>3.社会保障和就业支出（类）75.68万元，占4.45%；</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lang w:val="zh-CN" w:eastAsia="zh-CN" w:bidi="ar-SA"/>
        </w:rPr>
      </w:pPr>
      <w:r>
        <w:rPr>
          <w:rFonts w:hint="default" w:ascii="仿宋_GB2312" w:hAnsi="Times New Roman" w:eastAsia="仿宋_GB2312" w:cs="Times New Roman"/>
          <w:color w:val="auto"/>
          <w:spacing w:val="0"/>
          <w:kern w:val="2"/>
          <w:sz w:val="32"/>
          <w:szCs w:val="32"/>
          <w:lang w:val="zh-CN" w:eastAsia="zh-CN" w:bidi="ar-SA"/>
        </w:rPr>
        <w:t>4.卫生健康支出（类）35.52万元，占2.09%；</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lang w:val="zh-CN" w:eastAsia="zh-CN" w:bidi="ar-SA"/>
        </w:rPr>
      </w:pPr>
      <w:r>
        <w:rPr>
          <w:rFonts w:hint="default" w:ascii="仿宋_GB2312" w:hAnsi="Times New Roman" w:eastAsia="仿宋_GB2312" w:cs="Times New Roman"/>
          <w:color w:val="auto"/>
          <w:spacing w:val="0"/>
          <w:kern w:val="2"/>
          <w:sz w:val="32"/>
          <w:szCs w:val="32"/>
          <w:lang w:val="zh-CN" w:eastAsia="zh-CN" w:bidi="ar-SA"/>
        </w:rPr>
        <w:t>5.住房保障支出（类）55.93万元，占3.29%；</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6.灾害防治及应急管理支出1522.59万元，占89.62%。</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1.一般公共服务支出（类）组织事务（款）其他组织事务支出（项）:支出决算数为8.09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Times New Roman" w:hAnsi="Times New Roman" w:eastAsia="仿宋_GB2312" w:cs="Times New Roman"/>
          <w:color w:val="auto"/>
          <w:kern w:val="2"/>
          <w:sz w:val="32"/>
          <w:szCs w:val="32"/>
          <w:highlight w:val="none"/>
          <w:lang w:val="zh-CN" w:eastAsia="zh-CN" w:bidi="ar-SA"/>
        </w:rPr>
        <w:t>上年度未安排此科目预算支出。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2.教育支出（类）进修及培训（款）培训支出（项）:支出决算数为1.17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44.</w:t>
      </w:r>
      <w:r>
        <w:rPr>
          <w:rFonts w:hint="eastAsia" w:eastAsia="仿宋_GB2312" w:cs="Times New Roman"/>
          <w:color w:val="auto"/>
          <w:kern w:val="2"/>
          <w:sz w:val="32"/>
          <w:szCs w:val="32"/>
          <w:highlight w:val="none"/>
          <w:lang w:val="en-US" w:eastAsia="zh-CN" w:bidi="ar-SA"/>
        </w:rPr>
        <w:t>81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本年安排培训次数减少，培训费用减少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社会保障和就业支出（类）行政事业单位养老支出（款）行政单位离退休（项）:支出决算数为4.16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101.</w:t>
      </w:r>
      <w:r>
        <w:rPr>
          <w:rFonts w:hint="eastAsia" w:eastAsia="仿宋_GB2312" w:cs="Times New Roman"/>
          <w:color w:val="auto"/>
          <w:kern w:val="2"/>
          <w:sz w:val="32"/>
          <w:szCs w:val="32"/>
          <w:highlight w:val="none"/>
          <w:lang w:val="en-US" w:eastAsia="zh-CN" w:bidi="ar-SA"/>
        </w:rPr>
        <w:t>94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退休人员基础绩效奖提高，</w:t>
      </w:r>
      <w:r>
        <w:rPr>
          <w:rFonts w:hint="eastAsia" w:ascii="Times New Roman" w:hAnsi="Times New Roman" w:eastAsia="仿宋_GB2312" w:cs="Times New Roman"/>
          <w:color w:val="auto"/>
          <w:kern w:val="2"/>
          <w:sz w:val="32"/>
          <w:szCs w:val="32"/>
          <w:highlight w:val="none"/>
          <w:lang w:val="zh-CN" w:eastAsia="zh-CN" w:bidi="ar-SA"/>
        </w:rPr>
        <w:t>相应费用增加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社会保障和就业支出（类）行政事业单位养老支出（款）机关事业单位基本养老保险缴费支出（项）:支出决算数为64.64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62.4</w:t>
      </w: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人员</w:t>
      </w:r>
      <w:r>
        <w:rPr>
          <w:rFonts w:hint="eastAsia" w:eastAsia="仿宋_GB2312" w:cs="Times New Roman"/>
          <w:color w:val="auto"/>
          <w:kern w:val="2"/>
          <w:sz w:val="32"/>
          <w:szCs w:val="32"/>
          <w:highlight w:val="none"/>
          <w:lang w:val="zh-CN" w:eastAsia="zh-CN" w:bidi="ar-SA"/>
        </w:rPr>
        <w:t>增加，且缴费基数提高</w:t>
      </w:r>
      <w:r>
        <w:rPr>
          <w:rFonts w:hint="eastAsia"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zh-CN" w:eastAsia="zh-CN" w:bidi="ar-SA"/>
        </w:rPr>
        <w:t>导致费用增加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社会保障和就业支出（类）行政事业单位养老支出（款）机关事业单位职业年金缴费支出（项）:支出决算数为6.87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36.87%，主要原因是：</w:t>
      </w:r>
      <w:r>
        <w:rPr>
          <w:rFonts w:hint="eastAsia" w:ascii="Times New Roman" w:hAnsi="Times New Roman" w:eastAsia="仿宋_GB2312" w:cs="Times New Roman"/>
          <w:color w:val="auto"/>
          <w:kern w:val="2"/>
          <w:sz w:val="32"/>
          <w:szCs w:val="32"/>
          <w:highlight w:val="none"/>
          <w:lang w:val="zh-CN" w:eastAsia="zh-CN" w:bidi="ar-SA"/>
        </w:rPr>
        <w:t>退休人员</w:t>
      </w:r>
      <w:r>
        <w:rPr>
          <w:rFonts w:hint="eastAsia" w:eastAsia="仿宋_GB2312" w:cs="Times New Roman"/>
          <w:color w:val="auto"/>
          <w:kern w:val="2"/>
          <w:sz w:val="32"/>
          <w:szCs w:val="32"/>
          <w:highlight w:val="none"/>
          <w:lang w:val="zh-CN" w:eastAsia="zh-CN" w:bidi="ar-SA"/>
        </w:rPr>
        <w:t>比上年</w:t>
      </w:r>
      <w:r>
        <w:rPr>
          <w:rFonts w:hint="eastAsia" w:ascii="Times New Roman" w:hAnsi="Times New Roman" w:eastAsia="仿宋_GB2312" w:cs="Times New Roman"/>
          <w:color w:val="auto"/>
          <w:kern w:val="2"/>
          <w:sz w:val="32"/>
          <w:szCs w:val="32"/>
          <w:highlight w:val="none"/>
          <w:lang w:val="zh-CN" w:eastAsia="zh-CN" w:bidi="ar-SA"/>
        </w:rPr>
        <w:t>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本年无</w:t>
      </w:r>
      <w:r>
        <w:rPr>
          <w:rFonts w:hint="eastAsia" w:ascii="Times New Roman" w:hAnsi="Times New Roman" w:eastAsia="仿宋_GB2312" w:cs="Times New Roman"/>
          <w:color w:val="auto"/>
          <w:kern w:val="2"/>
          <w:sz w:val="32"/>
          <w:szCs w:val="32"/>
          <w:highlight w:val="none"/>
          <w:lang w:val="en-US" w:eastAsia="zh-CN" w:bidi="ar-SA"/>
        </w:rPr>
        <w:t>公益性岗</w:t>
      </w:r>
      <w:r>
        <w:rPr>
          <w:rFonts w:hint="eastAsia" w:eastAsia="仿宋_GB2312" w:cs="Times New Roman"/>
          <w:color w:val="auto"/>
          <w:kern w:val="2"/>
          <w:sz w:val="32"/>
          <w:szCs w:val="32"/>
          <w:highlight w:val="none"/>
          <w:lang w:val="en-US" w:eastAsia="zh-CN" w:bidi="ar-SA"/>
        </w:rPr>
        <w:t>人员，未安排此科目预算支出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社会保障和就业支出（类）抚恤（款）伤残抚恤（项）:支出决算数为0.00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2023年度开始公务员人员已缴纳工伤保险，</w:t>
      </w:r>
      <w:r>
        <w:rPr>
          <w:rFonts w:hint="eastAsia" w:ascii="Times New Roman" w:hAnsi="Times New Roman" w:eastAsia="仿宋_GB2312" w:cs="Times New Roman"/>
          <w:color w:val="auto"/>
          <w:kern w:val="2"/>
          <w:sz w:val="32"/>
          <w:szCs w:val="32"/>
          <w:highlight w:val="none"/>
          <w:lang w:val="zh-CN" w:eastAsia="zh-CN" w:bidi="ar-SA"/>
        </w:rPr>
        <w:t>未安排此科目预算支出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卫生健康支出（类）行政事业单位医疗（款）行政单位医疗（项）:支出决算数为29.46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47.81%，主要原因是：</w:t>
      </w:r>
      <w:r>
        <w:rPr>
          <w:rFonts w:hint="eastAsia" w:ascii="Times New Roman" w:hAnsi="Times New Roman" w:eastAsia="仿宋_GB2312" w:cs="Times New Roman"/>
          <w:color w:val="auto"/>
          <w:kern w:val="2"/>
          <w:sz w:val="32"/>
          <w:szCs w:val="32"/>
          <w:highlight w:val="none"/>
          <w:lang w:val="zh-CN" w:eastAsia="zh-CN" w:bidi="ar-SA"/>
        </w:rPr>
        <w:t>人员增加</w:t>
      </w:r>
      <w:r>
        <w:rPr>
          <w:rFonts w:hint="eastAsia" w:eastAsia="仿宋_GB2312" w:cs="Times New Roman"/>
          <w:color w:val="auto"/>
          <w:kern w:val="2"/>
          <w:sz w:val="32"/>
          <w:szCs w:val="32"/>
          <w:highlight w:val="none"/>
          <w:lang w:val="zh-CN" w:eastAsia="zh-CN" w:bidi="ar-SA"/>
        </w:rPr>
        <w:t>，且缴费基数提高</w:t>
      </w:r>
      <w:r>
        <w:rPr>
          <w:rFonts w:hint="eastAsia"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zh-CN" w:eastAsia="zh-CN" w:bidi="ar-SA"/>
        </w:rPr>
        <w:t>导致费用增加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卫生健康支出（类）行政事业单位医疗（款）公务员医疗补助（项）:支出决算数为6.07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w:t>
      </w:r>
      <w:r>
        <w:rPr>
          <w:rFonts w:hint="eastAsia" w:eastAsia="仿宋_GB2312" w:cs="Times New Roman"/>
          <w:color w:val="auto"/>
          <w:kern w:val="2"/>
          <w:sz w:val="32"/>
          <w:szCs w:val="32"/>
          <w:highlight w:val="none"/>
          <w:lang w:val="en-US" w:eastAsia="zh-CN" w:bidi="ar-SA"/>
        </w:rPr>
        <w:t>41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2023年退休人员不再缴纳公务员医疗保险。</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.住房保障支出（类）住房改革支出（款）住房公积金（项）:支出决算数为55.93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87.36%，主要原因是：</w:t>
      </w:r>
      <w:r>
        <w:rPr>
          <w:rFonts w:hint="eastAsia" w:ascii="Times New Roman" w:hAnsi="Times New Roman" w:eastAsia="仿宋_GB2312" w:cs="Times New Roman"/>
          <w:color w:val="auto"/>
          <w:kern w:val="2"/>
          <w:sz w:val="32"/>
          <w:szCs w:val="32"/>
          <w:highlight w:val="none"/>
          <w:lang w:val="zh-CN" w:eastAsia="zh-CN" w:bidi="ar-SA"/>
        </w:rPr>
        <w:t>人员增加</w:t>
      </w:r>
      <w:r>
        <w:rPr>
          <w:rFonts w:hint="eastAsia" w:eastAsia="仿宋_GB2312" w:cs="Times New Roman"/>
          <w:color w:val="auto"/>
          <w:kern w:val="2"/>
          <w:sz w:val="32"/>
          <w:szCs w:val="32"/>
          <w:highlight w:val="none"/>
          <w:lang w:val="zh-CN" w:eastAsia="zh-CN" w:bidi="ar-SA"/>
        </w:rPr>
        <w:t>，且公积金缴费基数提高，增加了住房公积金支出。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.灾害防治及应急管理支出（类）应急管理事务（款）行政运行（项）:支出决算数为1,301.55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44.74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3.56%，主要原因是：</w:t>
      </w:r>
      <w:r>
        <w:rPr>
          <w:rFonts w:hint="eastAsia" w:eastAsia="仿宋_GB2312" w:cs="Times New Roman"/>
          <w:color w:val="auto"/>
          <w:kern w:val="2"/>
          <w:sz w:val="32"/>
          <w:szCs w:val="32"/>
          <w:highlight w:val="none"/>
          <w:lang w:val="en-US" w:eastAsia="zh-CN" w:bidi="ar-SA"/>
        </w:rPr>
        <w:t>人员</w:t>
      </w:r>
      <w:r>
        <w:rPr>
          <w:rFonts w:hint="eastAsia" w:ascii="Times New Roman" w:hAnsi="Times New Roman" w:eastAsia="仿宋_GB2312" w:cs="Times New Roman"/>
          <w:color w:val="auto"/>
          <w:kern w:val="2"/>
          <w:sz w:val="32"/>
          <w:szCs w:val="32"/>
          <w:highlight w:val="none"/>
          <w:lang w:val="zh-CN" w:eastAsia="zh-CN" w:bidi="ar-SA"/>
        </w:rPr>
        <w:t>增加，相应费用增加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.灾害防治及应急管理支出（类）应急管理事务（款）安全监管（项）:支出决算数为108.25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108.25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Times New Roman" w:hAnsi="Times New Roman" w:eastAsia="仿宋_GB2312" w:cs="Times New Roman"/>
          <w:color w:val="auto"/>
          <w:kern w:val="2"/>
          <w:sz w:val="32"/>
          <w:szCs w:val="32"/>
          <w:highlight w:val="none"/>
          <w:lang w:val="zh-CN" w:eastAsia="zh-CN" w:bidi="ar-SA"/>
        </w:rPr>
        <w:t>上年未安排此科目预算支出。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13.</w:t>
      </w:r>
      <w:r>
        <w:rPr>
          <w:rFonts w:hint="eastAsia" w:ascii="Times New Roman" w:hAnsi="Times New Roman" w:eastAsia="仿宋_GB2312" w:cs="Times New Roman"/>
          <w:color w:val="auto"/>
          <w:kern w:val="2"/>
          <w:sz w:val="32"/>
          <w:szCs w:val="32"/>
          <w:highlight w:val="none"/>
          <w:lang w:val="en-US" w:eastAsia="zh-CN" w:bidi="ar-SA"/>
        </w:rPr>
        <w:t>灾害防治及应急管理支出（类）应急管理事务（款）灾害风险防治（项）:支出决算数为0.00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78.59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Times New Roman" w:hAnsi="Times New Roman" w:eastAsia="仿宋_GB2312" w:cs="Times New Roman"/>
          <w:color w:val="auto"/>
          <w:kern w:val="2"/>
          <w:sz w:val="32"/>
          <w:szCs w:val="32"/>
          <w:highlight w:val="none"/>
          <w:lang w:val="zh-CN" w:eastAsia="zh-CN" w:bidi="ar-SA"/>
        </w:rPr>
        <w:t>本年未安排此科目预算支出。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.灾害防治及应急管理支出（类）应急管理事务（款）应急救援（项）:支出决算数为0.00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28.43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w:t>
      </w:r>
      <w:r>
        <w:rPr>
          <w:rFonts w:hint="eastAsia" w:ascii="Times New Roman" w:hAnsi="Times New Roman" w:eastAsia="仿宋_GB2312" w:cs="Times New Roman"/>
          <w:color w:val="auto"/>
          <w:kern w:val="2"/>
          <w:sz w:val="32"/>
          <w:szCs w:val="32"/>
          <w:highlight w:val="none"/>
          <w:lang w:val="zh-CN" w:eastAsia="zh-CN" w:bidi="ar-SA"/>
        </w:rPr>
        <w:t>未安排此科目预算支出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15.</w:t>
      </w:r>
      <w:r>
        <w:rPr>
          <w:rFonts w:hint="eastAsia" w:ascii="Times New Roman" w:hAnsi="Times New Roman" w:eastAsia="仿宋_GB2312" w:cs="Times New Roman"/>
          <w:color w:val="auto"/>
          <w:kern w:val="2"/>
          <w:sz w:val="32"/>
          <w:szCs w:val="32"/>
          <w:highlight w:val="none"/>
          <w:lang w:val="en-US" w:eastAsia="zh-CN" w:bidi="ar-SA"/>
        </w:rPr>
        <w:t>灾害防治及应急管理支出（类）地震事务（款）地震事业机构（项）:支出决算数为2.69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87.46%，主要原因是：</w:t>
      </w:r>
      <w:r>
        <w:rPr>
          <w:rFonts w:hint="eastAsia" w:ascii="Times New Roman" w:hAnsi="Times New Roman" w:eastAsia="仿宋_GB2312" w:cs="Times New Roman"/>
          <w:color w:val="auto"/>
          <w:kern w:val="2"/>
          <w:sz w:val="32"/>
          <w:szCs w:val="32"/>
          <w:highlight w:val="none"/>
          <w:lang w:val="zh-CN" w:eastAsia="zh-CN" w:bidi="ar-SA"/>
        </w:rPr>
        <w:t>减少本年安排此科目预算支出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.灾害防治及应急管理支出（类）自然灾害救灾及恢复重建支出（款）自然灾害救灾补助（项）:支出决算数为110.11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39.38%，主要原因是：</w:t>
      </w:r>
      <w:r>
        <w:rPr>
          <w:rFonts w:hint="eastAsia" w:ascii="Times New Roman" w:hAnsi="Times New Roman" w:eastAsia="仿宋_GB2312" w:cs="Times New Roman"/>
          <w:color w:val="auto"/>
          <w:kern w:val="2"/>
          <w:sz w:val="32"/>
          <w:szCs w:val="32"/>
          <w:highlight w:val="none"/>
          <w:lang w:val="zh-CN" w:eastAsia="zh-CN" w:bidi="ar-SA"/>
        </w:rPr>
        <w:t>自然灾害灾情上升，需救灾人员增加，相应项目增加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1477.94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1064.26万元</w:t>
      </w:r>
      <w:r>
        <w:rPr>
          <w:rFonts w:hint="eastAsia" w:ascii="仿宋_GB2312" w:eastAsia="仿宋_GB2312"/>
          <w:color w:val="auto"/>
          <w:sz w:val="32"/>
          <w:szCs w:val="32"/>
          <w:highlight w:val="none"/>
        </w:rPr>
        <w:t>，包括：包括：基本工资、津贴补贴、奖金、机关事业单位基本养老保险缴费、职业年金缴费、职工基本医疗保险缴费、公务员医疗补助缴费、其他社会保障缴费、住房公积金</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其他工资福利支出、</w:t>
      </w:r>
      <w:r>
        <w:rPr>
          <w:rFonts w:hint="eastAsia" w:ascii="仿宋_GB2312" w:eastAsia="仿宋_GB2312"/>
          <w:color w:val="auto"/>
          <w:sz w:val="32"/>
          <w:szCs w:val="32"/>
          <w:highlight w:val="none"/>
          <w:lang w:eastAsia="zh-CN"/>
        </w:rPr>
        <w:t>退休费</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413.68万元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eastAsia="zh-CN"/>
        </w:rPr>
        <w:t>办公经费、</w:t>
      </w:r>
      <w:r>
        <w:rPr>
          <w:rFonts w:hint="eastAsia" w:ascii="仿宋_GB2312" w:eastAsia="仿宋_GB2312"/>
          <w:color w:val="auto"/>
          <w:sz w:val="32"/>
          <w:szCs w:val="32"/>
          <w:highlight w:val="none"/>
        </w:rPr>
        <w:t>培训费</w:t>
      </w:r>
      <w:r>
        <w:rPr>
          <w:rFonts w:hint="eastAsia" w:ascii="仿宋_GB2312" w:eastAsia="仿宋_GB2312"/>
          <w:color w:val="auto"/>
          <w:sz w:val="32"/>
          <w:szCs w:val="32"/>
          <w:highlight w:val="none"/>
          <w:lang w:eastAsia="zh-CN"/>
        </w:rPr>
        <w:t>、劳务费、工会经费、福利费、公务用车运行维护费、其他商品和服务支出。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“三公”经费支出2.19万元，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w:t>
      </w:r>
      <w:r>
        <w:rPr>
          <w:rFonts w:hint="eastAsia" w:ascii="仿宋_GB2312" w:eastAsia="仿宋_GB2312"/>
          <w:color w:val="auto"/>
          <w:sz w:val="32"/>
          <w:szCs w:val="32"/>
          <w:highlight w:val="none"/>
          <w:lang w:val="en-US" w:eastAsia="zh-CN"/>
        </w:rPr>
        <w:t>0.16</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下降6.81%,</w:t>
      </w:r>
      <w:r>
        <w:rPr>
          <w:rFonts w:hint="eastAsia" w:ascii="仿宋_GB2312" w:eastAsia="仿宋_GB2312"/>
          <w:color w:val="auto"/>
          <w:sz w:val="32"/>
          <w:szCs w:val="32"/>
          <w:highlight w:val="none"/>
          <w:lang w:val="zh-CN" w:eastAsia="zh-CN"/>
        </w:rPr>
        <w:t>主要原因是：严格控制“三公”经费，厉行节约减少财政支出。其中：因公出国（境）费支出0.00万元，占0.00%，比上年增加0.00万元，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主要原因是：预决算一致无差异；公务用车购置及运行维护费支出2</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19万元，占</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lang w:val="zh-CN" w:eastAsia="zh-CN"/>
        </w:rPr>
        <w:t>%，比上年减少</w:t>
      </w:r>
      <w:r>
        <w:rPr>
          <w:rFonts w:hint="eastAsia" w:ascii="仿宋_GB2312" w:eastAsia="仿宋_GB2312"/>
          <w:color w:val="auto"/>
          <w:sz w:val="32"/>
          <w:szCs w:val="32"/>
          <w:highlight w:val="none"/>
          <w:lang w:val="en-US" w:eastAsia="zh-CN"/>
        </w:rPr>
        <w:t>0.16</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下降6.81%,</w:t>
      </w:r>
      <w:r>
        <w:rPr>
          <w:rFonts w:hint="eastAsia" w:ascii="仿宋_GB2312" w:eastAsia="仿宋_GB2312"/>
          <w:color w:val="auto"/>
          <w:sz w:val="32"/>
          <w:szCs w:val="32"/>
          <w:highlight w:val="none"/>
          <w:lang w:val="zh-CN" w:eastAsia="zh-CN"/>
        </w:rPr>
        <w:t>主要原因是：严格执行内控，厉行节约减少财政支出；公务接待费支出0.00万元，占0.00%，比上年增加0.00万元，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主要原因是：预决算一致无差异。</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ascii="仿宋_GB2312" w:eastAsia="仿宋_GB2312"/>
          <w:color w:val="auto"/>
          <w:sz w:val="32"/>
          <w:szCs w:val="32"/>
          <w:highlight w:val="none"/>
          <w:lang w:val="en-US" w:eastAsia="zh-CN"/>
        </w:rPr>
        <w:t>2.19</w:t>
      </w:r>
      <w:r>
        <w:rPr>
          <w:rFonts w:hint="eastAsia" w:ascii="仿宋_GB2312" w:eastAsia="仿宋_GB2312"/>
          <w:color w:val="auto"/>
          <w:sz w:val="32"/>
          <w:szCs w:val="32"/>
          <w:highlight w:val="none"/>
          <w:lang w:val="zh-CN" w:eastAsia="zh-CN"/>
        </w:rPr>
        <w:t>万元，其中：公务用车购置费0.00万元，公务用车运行维护费</w:t>
      </w:r>
      <w:r>
        <w:rPr>
          <w:rFonts w:hint="eastAsia" w:ascii="仿宋_GB2312" w:eastAsia="仿宋_GB2312"/>
          <w:color w:val="auto"/>
          <w:sz w:val="32"/>
          <w:szCs w:val="32"/>
          <w:highlight w:val="none"/>
          <w:lang w:val="en-US" w:eastAsia="zh-CN"/>
        </w:rPr>
        <w:t>2.19</w:t>
      </w:r>
      <w:r>
        <w:rPr>
          <w:rFonts w:hint="eastAsia" w:ascii="仿宋_GB2312" w:eastAsia="仿宋_GB2312"/>
          <w:color w:val="auto"/>
          <w:sz w:val="32"/>
          <w:szCs w:val="32"/>
          <w:highlight w:val="none"/>
          <w:lang w:val="zh-CN" w:eastAsia="zh-CN"/>
        </w:rPr>
        <w:t>万元。公务用车运行维护费开支内容包括车辆维修、保险、燃油、过路过桥费用。公务用车购置数0辆，公务用车保有量4辆。国有资产占用情况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原因是：固定资产车辆与公务用车保有量无差异。</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2.19</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2.19</w:t>
      </w:r>
      <w:r>
        <w:rPr>
          <w:rFonts w:hint="eastAsia" w:ascii="仿宋_GB2312" w:eastAsia="仿宋_GB2312"/>
          <w:color w:val="auto"/>
          <w:sz w:val="32"/>
          <w:szCs w:val="32"/>
          <w:highlight w:val="none"/>
          <w:lang w:val="zh-CN" w:eastAsia="zh-CN"/>
        </w:rPr>
        <w:t>万元，差异率0.00%，主要原因是：</w:t>
      </w:r>
      <w:bookmarkStart w:id="48" w:name="_GoBack"/>
      <w:bookmarkEnd w:id="48"/>
      <w:r>
        <w:rPr>
          <w:rFonts w:hint="eastAsia" w:ascii="仿宋_GB2312" w:eastAsia="仿宋_GB2312"/>
          <w:color w:val="auto"/>
          <w:sz w:val="32"/>
          <w:szCs w:val="32"/>
          <w:highlight w:val="none"/>
          <w:lang w:val="zh-CN" w:eastAsia="zh-CN"/>
        </w:rPr>
        <w:t>“预决算一致无差异”。其中：因公出国（境）费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0.00万元，决算数0.00万元，预决算差异率0.00%，主要原因是：预决算一致无差异；公务用车购置费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预算数0.00万元，决算数0.00万元，预决算差异率0.00%，主要原因是：预决算一致无差异；公务用车运行费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2.19</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2.19</w:t>
      </w:r>
      <w:r>
        <w:rPr>
          <w:rFonts w:hint="eastAsia" w:ascii="仿宋_GB2312" w:eastAsia="仿宋_GB2312"/>
          <w:color w:val="auto"/>
          <w:sz w:val="32"/>
          <w:szCs w:val="32"/>
          <w:highlight w:val="none"/>
          <w:lang w:val="zh-CN" w:eastAsia="zh-CN"/>
        </w:rPr>
        <w:t>万元，差异率0.00%，主要原因是：“预决算一致无差异”；公务接待费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预决算一致无差异。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库尔勒市应急管理局（行政单位和参照公务员法管理事业单位）机关运行经费支出413.68万元，</w:t>
      </w:r>
      <w:r>
        <w:rPr>
          <w:rFonts w:hint="eastAsia" w:ascii="Times New Roman" w:hAnsi="Times New Roman" w:eastAsia="仿宋_GB2312" w:cs="Times New Roman"/>
          <w:color w:val="auto"/>
          <w:sz w:val="32"/>
          <w:szCs w:val="32"/>
          <w:highlight w:val="none"/>
          <w:lang w:val="zh-CN" w:eastAsia="zh-CN"/>
        </w:rPr>
        <w:t>比上年增加57.09万元，增长16.01%，主要原因是：</w:t>
      </w:r>
      <w:r>
        <w:rPr>
          <w:rFonts w:hint="eastAsia" w:ascii="仿宋_GB2312" w:eastAsia="仿宋_GB2312"/>
          <w:sz w:val="32"/>
          <w:szCs w:val="32"/>
          <w:highlight w:val="none"/>
          <w:lang w:eastAsia="zh-CN"/>
        </w:rPr>
        <w:t>增加</w:t>
      </w:r>
      <w:r>
        <w:rPr>
          <w:rFonts w:hint="eastAsia" w:ascii="仿宋_GB2312" w:eastAsia="仿宋_GB2312"/>
          <w:sz w:val="32"/>
          <w:szCs w:val="32"/>
          <w:highlight w:val="none"/>
          <w:lang w:val="en-US" w:eastAsia="zh-CN"/>
        </w:rPr>
        <w:t>26</w:t>
      </w:r>
      <w:r>
        <w:rPr>
          <w:rFonts w:hint="eastAsia" w:ascii="仿宋_GB2312" w:eastAsia="仿宋_GB2312"/>
          <w:sz w:val="32"/>
          <w:szCs w:val="32"/>
          <w:highlight w:val="none"/>
          <w:lang w:eastAsia="zh-CN"/>
        </w:rPr>
        <w:t>名消防劳务派遣人员的劳务费</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17.40万元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其中：政府采购货物支出8.85万元、政府采购工程支出0.00万元、政府采购服务支出8.55万元。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授予中小企业合同金额9.36万元，占政府采购支出总额的53.7</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，其中：授予小微企业合同金额9.36万元，占政府采购支出总额的53.7</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200.45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屋0.00平方米，价值0.00万元。车辆4辆，价值82.71万元，其中：副部（省）级及以上领导用车0辆、主要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用车0辆、机要通信用车0辆、应急保障用车0辆、执法执勤用车1辆、特种专业技术用车3辆、离退休干部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用车0辆、其他用车0辆，其他用车主要是：本单位无其他用车；单价100万元（含）以上设备（不含车辆）0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1698.98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1698.98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全年预算数110.11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全年执行数110.11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提高了市民对安全生产、防灾减灾、应急常识的认知能力和知晓率；二是对安全生产基础设施建设、宣传、培训、隐患排查、事故处理等方面的投入力度，使我市安全生产形势稳步好转。发现的问题及原因：一是在自然灾害防治中，全市救灾难度大，自然灾害防治形势总体较为严峻，防治和应对自然灾害的能力需要进一步提升；二是在安全生产工作中，全市生产安全事故总量仍然较大，重点行业领域企业安全生产基础仍较薄弱，新领域新业态安全生产风险逐步增加，从综合监管和行业监管层面减少事故总量、防止事故反弹、遏制重特大事故工作任务艰巨。下一步改进措施：一是进一步加强局内设各科室的预算管理意识，严格预算编制的相关制度和要求，规范预算编制程序。本着“勤俭节约、保障运转”的原则进行预算的编制，编制范围尽可能的全面，不漏项。进一步提高预算编制的科学性、合理性、严谨性和可控性；二是加快项目实施进度的推进，加强项目进度跟踪与检查，开展项目绩效评价，确保项目绩效目标的完成，发挥资金的使用效益，压减年末结余资金规模，提高预算完成率。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lang w:eastAsia="zh-CN"/>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r>
        <w:rPr>
          <w:rFonts w:hint="eastAsia" w:ascii="黑体" w:hAnsi="黑体" w:eastAsia="仿宋_GB2312" w:cs="宋体"/>
          <w:bCs/>
          <w:color w:val="auto"/>
          <w:kern w:val="0"/>
          <w:sz w:val="32"/>
          <w:szCs w:val="32"/>
          <w:highlight w:val="none"/>
          <w:lang w:eastAsia="zh-CN"/>
        </w:rPr>
        <w:t>（空表）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lang w:eastAsia="zh-CN"/>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r>
        <w:rPr>
          <w:rFonts w:hint="eastAsia" w:ascii="黑体" w:hAnsi="黑体" w:eastAsia="仿宋_GB2312" w:cs="宋体"/>
          <w:bCs/>
          <w:color w:val="auto"/>
          <w:kern w:val="0"/>
          <w:sz w:val="32"/>
          <w:szCs w:val="32"/>
          <w:highlight w:val="none"/>
          <w:lang w:eastAsia="zh-CN"/>
        </w:rPr>
        <w:t>（空表）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69865" cy="6665595"/>
            <wp:effectExtent l="0" t="0" r="317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5"/>
                    <a:stretch>
                      <a:fillRect/>
                    </a:stretch>
                  </pic:blipFill>
                  <pic:spPr>
                    <a:xfrm>
                      <a:off x="0" y="0"/>
                      <a:ext cx="5269865" cy="666559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3040" cy="5960110"/>
            <wp:effectExtent l="0" t="0" r="0" b="139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6"/>
                    <a:stretch>
                      <a:fillRect/>
                    </a:stretch>
                  </pic:blipFill>
                  <pic:spPr>
                    <a:xfrm>
                      <a:off x="0" y="0"/>
                      <a:ext cx="5273040" cy="59601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1135" cy="5909310"/>
            <wp:effectExtent l="0" t="0" r="1905" b="381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7"/>
                    <a:stretch>
                      <a:fillRect/>
                    </a:stretch>
                  </pic:blipFill>
                  <pic:spPr>
                    <a:xfrm>
                      <a:off x="0" y="0"/>
                      <a:ext cx="5271135" cy="59093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69865" cy="6546850"/>
            <wp:effectExtent l="0" t="0" r="3175"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5269865" cy="65468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2405" cy="6764020"/>
            <wp:effectExtent l="0" t="0" r="635" b="254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a:stretch>
                      <a:fillRect/>
                    </a:stretch>
                  </pic:blipFill>
                  <pic:spPr>
                    <a:xfrm>
                      <a:off x="0" y="0"/>
                      <a:ext cx="5272405" cy="67640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2405" cy="6316345"/>
            <wp:effectExtent l="0" t="0" r="635" b="825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0"/>
                    <a:stretch>
                      <a:fillRect/>
                    </a:stretch>
                  </pic:blipFill>
                  <pic:spPr>
                    <a:xfrm>
                      <a:off x="0" y="0"/>
                      <a:ext cx="5272405" cy="63163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1770" cy="3168015"/>
            <wp:effectExtent l="0" t="0" r="1270" b="190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1"/>
                    <a:stretch>
                      <a:fillRect/>
                    </a:stretch>
                  </pic:blipFill>
                  <pic:spPr>
                    <a:xfrm>
                      <a:off x="0" y="0"/>
                      <a:ext cx="5271770" cy="31680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0500" cy="2480945"/>
            <wp:effectExtent l="0" t="0" r="2540" b="317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5270500" cy="24809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66055" cy="3097530"/>
            <wp:effectExtent l="0" t="0" r="6985" b="1143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5266055" cy="309753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39678F"/>
    <w:rsid w:val="02BD3108"/>
    <w:rsid w:val="02F73D26"/>
    <w:rsid w:val="034D4FEF"/>
    <w:rsid w:val="035D1785"/>
    <w:rsid w:val="039F47CE"/>
    <w:rsid w:val="03E05CE8"/>
    <w:rsid w:val="03F92594"/>
    <w:rsid w:val="03F973EE"/>
    <w:rsid w:val="043E5B56"/>
    <w:rsid w:val="04C04386"/>
    <w:rsid w:val="04D96608"/>
    <w:rsid w:val="04FA68C4"/>
    <w:rsid w:val="053F5AE6"/>
    <w:rsid w:val="056906CC"/>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C03D6C"/>
    <w:rsid w:val="12F7068C"/>
    <w:rsid w:val="13634139"/>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475D33"/>
    <w:rsid w:val="1BFB2A1F"/>
    <w:rsid w:val="1C015D4A"/>
    <w:rsid w:val="1C290ED5"/>
    <w:rsid w:val="1C317E4F"/>
    <w:rsid w:val="1C472464"/>
    <w:rsid w:val="1D22799A"/>
    <w:rsid w:val="1D5C1A72"/>
    <w:rsid w:val="1DAF458D"/>
    <w:rsid w:val="1E086ACE"/>
    <w:rsid w:val="1E5B2186"/>
    <w:rsid w:val="1E62130A"/>
    <w:rsid w:val="1E97358B"/>
    <w:rsid w:val="1E975C7E"/>
    <w:rsid w:val="1EAA4A5F"/>
    <w:rsid w:val="1EE869A7"/>
    <w:rsid w:val="1FA15E62"/>
    <w:rsid w:val="1FED69B6"/>
    <w:rsid w:val="204C531E"/>
    <w:rsid w:val="2064678E"/>
    <w:rsid w:val="20DC1AB9"/>
    <w:rsid w:val="20DD6197"/>
    <w:rsid w:val="212631E0"/>
    <w:rsid w:val="21A53757"/>
    <w:rsid w:val="221236C6"/>
    <w:rsid w:val="22770481"/>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A540F2"/>
    <w:rsid w:val="2F3F0A28"/>
    <w:rsid w:val="2FBF7029"/>
    <w:rsid w:val="2FD0187F"/>
    <w:rsid w:val="2FD27414"/>
    <w:rsid w:val="2FFE4BB0"/>
    <w:rsid w:val="300E7B60"/>
    <w:rsid w:val="300F6E18"/>
    <w:rsid w:val="30462E94"/>
    <w:rsid w:val="30862F5F"/>
    <w:rsid w:val="314029C9"/>
    <w:rsid w:val="31C63837"/>
    <w:rsid w:val="31C82E39"/>
    <w:rsid w:val="32601BAD"/>
    <w:rsid w:val="329F6389"/>
    <w:rsid w:val="333B4FDB"/>
    <w:rsid w:val="3389023A"/>
    <w:rsid w:val="33CB74FA"/>
    <w:rsid w:val="343642F2"/>
    <w:rsid w:val="343F3010"/>
    <w:rsid w:val="345D0A00"/>
    <w:rsid w:val="34713BFD"/>
    <w:rsid w:val="34C13589"/>
    <w:rsid w:val="353369E3"/>
    <w:rsid w:val="35497D59"/>
    <w:rsid w:val="35B21E0B"/>
    <w:rsid w:val="35E00D72"/>
    <w:rsid w:val="36351E52"/>
    <w:rsid w:val="36965B9D"/>
    <w:rsid w:val="36BF758A"/>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DF65B10"/>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566FEE"/>
    <w:rsid w:val="452F5B3A"/>
    <w:rsid w:val="454E7FD2"/>
    <w:rsid w:val="45D4156E"/>
    <w:rsid w:val="46061BDC"/>
    <w:rsid w:val="461404F8"/>
    <w:rsid w:val="46413018"/>
    <w:rsid w:val="464B7E04"/>
    <w:rsid w:val="468041AA"/>
    <w:rsid w:val="468123C6"/>
    <w:rsid w:val="46813747"/>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111C89"/>
    <w:rsid w:val="542F73CA"/>
    <w:rsid w:val="5430786D"/>
    <w:rsid w:val="543356CB"/>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DFC6EE6"/>
    <w:rsid w:val="5E7E6D93"/>
    <w:rsid w:val="5ED44800"/>
    <w:rsid w:val="5F0C2572"/>
    <w:rsid w:val="5F350BDE"/>
    <w:rsid w:val="5F61632C"/>
    <w:rsid w:val="5FA17648"/>
    <w:rsid w:val="5FE705CB"/>
    <w:rsid w:val="603D5080"/>
    <w:rsid w:val="60D0261B"/>
    <w:rsid w:val="618E3791"/>
    <w:rsid w:val="61947DCA"/>
    <w:rsid w:val="61A46A97"/>
    <w:rsid w:val="61D1382F"/>
    <w:rsid w:val="61F114A2"/>
    <w:rsid w:val="620E0017"/>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065D07"/>
    <w:rsid w:val="683F0658"/>
    <w:rsid w:val="689C6793"/>
    <w:rsid w:val="68DB0208"/>
    <w:rsid w:val="68FB170C"/>
    <w:rsid w:val="691B3D98"/>
    <w:rsid w:val="693748F0"/>
    <w:rsid w:val="69846A0E"/>
    <w:rsid w:val="69AA1366"/>
    <w:rsid w:val="69AD798C"/>
    <w:rsid w:val="69D005C0"/>
    <w:rsid w:val="69D80B96"/>
    <w:rsid w:val="6AA35A6D"/>
    <w:rsid w:val="6B68175F"/>
    <w:rsid w:val="6BFD799F"/>
    <w:rsid w:val="6C4A2E5A"/>
    <w:rsid w:val="6C8138D0"/>
    <w:rsid w:val="6CCD6FFE"/>
    <w:rsid w:val="6CEF0725"/>
    <w:rsid w:val="6D4B2604"/>
    <w:rsid w:val="6D8030E4"/>
    <w:rsid w:val="6D933AF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243301"/>
    <w:rsid w:val="727B234E"/>
    <w:rsid w:val="72D068C7"/>
    <w:rsid w:val="72E42ED8"/>
    <w:rsid w:val="735F4CB9"/>
    <w:rsid w:val="73674C62"/>
    <w:rsid w:val="73845865"/>
    <w:rsid w:val="739B6D9E"/>
    <w:rsid w:val="73BC1D76"/>
    <w:rsid w:val="73FB6630"/>
    <w:rsid w:val="74734D81"/>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770683"/>
    <w:rsid w:val="790A6425"/>
    <w:rsid w:val="790E2D96"/>
    <w:rsid w:val="791B54B2"/>
    <w:rsid w:val="795A0A34"/>
    <w:rsid w:val="797339C3"/>
    <w:rsid w:val="79D57D57"/>
    <w:rsid w:val="79F00650"/>
    <w:rsid w:val="7A6242BF"/>
    <w:rsid w:val="7A794513"/>
    <w:rsid w:val="7AE952D2"/>
    <w:rsid w:val="7BB37139"/>
    <w:rsid w:val="7C0958E4"/>
    <w:rsid w:val="7C7248A0"/>
    <w:rsid w:val="7C976D69"/>
    <w:rsid w:val="7CD752DA"/>
    <w:rsid w:val="7CDE40AB"/>
    <w:rsid w:val="7CF057E2"/>
    <w:rsid w:val="7D1548B5"/>
    <w:rsid w:val="7D9507FF"/>
    <w:rsid w:val="7DF84014"/>
    <w:rsid w:val="7E12646A"/>
    <w:rsid w:val="7E207949"/>
    <w:rsid w:val="7E5C0A47"/>
    <w:rsid w:val="7E670C75"/>
    <w:rsid w:val="7E712C21"/>
    <w:rsid w:val="7ECA69B2"/>
    <w:rsid w:val="7EE24272"/>
    <w:rsid w:val="7EEA6053"/>
    <w:rsid w:val="7F2D0A62"/>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69</TotalTime>
  <ScaleCrop>false</ScaleCrop>
  <LinksUpToDate>false</LinksUpToDate>
  <CharactersWithSpaces>20832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2024-11-29T08:21:54Z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D624B15633CD43C8BF9435464A96BF70</vt:lpwstr>
  </property>
</Properties>
</file>