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2A508">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14:paraId="7CA30F9E">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14:paraId="7A35EA8F">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14:paraId="69408356">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14:paraId="12D2FF15">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14:paraId="45EFB8A7">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14:paraId="695C4322">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14:paraId="5309AB13">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14:paraId="49E571A1">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14:paraId="5E2E8620">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14:paraId="21F05A6F">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14:paraId="3F744D51">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14:paraId="197B3F23">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14:paraId="372111BB">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14:paraId="02BFA38E">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14:paraId="2AAE4754">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14:paraId="7DAA932B">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14:paraId="01F582F0">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r>
        <w:rPr>
          <w:rFonts w:hint="eastAsia" w:ascii="仿宋" w:hAnsi="仿宋" w:eastAsia="仿宋" w:cs="仿宋"/>
          <w:color w:val="auto"/>
          <w:kern w:val="0"/>
          <w:sz w:val="36"/>
          <w:szCs w:val="36"/>
          <w:highlight w:val="none"/>
          <w:lang w:val="en-US" w:eastAsia="zh-CN"/>
        </w:rPr>
        <w:t>库尔勒市市场监督管理局</w:t>
      </w:r>
    </w:p>
    <w:p w14:paraId="54EF375E">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14:paraId="65326C6B">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14:paraId="482C25B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14:paraId="16122EDF">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rPr>
      </w:pPr>
      <w:r>
        <w:rPr>
          <w:rStyle w:val="9"/>
          <w:rFonts w:hint="eastAsia" w:ascii="黑体" w:hAnsi="黑体" w:eastAsia="黑体" w:cs="黑体"/>
          <w:b w:val="0"/>
          <w:bCs/>
          <w:color w:val="auto"/>
          <w:spacing w:val="-4"/>
          <w:sz w:val="32"/>
          <w:szCs w:val="32"/>
          <w:highlight w:val="none"/>
          <w:lang w:val="en-US" w:eastAsia="zh-CN"/>
        </w:rPr>
        <w:t>(一)</w:t>
      </w:r>
      <w:r>
        <w:rPr>
          <w:rStyle w:val="9"/>
          <w:rFonts w:hint="eastAsia" w:ascii="黑体" w:hAnsi="黑体" w:eastAsia="黑体" w:cs="黑体"/>
          <w:b w:val="0"/>
          <w:bCs/>
          <w:color w:val="auto"/>
          <w:spacing w:val="-4"/>
          <w:sz w:val="32"/>
          <w:szCs w:val="32"/>
          <w:highlight w:val="none"/>
        </w:rPr>
        <w:t>部门单位基本情况</w:t>
      </w:r>
    </w:p>
    <w:p w14:paraId="4D938E8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14:paraId="1E6969ED">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color w:val="auto"/>
          <w:kern w:val="1"/>
          <w:sz w:val="32"/>
          <w:szCs w:val="32"/>
          <w:highlight w:val="none"/>
          <w:lang w:val="en-US" w:eastAsia="zh-CN"/>
        </w:rPr>
        <w:t>单位主要工作职责：负责市场综合监督、知识产权和价格监督管理。贯彻执行国家、自治区和自治州市场监督、知识产权和价格监督管理有关法律和规章，起草本市有关市场监管、知识产权和价格监督管理的规范性文件、具体措施、标准，并组织实施质量强市战略、食品安全战略、标准化战略和知识产权战略。规范和维护市场秩序，营造诚实守信、公平竞争的市场环境。统一管理市场主体登记注册工作，组织市场监管和知识产权综合执法工作，反垄断统一执法，监督管理市场秩序，负责宏观质量管理，负责产品质量安全监督管理，特种设备安全监督管理，食品安全监督管理综合协调，食品安全监督管理，负责药品（含中药、民族药）、医疗器械、保健食品、化妆品监督管理的法律、法规和规章；负责统一管理计量工作，统一管理标准化工作，统一管理检验检测工作，负责知识产权保护、管理和服务工作，承担市食品安全委员会的具体工作。</w:t>
      </w:r>
    </w:p>
    <w:p w14:paraId="677D377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14:paraId="0F7369F5">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24" w:firstLineChars="200"/>
        <w:jc w:val="both"/>
        <w:textAlignment w:val="auto"/>
        <w:rPr>
          <w:rFonts w:hint="eastAsia" w:ascii="仿宋" w:hAnsi="仿宋" w:eastAsia="仿宋" w:cs="仿宋"/>
          <w:color w:val="auto"/>
          <w:kern w:val="2"/>
          <w:sz w:val="32"/>
          <w:szCs w:val="32"/>
          <w:highlight w:val="none"/>
          <w:lang w:val="en-US" w:eastAsia="zh-CN" w:bidi="ar-SA"/>
        </w:rPr>
      </w:pPr>
      <w:r>
        <w:rPr>
          <w:rStyle w:val="9"/>
          <w:rFonts w:hint="eastAsia" w:ascii="仿宋" w:hAnsi="仿宋" w:eastAsia="仿宋" w:cs="仿宋"/>
          <w:b w:val="0"/>
          <w:bCs/>
          <w:color w:val="auto"/>
          <w:spacing w:val="-4"/>
          <w:sz w:val="32"/>
          <w:szCs w:val="32"/>
          <w:highlight w:val="none"/>
          <w:lang w:val="en-US" w:eastAsia="zh-CN"/>
        </w:rPr>
        <w:t>库尔勒市市场监督管理局</w:t>
      </w:r>
      <w:r>
        <w:rPr>
          <w:rFonts w:hint="eastAsia" w:ascii="仿宋" w:hAnsi="仿宋" w:eastAsia="仿宋" w:cs="仿宋"/>
          <w:color w:val="auto"/>
          <w:kern w:val="2"/>
          <w:sz w:val="32"/>
          <w:szCs w:val="32"/>
          <w:highlight w:val="none"/>
          <w:lang w:val="en-US" w:eastAsia="zh-CN" w:bidi="ar-SA"/>
        </w:rPr>
        <w:t>编制数182人，实有人数331人，其中：在职169人；退休162人；离休0人。</w:t>
      </w:r>
    </w:p>
    <w:p w14:paraId="76C4E8CF">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(二)部门单位年度重点工作</w:t>
      </w:r>
    </w:p>
    <w:p w14:paraId="17BFD19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14:paraId="5EFA2B67">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1、深刻领会、准确把握党的二十大精神，以党的二十大精神引领市场监管工作。2、加强食品安全监管，确保“舌尖上的安全”，落实食品安全工作“四个最严”的要求，全面推进我市大型餐饮单位“互联网+明厨亮灶”工作，进一步规范网络食品经营。3、加强药品安全监管，确保各族群众身体健康，推进巴州“互联网＋安全”监管平台零售药品电子监管系统工作，实现对库尔勒市辖区内零售药店的药品购进、销售、库存数据的统一监管。4、充分发挥质量支撑作用，加快推进质量强市建设，围绕库尔勒经济社会发展重点领域，加强地方标准体系建设。5、加强特种设备监管，保障各族群众生命安全，严厉查处特种设备违法违规行为，坚决防范遏制重特大安全事故的发生，切实保障好各族群众生命财产安全。6、大力支持市场主体发展，优化营商服务环境，充分激发各类市场主体活力，坚持信用体系建设和优化营商环境两端发力。7、深入开展民生领域监管执法，坚决维护各族群众切身利益，加大重点领域整治力度，深入开展涉疫药品和医疗用品稳价保质专项行动，严厉查处涉导向、政治敏感性问题违法广告。8、全面提升依法监管能力，推动严格规范公正文明执法。</w:t>
      </w:r>
    </w:p>
    <w:p w14:paraId="2E616936">
      <w:pPr>
        <w:pStyle w:val="3"/>
        <w:pageBreakBefore w:val="0"/>
        <w:numPr>
          <w:ilvl w:val="0"/>
          <w:numId w:val="1"/>
        </w:numPr>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14:paraId="70719530">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库尔勒市市场监督管理局2023年通过本部门预算支出，确保了169名在职人员的工资、津贴、补贴、社保、绩效、公积金等以及162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14:paraId="53339E01">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(三)部门单位整体预算规模及安排情况</w:t>
      </w:r>
    </w:p>
    <w:p w14:paraId="0A046A8C">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14:paraId="4F890E1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2023年我部门年初安排预算数为3508.65万元，其中:上级安排0.00万元,本级安排3508.65万元，其他资金0.00万元。</w:t>
      </w:r>
    </w:p>
    <w:p w14:paraId="1EF76D63">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14:paraId="43B1662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14:paraId="7F5731E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color w:val="auto"/>
          <w:sz w:val="32"/>
          <w:szCs w:val="32"/>
          <w:highlight w:val="none"/>
          <w:lang w:val="en-US" w:eastAsia="zh-CN"/>
        </w:rPr>
        <w:t>3508.65</w:t>
      </w:r>
      <w:r>
        <w:rPr>
          <w:rFonts w:hint="eastAsia" w:ascii="仿宋" w:hAnsi="仿宋" w:eastAsia="仿宋" w:cs="仿宋"/>
          <w:b w:val="0"/>
          <w:bCs/>
          <w:color w:val="auto"/>
          <w:sz w:val="32"/>
          <w:szCs w:val="32"/>
          <w:highlight w:val="none"/>
          <w:lang w:val="en-US" w:eastAsia="zh-CN"/>
        </w:rPr>
        <w:t>万元，年中调整数+5967.42万元，调整后全年预算数9476.07万元，预算调整率170.08%。</w:t>
      </w:r>
    </w:p>
    <w:p w14:paraId="74C79C8F">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14:paraId="11FE3A4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14:paraId="6BF4FC6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我单位2023年度部门整体支出为9471.82万元，其中：</w:t>
      </w:r>
    </w:p>
    <w:p w14:paraId="0159EF4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3330.05</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p>
    <w:p w14:paraId="0DCF38A4">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6141.76</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2021年度药品监管抽检经费（市场监管局）项目5.00万元、2022年自治区药品抽检经费项目3.00万元、各市监所办公楼维护修缮费项目4.83万元、2022年食品监管辅助资金项目10.00万元、食品安全监督抽检专项经费项目50.00万元、2023年食品创城专项抽检工作经费项目49.06万元、2023年食品药品监管补助资金项目10.00万元、疫</w:t>
      </w:r>
      <w:bookmarkStart w:id="0" w:name="_GoBack"/>
      <w:bookmarkEnd w:id="0"/>
      <w:r>
        <w:rPr>
          <w:rFonts w:hint="eastAsia" w:ascii="仿宋" w:hAnsi="仿宋" w:eastAsia="仿宋" w:cs="仿宋"/>
          <w:b w:val="0"/>
          <w:bCs w:val="0"/>
          <w:color w:val="auto"/>
          <w:kern w:val="2"/>
          <w:sz w:val="32"/>
          <w:szCs w:val="32"/>
          <w:highlight w:val="none"/>
          <w:lang w:val="en-US" w:eastAsia="zh-CN" w:bidi="ar-SA"/>
        </w:rPr>
        <w:t>情防控补助资金项目5554.42万元、疫情期间餐费项目200.00万元、延续项目-新冠留置人员餐费冷链仓经费项目255.46万元。</w:t>
      </w:r>
    </w:p>
    <w:p w14:paraId="7226336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14:paraId="18A2995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14:paraId="4E2DEAF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14:paraId="4D932DA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2023年我部门基本支出年初预算安排3236.04万元，全年预算数3334.31万元，全年实际支出数3330.05万元，其中：人员经费3042.48万元，公用经费287.58万元。全年预算执行率99.87%。</w:t>
      </w:r>
    </w:p>
    <w:p w14:paraId="071AE5B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14:paraId="2504454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p>
    <w:p w14:paraId="0547968D">
      <w:pPr>
        <w:pStyle w:val="3"/>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14:paraId="06EC882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14:paraId="1A727EC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2023年本单位共安排10个项目，全年预算数为6141.76万元，全年实际支出数6141.76万元，执行率100.00%。</w:t>
      </w:r>
    </w:p>
    <w:p w14:paraId="5A952EB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其中:上级安排项目5个5582.42万元，本级安排项目5个559.35万元,其他资金安排项目0个0.00万元。</w:t>
      </w:r>
    </w:p>
    <w:p w14:paraId="70AAC63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14:paraId="57DE182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14:paraId="5A03C45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14:paraId="76B0DF3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14:paraId="1714626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14:paraId="112A80A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9"/>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14:paraId="1939659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14:paraId="5219A19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我单位将部门单位整体绩效目标细化分解为具体的绩效指标，一级指标共1条，二级指标共1条，三级指标共5条，其中量化指标条数共5条，所有绩效指标均通过清晰、可衡量的指标值予以体现。</w:t>
      </w:r>
    </w:p>
    <w:p w14:paraId="29547111">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（一）指标一：运行成本</w:t>
      </w:r>
    </w:p>
    <w:p w14:paraId="3EFB3A6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14:paraId="5CD9BDA6">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（二）指标二：管理效率</w:t>
      </w:r>
    </w:p>
    <w:p w14:paraId="215C5D9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14:paraId="0B8DE8AA">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（三）指标三：履职效能</w:t>
      </w:r>
    </w:p>
    <w:p w14:paraId="4A260F0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数量指标1：涉及药品批发企业数量,预期指标值为：≥4家；监控节点完成值：=4家；评价实际完成值：=4家；指标完成率：100.00%；成效分析：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，提高了对药品批发企业监管的程度。</w:t>
      </w:r>
    </w:p>
    <w:p w14:paraId="208EE4C9">
      <w:pPr>
        <w:pStyle w:val="3"/>
        <w:keepNext/>
        <w:keepLines/>
        <w:pageBreakBefore w:val="0"/>
        <w:widowControl w:val="0"/>
        <w:kinsoku/>
        <w:wordWrap/>
        <w:overflowPunct/>
        <w:topLinePunct w:val="0"/>
        <w:autoSpaceDE/>
        <w:autoSpaceDN/>
        <w:bidi w:val="0"/>
        <w:adjustRightInd/>
        <w:snapToGrid/>
        <w:ind w:firstLine="624" w:firstLineChars="200"/>
        <w:textAlignment w:val="auto"/>
        <w:rPr>
          <w:rFonts w:hint="eastAsia"/>
          <w:color w:val="auto"/>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数量指标2：产品质量监督抽查批次,预期指标值为：≥500批次；监控节点完成值：=90批次；评价实际完成值：=500批次；指标完成率：100.00%；成效分析：通过单位正常运转，改善了市域内各类产品的质量，。</w:t>
      </w:r>
    </w:p>
    <w:p w14:paraId="48EA1B7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数量指标3：办理发放营业执照数量,预期指标值为：≥5000套；监控节点完成值：=5500套；评价实际完成值：=29935套；指标完成率：0.00%；成效分析：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，有效激发了市场主体的活力，偏差原因：年初预期指标值设置偏低；下一步措施：今后合理制定绩效目标。</w:t>
      </w:r>
    </w:p>
    <w:p w14:paraId="4DCF79C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数量指标4：广告监测数量,预期指标值为：≥3000条；监控节点完成值：=2000条；评价实际完成值：=5000条；指标完成率：100.00%；成效分析：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，营造了健康、有序、和谐的广告市场环境。</w:t>
      </w:r>
    </w:p>
    <w:p w14:paraId="1391945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数量指标5：食品安全监督抽检数量,预期指标值为：≥500批次；监控节点完成值：=505批次；评价实际完成值：=1000次；指标完成率：0.00%；成效分析：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，保障了全市群众的食品安全，偏差原因：年初预期指标值设置偏低；下一步措施：今后合理制定绩效目标。</w:t>
      </w:r>
    </w:p>
    <w:p w14:paraId="4D34CE15">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（四）指标四：社会效益</w:t>
      </w:r>
    </w:p>
    <w:p w14:paraId="3FEA4FBA">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14:paraId="37D0D6A9">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（五）指标五：可持续发展能力</w:t>
      </w:r>
    </w:p>
    <w:p w14:paraId="61431D82">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14:paraId="349E388B">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（六）指标六：服务对象满意度</w:t>
      </w:r>
    </w:p>
    <w:p w14:paraId="304BB889">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14:paraId="19373777">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ascii="黑体" w:hAnsi="黑体" w:eastAsia="黑体"/>
          <w:b w:val="0"/>
          <w:bCs w:val="0"/>
          <w:color w:val="auto"/>
          <w:spacing w:val="-4"/>
          <w:sz w:val="32"/>
          <w:szCs w:val="32"/>
          <w:highlight w:val="none"/>
        </w:rPr>
      </w:pPr>
      <w:r>
        <w:rPr>
          <w:rStyle w:val="9"/>
          <w:rFonts w:hint="eastAsia" w:ascii="黑体" w:hAnsi="黑体" w:eastAsia="黑体"/>
          <w:b w:val="0"/>
          <w:bCs w:val="0"/>
          <w:color w:val="auto"/>
          <w:spacing w:val="-4"/>
          <w:sz w:val="32"/>
          <w:szCs w:val="32"/>
          <w:highlight w:val="none"/>
          <w:lang w:val="en-US" w:eastAsia="zh-CN"/>
        </w:rPr>
        <w:t>四、</w:t>
      </w:r>
      <w:r>
        <w:rPr>
          <w:rStyle w:val="9"/>
          <w:rFonts w:hint="eastAsia" w:ascii="黑体" w:hAnsi="黑体" w:eastAsia="黑体"/>
          <w:b w:val="0"/>
          <w:bCs w:val="0"/>
          <w:color w:val="auto"/>
          <w:spacing w:val="-4"/>
          <w:sz w:val="32"/>
          <w:szCs w:val="32"/>
          <w:highlight w:val="none"/>
          <w:lang w:eastAsia="zh-CN"/>
        </w:rPr>
        <w:t>评价结论</w:t>
      </w:r>
    </w:p>
    <w:p w14:paraId="2226C959">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14:paraId="7E576D23">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2023年度部门整体支出绩效自评综合得分65分，评价结果为“中”。</w:t>
      </w:r>
    </w:p>
    <w:p w14:paraId="53C8B18A">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五、</w:t>
      </w:r>
      <w:r>
        <w:rPr>
          <w:rStyle w:val="9"/>
          <w:rFonts w:hint="eastAsia" w:ascii="黑体" w:hAnsi="黑体" w:eastAsia="黑体" w:cs="黑体"/>
          <w:b w:val="0"/>
          <w:bCs w:val="0"/>
          <w:color w:val="auto"/>
          <w:spacing w:val="-4"/>
          <w:sz w:val="32"/>
          <w:szCs w:val="32"/>
          <w:highlight w:val="none"/>
        </w:rPr>
        <w:t>存在的主要问题</w:t>
      </w:r>
      <w:r>
        <w:rPr>
          <w:rStyle w:val="9"/>
          <w:rFonts w:hint="eastAsia" w:ascii="黑体" w:hAnsi="黑体" w:eastAsia="黑体" w:cs="黑体"/>
          <w:b w:val="0"/>
          <w:bCs w:val="0"/>
          <w:color w:val="auto"/>
          <w:spacing w:val="-4"/>
          <w:sz w:val="32"/>
          <w:szCs w:val="32"/>
          <w:highlight w:val="none"/>
          <w:lang w:eastAsia="zh-CN"/>
        </w:rPr>
        <w:t>及原因分析</w:t>
      </w:r>
    </w:p>
    <w:p w14:paraId="3FCCED60">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仿宋" w:hAnsi="仿宋" w:eastAsia="仿宋" w:cs="仿宋"/>
          <w:b w:val="0"/>
          <w:color w:val="auto"/>
          <w:spacing w:val="-4"/>
          <w:kern w:val="2"/>
          <w:sz w:val="32"/>
          <w:szCs w:val="32"/>
          <w:highlight w:val="none"/>
          <w:lang w:val="en-US" w:eastAsia="zh-CN" w:bidi="ar-SA"/>
        </w:rPr>
      </w:pPr>
      <w:r>
        <w:rPr>
          <w:rStyle w:val="9"/>
          <w:rFonts w:hint="eastAsia" w:ascii="仿宋" w:hAnsi="仿宋" w:eastAsia="仿宋" w:cs="仿宋"/>
          <w:b w:val="0"/>
          <w:color w:val="auto"/>
          <w:spacing w:val="-4"/>
          <w:kern w:val="2"/>
          <w:sz w:val="32"/>
          <w:szCs w:val="32"/>
          <w:highlight w:val="none"/>
          <w:lang w:val="en-US" w:eastAsia="zh-CN" w:bidi="ar-SA"/>
        </w:rPr>
        <w:t>在日常绩效监控工作中存在着一定程度的“重分配、轻管理、重支出、轻绩效”的情况，造成年初预期指标值设置偏低，造成该问题的主要原因是自身绩效理念较薄弱，单位绩效目标编制仍有缺失，今后将会进一步加强对部门整体绩效管理的重视程度，合理制定绩效目标。</w:t>
      </w:r>
    </w:p>
    <w:p w14:paraId="4EE9EB6B">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六、</w:t>
      </w:r>
      <w:r>
        <w:rPr>
          <w:rStyle w:val="9"/>
          <w:rFonts w:hint="eastAsia" w:ascii="黑体" w:hAnsi="黑体" w:eastAsia="黑体" w:cs="黑体"/>
          <w:b w:val="0"/>
          <w:bCs w:val="0"/>
          <w:color w:val="auto"/>
          <w:spacing w:val="-4"/>
          <w:sz w:val="32"/>
          <w:szCs w:val="32"/>
          <w:highlight w:val="none"/>
        </w:rPr>
        <w:t>改进措施和建议</w:t>
      </w:r>
    </w:p>
    <w:p w14:paraId="746CDB74">
      <w:pPr>
        <w:keepNext w:val="0"/>
        <w:keepLines w:val="0"/>
        <w:pageBreakBefore w:val="0"/>
        <w:numPr>
          <w:ilvl w:val="0"/>
          <w:numId w:val="0"/>
        </w:numPr>
        <w:kinsoku/>
        <w:wordWrap/>
        <w:overflowPunct/>
        <w:topLinePunct w:val="0"/>
        <w:autoSpaceDE/>
        <w:autoSpaceDN/>
        <w:bidi w:val="0"/>
        <w:adjustRightInd/>
        <w:spacing w:line="360" w:lineRule="auto"/>
        <w:ind w:firstLine="640" w:firstLineChars="200"/>
        <w:jc w:val="left"/>
        <w:textAlignment w:val="auto"/>
        <w:rPr>
          <w:rStyle w:val="9"/>
          <w:rFonts w:hint="eastAsia" w:ascii="仿宋" w:hAnsi="仿宋" w:eastAsia="仿宋" w:cs="仿宋"/>
          <w:b w:val="0"/>
          <w:bCs w:val="0"/>
          <w:color w:val="auto"/>
          <w:spacing w:val="-4"/>
          <w:sz w:val="32"/>
          <w:szCs w:val="32"/>
          <w:highlight w:val="none"/>
          <w:lang w:val="en-US" w:eastAsia="zh-CN"/>
        </w:rPr>
      </w:pPr>
      <w:r>
        <w:rPr>
          <w:rFonts w:hint="eastAsia" w:ascii="仿宋" w:hAnsi="仿宋" w:eastAsia="仿宋" w:cs="仿宋"/>
          <w:b w:val="0"/>
          <w:bCs/>
          <w:color w:val="auto"/>
          <w:sz w:val="32"/>
          <w:szCs w:val="32"/>
          <w:highlight w:val="none"/>
        </w:rPr>
        <w:t>预算绩效规范管理有盲点。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14:paraId="0C95C3CD">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七、</w:t>
      </w:r>
      <w:r>
        <w:rPr>
          <w:rStyle w:val="9"/>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1D5F37-875D-4371-8991-F80812B2C8E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BCB3EE4A-C50A-4B1E-A41C-AFC4A9669E62}"/>
  </w:font>
  <w:font w:name="仿宋_GB2312">
    <w:panose1 w:val="02010609030101010101"/>
    <w:charset w:val="86"/>
    <w:family w:val="modern"/>
    <w:pitch w:val="default"/>
    <w:sig w:usb0="00000001" w:usb1="080E0000" w:usb2="00000000" w:usb3="00000000" w:csb0="00040000" w:csb1="00000000"/>
    <w:embedRegular r:id="rId3" w:fontKey="{C73E7CC9-4E1D-44E3-BB8B-5846B27A8E4D}"/>
  </w:font>
  <w:font w:name="楷体">
    <w:panose1 w:val="02010609060101010101"/>
    <w:charset w:val="86"/>
    <w:family w:val="modern"/>
    <w:pitch w:val="default"/>
    <w:sig w:usb0="800002BF" w:usb1="38CF7CFA" w:usb2="00000016" w:usb3="00000000" w:csb0="00040001" w:csb1="00000000"/>
    <w:embedRegular r:id="rId4" w:fontKey="{32FA0BE1-8E63-43E2-ADF3-8CCC884D3D13}"/>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AF3B8">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CA297">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18833">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DB3AB">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2AB797"/>
    <w:multiLevelType w:val="singleLevel"/>
    <w:tmpl w:val="9A2AB79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iZTZmMjdmNjZhNTUxMzVkYjMwMGNhNjVlMDE4YTE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2355837"/>
    <w:rsid w:val="023B0973"/>
    <w:rsid w:val="02610413"/>
    <w:rsid w:val="02F163A2"/>
    <w:rsid w:val="02FE786C"/>
    <w:rsid w:val="03341650"/>
    <w:rsid w:val="036F2FCB"/>
    <w:rsid w:val="03B2599D"/>
    <w:rsid w:val="043C5F8E"/>
    <w:rsid w:val="049941F3"/>
    <w:rsid w:val="04A60F90"/>
    <w:rsid w:val="04D2103C"/>
    <w:rsid w:val="04D550AF"/>
    <w:rsid w:val="06B83B39"/>
    <w:rsid w:val="06DE29E2"/>
    <w:rsid w:val="071579E5"/>
    <w:rsid w:val="07702E6D"/>
    <w:rsid w:val="07A86AAB"/>
    <w:rsid w:val="07C65825"/>
    <w:rsid w:val="09067414"/>
    <w:rsid w:val="09170A81"/>
    <w:rsid w:val="0A49229A"/>
    <w:rsid w:val="0AC27E84"/>
    <w:rsid w:val="0B0F5B25"/>
    <w:rsid w:val="0BD256C9"/>
    <w:rsid w:val="0D3F0613"/>
    <w:rsid w:val="0D617282"/>
    <w:rsid w:val="0F661726"/>
    <w:rsid w:val="0F772EC6"/>
    <w:rsid w:val="0F877334"/>
    <w:rsid w:val="10182B28"/>
    <w:rsid w:val="109160DD"/>
    <w:rsid w:val="10947BCD"/>
    <w:rsid w:val="114B3E5E"/>
    <w:rsid w:val="115E3FEE"/>
    <w:rsid w:val="116B384E"/>
    <w:rsid w:val="11DD16C8"/>
    <w:rsid w:val="127A77C1"/>
    <w:rsid w:val="130A20A3"/>
    <w:rsid w:val="13352CE1"/>
    <w:rsid w:val="13E07D60"/>
    <w:rsid w:val="150177FB"/>
    <w:rsid w:val="15875F52"/>
    <w:rsid w:val="15B73666"/>
    <w:rsid w:val="15C42D02"/>
    <w:rsid w:val="168A2EA6"/>
    <w:rsid w:val="17D5194F"/>
    <w:rsid w:val="180A4FDB"/>
    <w:rsid w:val="1840056E"/>
    <w:rsid w:val="192177D8"/>
    <w:rsid w:val="196A001E"/>
    <w:rsid w:val="198331C0"/>
    <w:rsid w:val="19AD1CFF"/>
    <w:rsid w:val="19C92FDD"/>
    <w:rsid w:val="19DB061A"/>
    <w:rsid w:val="19E576EB"/>
    <w:rsid w:val="19FF664E"/>
    <w:rsid w:val="1A091F78"/>
    <w:rsid w:val="1A6D6D72"/>
    <w:rsid w:val="1AEB4D61"/>
    <w:rsid w:val="1C230AC0"/>
    <w:rsid w:val="1C615CEF"/>
    <w:rsid w:val="1CDA72AF"/>
    <w:rsid w:val="1D632B53"/>
    <w:rsid w:val="1D7602A9"/>
    <w:rsid w:val="1DC83D3D"/>
    <w:rsid w:val="1E613949"/>
    <w:rsid w:val="1EAE0073"/>
    <w:rsid w:val="1F195A2C"/>
    <w:rsid w:val="205102FB"/>
    <w:rsid w:val="20762FC4"/>
    <w:rsid w:val="212C60E2"/>
    <w:rsid w:val="21DB6E7F"/>
    <w:rsid w:val="21DE15EF"/>
    <w:rsid w:val="22831C1F"/>
    <w:rsid w:val="23021A8B"/>
    <w:rsid w:val="2320540D"/>
    <w:rsid w:val="23254B60"/>
    <w:rsid w:val="236E0539"/>
    <w:rsid w:val="23E6478B"/>
    <w:rsid w:val="2422471A"/>
    <w:rsid w:val="247719AD"/>
    <w:rsid w:val="24A85EE5"/>
    <w:rsid w:val="24DB72C2"/>
    <w:rsid w:val="263962DE"/>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D01740"/>
    <w:rsid w:val="2CE43832"/>
    <w:rsid w:val="2DAA6B58"/>
    <w:rsid w:val="2DB034FA"/>
    <w:rsid w:val="2E4A4A48"/>
    <w:rsid w:val="2F8715FA"/>
    <w:rsid w:val="2FB43990"/>
    <w:rsid w:val="2FC040E2"/>
    <w:rsid w:val="30143D58"/>
    <w:rsid w:val="30240D0F"/>
    <w:rsid w:val="308158E7"/>
    <w:rsid w:val="309817B5"/>
    <w:rsid w:val="30A86679"/>
    <w:rsid w:val="30F322B0"/>
    <w:rsid w:val="31505F30"/>
    <w:rsid w:val="3177520D"/>
    <w:rsid w:val="31C7249B"/>
    <w:rsid w:val="31FB7654"/>
    <w:rsid w:val="32565D7D"/>
    <w:rsid w:val="336E47B8"/>
    <w:rsid w:val="337D2302"/>
    <w:rsid w:val="33935522"/>
    <w:rsid w:val="33DE0EF4"/>
    <w:rsid w:val="3416678C"/>
    <w:rsid w:val="34486A39"/>
    <w:rsid w:val="34C13400"/>
    <w:rsid w:val="34F32864"/>
    <w:rsid w:val="35386E11"/>
    <w:rsid w:val="35612ABD"/>
    <w:rsid w:val="375B2943"/>
    <w:rsid w:val="38086A4E"/>
    <w:rsid w:val="38C32119"/>
    <w:rsid w:val="38EE054F"/>
    <w:rsid w:val="39440A0C"/>
    <w:rsid w:val="398443D3"/>
    <w:rsid w:val="398C3287"/>
    <w:rsid w:val="39A60AF6"/>
    <w:rsid w:val="3AA12D62"/>
    <w:rsid w:val="3B2319C9"/>
    <w:rsid w:val="3B5D5890"/>
    <w:rsid w:val="3BA6683D"/>
    <w:rsid w:val="3BC431AC"/>
    <w:rsid w:val="3C012639"/>
    <w:rsid w:val="3DA52B6A"/>
    <w:rsid w:val="3E833FCF"/>
    <w:rsid w:val="3EE3321B"/>
    <w:rsid w:val="3EE93EED"/>
    <w:rsid w:val="3F177A97"/>
    <w:rsid w:val="3FF57BF1"/>
    <w:rsid w:val="41590DEA"/>
    <w:rsid w:val="416C231C"/>
    <w:rsid w:val="41C31810"/>
    <w:rsid w:val="41D659E7"/>
    <w:rsid w:val="428A15BF"/>
    <w:rsid w:val="42BB7663"/>
    <w:rsid w:val="432A3936"/>
    <w:rsid w:val="434765EB"/>
    <w:rsid w:val="43A3164E"/>
    <w:rsid w:val="43C43532"/>
    <w:rsid w:val="43F77637"/>
    <w:rsid w:val="44332E1A"/>
    <w:rsid w:val="44692B43"/>
    <w:rsid w:val="44BF2CE3"/>
    <w:rsid w:val="44BF6C07"/>
    <w:rsid w:val="45AD41C5"/>
    <w:rsid w:val="462C7B1B"/>
    <w:rsid w:val="46BF2EEE"/>
    <w:rsid w:val="47013FF5"/>
    <w:rsid w:val="484A2C8B"/>
    <w:rsid w:val="48500FEB"/>
    <w:rsid w:val="49284D7B"/>
    <w:rsid w:val="49487285"/>
    <w:rsid w:val="49543DC1"/>
    <w:rsid w:val="4991610B"/>
    <w:rsid w:val="4A0F39E7"/>
    <w:rsid w:val="4B364032"/>
    <w:rsid w:val="4B3B68BB"/>
    <w:rsid w:val="4B443785"/>
    <w:rsid w:val="4B537C75"/>
    <w:rsid w:val="4BE53646"/>
    <w:rsid w:val="4C431ECB"/>
    <w:rsid w:val="4CC33C9F"/>
    <w:rsid w:val="4E760D0B"/>
    <w:rsid w:val="4E8F65E3"/>
    <w:rsid w:val="4EC80245"/>
    <w:rsid w:val="4ED65AC3"/>
    <w:rsid w:val="4F596A69"/>
    <w:rsid w:val="50063DD3"/>
    <w:rsid w:val="504133D8"/>
    <w:rsid w:val="505863A4"/>
    <w:rsid w:val="50591CBD"/>
    <w:rsid w:val="50A240F7"/>
    <w:rsid w:val="51971C1E"/>
    <w:rsid w:val="51FF2E33"/>
    <w:rsid w:val="525877BC"/>
    <w:rsid w:val="5272504D"/>
    <w:rsid w:val="52CA50F4"/>
    <w:rsid w:val="543D24BF"/>
    <w:rsid w:val="548754B8"/>
    <w:rsid w:val="54CA318A"/>
    <w:rsid w:val="55517AB0"/>
    <w:rsid w:val="57192BB8"/>
    <w:rsid w:val="5734671F"/>
    <w:rsid w:val="57423EBA"/>
    <w:rsid w:val="57813298"/>
    <w:rsid w:val="57AE7CE9"/>
    <w:rsid w:val="57BB500C"/>
    <w:rsid w:val="58753EBA"/>
    <w:rsid w:val="58E426FC"/>
    <w:rsid w:val="58FC3B2E"/>
    <w:rsid w:val="59063548"/>
    <w:rsid w:val="5A6776CD"/>
    <w:rsid w:val="5AA91A7C"/>
    <w:rsid w:val="5ADD1E8F"/>
    <w:rsid w:val="5AE6303A"/>
    <w:rsid w:val="5B155A7C"/>
    <w:rsid w:val="5B442B97"/>
    <w:rsid w:val="5B745BFD"/>
    <w:rsid w:val="5B977B3E"/>
    <w:rsid w:val="5C5B0B6B"/>
    <w:rsid w:val="5CB643E4"/>
    <w:rsid w:val="5D8D11F8"/>
    <w:rsid w:val="5E2D5305"/>
    <w:rsid w:val="5F1D65AC"/>
    <w:rsid w:val="5F230066"/>
    <w:rsid w:val="5F41229A"/>
    <w:rsid w:val="5F814D8D"/>
    <w:rsid w:val="5FA47678"/>
    <w:rsid w:val="5FE455B0"/>
    <w:rsid w:val="60504E56"/>
    <w:rsid w:val="60535261"/>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DF3109"/>
    <w:rsid w:val="693F2885"/>
    <w:rsid w:val="698374DF"/>
    <w:rsid w:val="699F5DE9"/>
    <w:rsid w:val="6A9776F8"/>
    <w:rsid w:val="6AAF0A00"/>
    <w:rsid w:val="6AEF34F2"/>
    <w:rsid w:val="6B234F4A"/>
    <w:rsid w:val="6C5F0204"/>
    <w:rsid w:val="6C69186D"/>
    <w:rsid w:val="6C7D443F"/>
    <w:rsid w:val="6C8851EE"/>
    <w:rsid w:val="6CCF1622"/>
    <w:rsid w:val="6CE7035E"/>
    <w:rsid w:val="6DB1246A"/>
    <w:rsid w:val="6EAE5472"/>
    <w:rsid w:val="702F5608"/>
    <w:rsid w:val="708F2CC4"/>
    <w:rsid w:val="709444F0"/>
    <w:rsid w:val="71182116"/>
    <w:rsid w:val="71205936"/>
    <w:rsid w:val="71477CCB"/>
    <w:rsid w:val="7178018F"/>
    <w:rsid w:val="71BA40BB"/>
    <w:rsid w:val="71CD052F"/>
    <w:rsid w:val="73740A39"/>
    <w:rsid w:val="73D43285"/>
    <w:rsid w:val="742B746E"/>
    <w:rsid w:val="7430187B"/>
    <w:rsid w:val="74736F42"/>
    <w:rsid w:val="74CA7F29"/>
    <w:rsid w:val="752B1D3E"/>
    <w:rsid w:val="756F7316"/>
    <w:rsid w:val="75913D16"/>
    <w:rsid w:val="763C0048"/>
    <w:rsid w:val="77135965"/>
    <w:rsid w:val="77262B54"/>
    <w:rsid w:val="772D4414"/>
    <w:rsid w:val="773A5C43"/>
    <w:rsid w:val="775742B0"/>
    <w:rsid w:val="775947BB"/>
    <w:rsid w:val="77AD276B"/>
    <w:rsid w:val="77B87094"/>
    <w:rsid w:val="77C96E08"/>
    <w:rsid w:val="78E27C50"/>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autoRedefine/>
    <w:qFormat/>
    <w:uiPriority w:val="0"/>
    <w:pPr>
      <w:keepNext/>
      <w:keepLines/>
      <w:spacing w:line="560" w:lineRule="exact"/>
      <w:outlineLvl w:val="2"/>
    </w:pPr>
    <w:rPr>
      <w:b/>
      <w:bCs/>
      <w:sz w:val="32"/>
      <w:szCs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2"/>
    <w:basedOn w:val="1"/>
    <w:autoRedefine/>
    <w:qFormat/>
    <w:uiPriority w:val="99"/>
    <w:pPr>
      <w:spacing w:line="590" w:lineRule="exact"/>
      <w:ind w:firstLine="880" w:firstLineChars="200"/>
    </w:pPr>
    <w:rPr>
      <w:sz w:val="24"/>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autoRedefine/>
    <w:qFormat/>
    <w:uiPriority w:val="0"/>
    <w:rPr>
      <w:b/>
      <w:bCs/>
    </w:rPr>
  </w:style>
  <w:style w:type="character" w:customStyle="1" w:styleId="10">
    <w:name w:val="页眉 Char"/>
    <w:basedOn w:val="8"/>
    <w:link w:val="5"/>
    <w:autoRedefine/>
    <w:qFormat/>
    <w:uiPriority w:val="99"/>
    <w:rPr>
      <w:sz w:val="18"/>
      <w:szCs w:val="18"/>
    </w:rPr>
  </w:style>
  <w:style w:type="character" w:customStyle="1" w:styleId="11">
    <w:name w:val="页脚 Char"/>
    <w:basedOn w:val="8"/>
    <w:link w:val="4"/>
    <w:autoRedefine/>
    <w:qFormat/>
    <w:uiPriority w:val="99"/>
    <w:rPr>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3783</Words>
  <Characters>4095</Characters>
  <Lines>9</Lines>
  <Paragraphs>2</Paragraphs>
  <TotalTime>4</TotalTime>
  <ScaleCrop>false</ScaleCrop>
  <LinksUpToDate>false</LinksUpToDate>
  <CharactersWithSpaces>4098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2024-08-22T09:40:46Z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C834FDFCCFC84A24B480F96C7DFE0516_13</vt:lpwstr>
  </property>
</Properties>
</file>