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9BB1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5F023B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747EE4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库尔勒市市场监督管理局</w:t>
      </w:r>
    </w:p>
    <w:p w14:paraId="104B71D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80363C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23043C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642448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ABF9DC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71DA2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ABFB4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832C94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F6D76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84E72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8639E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CC99F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9A13B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6179C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CB2F2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C43A0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DDB525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D8099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7A6C83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8ABF6A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8341DF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BE03E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2698E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115D37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E1A37E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63191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9AB07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73ABB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FD9F3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BA25B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A0D0B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F4EDD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A4927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FD959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42AC05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4313C7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C9F41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60E380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9FC1610">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仿宋_GB2312" w:eastAsia="仿宋_GB2312"/>
          <w:color w:val="auto"/>
          <w:sz w:val="32"/>
          <w:szCs w:val="32"/>
          <w:highlight w:val="none"/>
        </w:rPr>
      </w:pPr>
      <w:r>
        <w:rPr>
          <w:rFonts w:hint="default" w:ascii="Times New Roman" w:hAnsi="Times New Roman" w:eastAsia="方正仿宋_GBK" w:cs="Times New Roman"/>
          <w:color w:val="auto"/>
          <w:sz w:val="31"/>
          <w:szCs w:val="31"/>
          <w:lang w:eastAsia="zh-CN"/>
        </w:rPr>
        <w:t>负责市场综合监督、知识产权和价格监督管理。贯彻执行国家、自治区和自治州市场监督、知识产权和价格监督管理有关法律和规章，起草本市有关市场监管、知识产权和价格监督管理的规范性文件、具体措施、标准，并组织实施质量强市战略、食品安全战略、标准化战略和知识产权战略。规范和维护市场秩序，营造诚实守信、公平竞争的市场环境。统一管理市场主体登记注册工作，组织市场监管和知识产权综合执法工作，反垄断统一执法，监督管理市场秩序，负责宏观质量管理，负责产品质量安全监督管理，特种设备安全监督管理，食品安全监督管理综合协调，食品安全监督管理，负责</w:t>
      </w:r>
      <w:r>
        <w:rPr>
          <w:rFonts w:hint="default" w:ascii="Times New Roman" w:hAnsi="Times New Roman" w:eastAsia="方正仿宋_GBK" w:cs="Times New Roman"/>
          <w:color w:val="auto"/>
          <w:sz w:val="31"/>
          <w:szCs w:val="31"/>
        </w:rPr>
        <w:t>药品（含中药、民族药）、医疗器械、保健食品、化妆品监督管理的法律、法规和规章；</w:t>
      </w:r>
      <w:r>
        <w:rPr>
          <w:rFonts w:hint="default" w:ascii="Times New Roman" w:hAnsi="Times New Roman" w:eastAsia="方正仿宋_GBK" w:cs="Times New Roman"/>
          <w:color w:val="auto"/>
          <w:sz w:val="31"/>
          <w:szCs w:val="31"/>
          <w:lang w:eastAsia="zh-CN"/>
        </w:rPr>
        <w:t>负责统一管理计量工作，统一管理标准化工作，统一管理检验检测工作，负责知识产权保护、管理和服务工作，承担市食品安全委员会的具体工作</w:t>
      </w:r>
      <w:r>
        <w:rPr>
          <w:rFonts w:hint="eastAsia" w:ascii="仿宋_GB2312" w:hAnsi="宋体" w:eastAsia="仿宋_GB2312" w:cs="宋体"/>
          <w:color w:val="auto"/>
          <w:kern w:val="0"/>
          <w:sz w:val="32"/>
          <w:szCs w:val="32"/>
          <w:highlight w:val="none"/>
        </w:rPr>
        <w:t>。</w:t>
      </w:r>
    </w:p>
    <w:p w14:paraId="6388D9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5D0EE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库尔勒市市场监督管理局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331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169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162</w:t>
      </w:r>
      <w:r>
        <w:rPr>
          <w:rFonts w:hint="eastAsia" w:ascii="仿宋_GB2312" w:eastAsia="仿宋_GB2312"/>
          <w:color w:val="auto"/>
          <w:sz w:val="32"/>
          <w:szCs w:val="32"/>
          <w:highlight w:val="none"/>
        </w:rPr>
        <w:t>人。</w:t>
      </w:r>
    </w:p>
    <w:p w14:paraId="7F7745D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本</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17</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color w:val="auto"/>
          <w:kern w:val="0"/>
          <w:sz w:val="32"/>
          <w:szCs w:val="32"/>
          <w:highlight w:val="none"/>
          <w:lang w:val="en-US" w:eastAsia="zh-CN"/>
        </w:rPr>
        <w:t>和6个市场监管所</w:t>
      </w:r>
      <w:r>
        <w:rPr>
          <w:rFonts w:hint="eastAsia" w:ascii="仿宋_GB2312" w:hAnsi="黑体" w:eastAsia="仿宋_GB2312" w:cs="宋体"/>
          <w:bCs/>
          <w:color w:val="auto"/>
          <w:kern w:val="0"/>
          <w:sz w:val="32"/>
          <w:szCs w:val="32"/>
          <w:highlight w:val="none"/>
        </w:rPr>
        <w:t>，分别是：</w:t>
      </w:r>
      <w:r>
        <w:rPr>
          <w:rFonts w:hint="eastAsia" w:ascii="仿宋_GB2312" w:hAnsi="黑体" w:eastAsia="仿宋_GB2312" w:cs="宋体"/>
          <w:bCs/>
          <w:color w:val="auto"/>
          <w:kern w:val="0"/>
          <w:sz w:val="32"/>
          <w:szCs w:val="32"/>
          <w:highlight w:val="none"/>
          <w:lang w:val="en-US" w:eastAsia="zh-CN"/>
        </w:rPr>
        <w:t>行政</w:t>
      </w:r>
      <w:r>
        <w:rPr>
          <w:rFonts w:hint="default" w:ascii="Times New Roman" w:hAnsi="Times New Roman" w:eastAsia="方正仿宋_GBK" w:cs="Times New Roman"/>
          <w:color w:val="auto"/>
          <w:sz w:val="31"/>
          <w:szCs w:val="31"/>
          <w:lang w:eastAsia="zh-CN"/>
        </w:rPr>
        <w:t>办公室</w:t>
      </w:r>
      <w:r>
        <w:rPr>
          <w:rFonts w:hint="eastAsia" w:eastAsia="方正仿宋_GBK" w:cs="Times New Roman"/>
          <w:color w:val="auto"/>
          <w:sz w:val="31"/>
          <w:szCs w:val="31"/>
          <w:lang w:eastAsia="zh-CN"/>
        </w:rPr>
        <w:t>（</w:t>
      </w:r>
      <w:r>
        <w:rPr>
          <w:rFonts w:hint="eastAsia" w:eastAsia="方正仿宋_GBK" w:cs="Times New Roman"/>
          <w:color w:val="auto"/>
          <w:sz w:val="31"/>
          <w:szCs w:val="31"/>
          <w:lang w:val="en-US" w:eastAsia="zh-CN"/>
        </w:rPr>
        <w:t>财务室</w:t>
      </w:r>
      <w:r>
        <w:rPr>
          <w:rFonts w:hint="eastAsia" w:eastAsia="方正仿宋_GBK" w:cs="Times New Roman"/>
          <w:color w:val="auto"/>
          <w:sz w:val="31"/>
          <w:szCs w:val="31"/>
          <w:lang w:eastAsia="zh-CN"/>
        </w:rPr>
        <w:t>）</w:t>
      </w:r>
      <w:r>
        <w:rPr>
          <w:rFonts w:hint="default" w:ascii="Times New Roman" w:hAnsi="Times New Roman" w:eastAsia="方正仿宋_GBK" w:cs="Times New Roman"/>
          <w:color w:val="auto"/>
          <w:sz w:val="31"/>
          <w:szCs w:val="31"/>
          <w:lang w:eastAsia="zh-CN"/>
        </w:rPr>
        <w:t>、党建办公室（组织人事室）、政策法规室、行政许可室、市场信用监督管理室、消费者权益保护室、反垄断和反不正当竞争室、知识产权保护室、广告和网络交易监督管理室、标准化与质量监督管理室</w:t>
      </w:r>
      <w:r>
        <w:rPr>
          <w:rFonts w:hint="eastAsia" w:ascii="Times New Roman" w:hAnsi="Times New Roman" w:eastAsia="方正仿宋_GBK" w:cs="Times New Roman"/>
          <w:color w:val="auto"/>
          <w:sz w:val="31"/>
          <w:szCs w:val="31"/>
          <w:lang w:eastAsia="zh-CN"/>
        </w:rPr>
        <w:t>、</w:t>
      </w:r>
      <w:r>
        <w:rPr>
          <w:rFonts w:hint="default" w:ascii="Times New Roman" w:hAnsi="Times New Roman" w:eastAsia="方正仿宋_GBK" w:cs="Times New Roman"/>
          <w:color w:val="auto"/>
          <w:sz w:val="31"/>
          <w:szCs w:val="31"/>
          <w:lang w:eastAsia="zh-CN"/>
        </w:rPr>
        <w:t>计量与认证认可监督管理室、特种设备安全监察室、食品生产流通监督管理室、</w:t>
      </w:r>
      <w:r>
        <w:rPr>
          <w:rFonts w:hint="eastAsia" w:eastAsia="方正仿宋_GBK" w:cs="Times New Roman"/>
          <w:color w:val="auto"/>
          <w:sz w:val="31"/>
          <w:szCs w:val="31"/>
          <w:lang w:val="en-US" w:eastAsia="zh-CN"/>
        </w:rPr>
        <w:t>食品协调室、</w:t>
      </w:r>
      <w:r>
        <w:rPr>
          <w:rFonts w:hint="default" w:ascii="Times New Roman" w:hAnsi="Times New Roman" w:eastAsia="方正仿宋_GBK" w:cs="Times New Roman"/>
          <w:color w:val="auto"/>
          <w:sz w:val="31"/>
          <w:szCs w:val="31"/>
          <w:lang w:eastAsia="zh-CN"/>
        </w:rPr>
        <w:t>食品消费监督管理室、药品化妆品医疗器械监督管理室、价格监督管理室</w:t>
      </w:r>
      <w:r>
        <w:rPr>
          <w:rFonts w:hint="eastAsia" w:eastAsia="方正仿宋_GBK" w:cs="Times New Roman"/>
          <w:color w:val="auto"/>
          <w:sz w:val="31"/>
          <w:szCs w:val="31"/>
          <w:lang w:eastAsia="zh-CN"/>
        </w:rPr>
        <w:t>、</w:t>
      </w:r>
      <w:r>
        <w:rPr>
          <w:rFonts w:hint="eastAsia" w:eastAsia="方正仿宋_GBK" w:cs="Times New Roman"/>
          <w:color w:val="auto"/>
          <w:sz w:val="31"/>
          <w:szCs w:val="31"/>
          <w:lang w:val="en-US" w:eastAsia="zh-CN"/>
        </w:rPr>
        <w:t>萨依巴格</w:t>
      </w:r>
      <w:r>
        <w:rPr>
          <w:rFonts w:hint="eastAsia" w:eastAsia="方正仿宋_GBK" w:cs="Times New Roman"/>
          <w:color w:val="auto"/>
          <w:sz w:val="31"/>
          <w:szCs w:val="31"/>
          <w:lang w:eastAsia="zh-CN"/>
        </w:rPr>
        <w:t>市场监督管理所、</w:t>
      </w:r>
      <w:r>
        <w:rPr>
          <w:rFonts w:hint="eastAsia" w:eastAsia="方正仿宋_GBK" w:cs="Times New Roman"/>
          <w:color w:val="auto"/>
          <w:sz w:val="31"/>
          <w:szCs w:val="31"/>
          <w:lang w:val="en-US" w:eastAsia="zh-CN"/>
        </w:rPr>
        <w:t>孔雀</w:t>
      </w:r>
      <w:r>
        <w:rPr>
          <w:rFonts w:hint="eastAsia" w:eastAsia="方正仿宋_GBK" w:cs="Times New Roman"/>
          <w:color w:val="auto"/>
          <w:sz w:val="31"/>
          <w:szCs w:val="31"/>
          <w:lang w:eastAsia="zh-CN"/>
        </w:rPr>
        <w:t>市场监督管理所、</w:t>
      </w:r>
      <w:r>
        <w:rPr>
          <w:rFonts w:hint="eastAsia" w:eastAsia="方正仿宋_GBK" w:cs="Times New Roman"/>
          <w:color w:val="auto"/>
          <w:sz w:val="31"/>
          <w:szCs w:val="31"/>
          <w:lang w:val="en-US" w:eastAsia="zh-CN"/>
        </w:rPr>
        <w:t>新城</w:t>
      </w:r>
      <w:r>
        <w:rPr>
          <w:rFonts w:hint="eastAsia" w:eastAsia="方正仿宋_GBK" w:cs="Times New Roman"/>
          <w:color w:val="auto"/>
          <w:sz w:val="31"/>
          <w:szCs w:val="31"/>
          <w:lang w:eastAsia="zh-CN"/>
        </w:rPr>
        <w:t>市场监督管理所、</w:t>
      </w:r>
      <w:r>
        <w:rPr>
          <w:rFonts w:hint="eastAsia" w:eastAsia="方正仿宋_GBK" w:cs="Times New Roman"/>
          <w:color w:val="auto"/>
          <w:sz w:val="31"/>
          <w:szCs w:val="31"/>
          <w:lang w:val="en-US" w:eastAsia="zh-CN"/>
        </w:rPr>
        <w:t>团结</w:t>
      </w:r>
      <w:r>
        <w:rPr>
          <w:rFonts w:hint="eastAsia" w:eastAsia="方正仿宋_GBK" w:cs="Times New Roman"/>
          <w:color w:val="auto"/>
          <w:sz w:val="31"/>
          <w:szCs w:val="31"/>
          <w:lang w:eastAsia="zh-CN"/>
        </w:rPr>
        <w:t>市场监督管理所、</w:t>
      </w:r>
      <w:r>
        <w:rPr>
          <w:rFonts w:hint="eastAsia" w:eastAsia="方正仿宋_GBK" w:cs="Times New Roman"/>
          <w:color w:val="auto"/>
          <w:sz w:val="31"/>
          <w:szCs w:val="31"/>
          <w:lang w:val="en-US" w:eastAsia="zh-CN"/>
        </w:rPr>
        <w:t>天山</w:t>
      </w:r>
      <w:r>
        <w:rPr>
          <w:rFonts w:hint="eastAsia" w:eastAsia="方正仿宋_GBK" w:cs="Times New Roman"/>
          <w:color w:val="auto"/>
          <w:sz w:val="31"/>
          <w:szCs w:val="31"/>
          <w:lang w:eastAsia="zh-CN"/>
        </w:rPr>
        <w:t>市场监督管理所、</w:t>
      </w:r>
      <w:r>
        <w:rPr>
          <w:rFonts w:hint="eastAsia" w:eastAsia="方正仿宋_GBK" w:cs="Times New Roman"/>
          <w:color w:val="auto"/>
          <w:sz w:val="31"/>
          <w:szCs w:val="31"/>
          <w:lang w:val="en-US" w:eastAsia="zh-CN"/>
        </w:rPr>
        <w:t>农村</w:t>
      </w:r>
      <w:r>
        <w:rPr>
          <w:rFonts w:hint="eastAsia" w:eastAsia="方正仿宋_GBK" w:cs="Times New Roman"/>
          <w:color w:val="auto"/>
          <w:sz w:val="31"/>
          <w:szCs w:val="31"/>
          <w:lang w:eastAsia="zh-CN"/>
        </w:rPr>
        <w:t>市场监督管理所</w:t>
      </w:r>
      <w:r>
        <w:rPr>
          <w:rFonts w:hint="eastAsia" w:ascii="仿宋_GB2312" w:hAnsi="宋体" w:eastAsia="仿宋_GB2312" w:cs="宋体"/>
          <w:color w:val="auto"/>
          <w:kern w:val="0"/>
          <w:sz w:val="32"/>
          <w:szCs w:val="32"/>
          <w:highlight w:val="none"/>
        </w:rPr>
        <w:t>。</w:t>
      </w:r>
    </w:p>
    <w:p w14:paraId="120032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6A39A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19C86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9476.07万元，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9468.91万元，使用非财政拨款结余0.00万元，年初结转和结余7.16万元。</w:t>
      </w:r>
    </w:p>
    <w:p w14:paraId="76FB84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2023</w:t>
      </w:r>
      <w:r>
        <w:rPr>
          <w:rFonts w:hint="eastAsia" w:ascii="仿宋_GB2312" w:hAnsi="Times New Roman" w:eastAsia="仿宋_GB2312" w:cs="Times New Roman"/>
          <w:color w:val="auto"/>
          <w:sz w:val="32"/>
          <w:szCs w:val="32"/>
          <w:highlight w:val="none"/>
          <w:lang w:eastAsia="zh-CN"/>
        </w:rPr>
        <w:t>年</w:t>
      </w:r>
      <w:r>
        <w:rPr>
          <w:rFonts w:hint="eastAsia" w:ascii="仿宋_GB2312" w:hAnsi="Times New Roman" w:eastAsia="仿宋_GB2312" w:cs="Times New Roman"/>
          <w:color w:val="auto"/>
          <w:sz w:val="32"/>
          <w:szCs w:val="32"/>
          <w:highlight w:val="none"/>
          <w:lang w:val="en-US" w:eastAsia="zh-CN"/>
        </w:rPr>
        <w:t>度</w:t>
      </w:r>
      <w:r>
        <w:rPr>
          <w:rFonts w:hint="eastAsia" w:ascii="仿宋_GB2312" w:hAnsi="Times New Roman" w:eastAsia="仿宋_GB2312" w:cs="Times New Roman"/>
          <w:color w:val="auto"/>
          <w:sz w:val="32"/>
          <w:szCs w:val="32"/>
          <w:highlight w:val="none"/>
          <w:lang w:eastAsia="zh-CN"/>
        </w:rPr>
        <w:t>支出</w:t>
      </w:r>
      <w:r>
        <w:rPr>
          <w:rFonts w:hint="eastAsia" w:ascii="仿宋_GB2312" w:hAnsi="Times New Roman" w:eastAsia="仿宋_GB2312" w:cs="Times New Roman"/>
          <w:color w:val="auto"/>
          <w:sz w:val="32"/>
          <w:szCs w:val="32"/>
          <w:highlight w:val="none"/>
          <w:lang w:val="en-US" w:eastAsia="zh-CN"/>
        </w:rPr>
        <w:t>总计</w:t>
      </w:r>
      <w:r>
        <w:rPr>
          <w:rFonts w:hint="eastAsia" w:ascii="仿宋_GB2312" w:hAnsi="Times New Roman" w:eastAsia="仿宋_GB2312" w:cs="Times New Roman"/>
          <w:color w:val="auto"/>
          <w:sz w:val="32"/>
          <w:szCs w:val="32"/>
          <w:highlight w:val="none"/>
          <w:lang w:eastAsia="zh-CN"/>
        </w:rPr>
        <w:t>9476.07万元，</w:t>
      </w:r>
      <w:r>
        <w:rPr>
          <w:rFonts w:hint="eastAsia" w:ascii="仿宋_GB2312" w:hAnsi="Times New Roman" w:eastAsia="仿宋_GB2312" w:cs="Times New Roman"/>
          <w:color w:val="auto"/>
          <w:sz w:val="32"/>
          <w:szCs w:val="32"/>
          <w:highlight w:val="none"/>
          <w:lang w:val="en-US" w:eastAsia="zh-CN"/>
        </w:rPr>
        <w:t>其中：本年支出合计</w:t>
      </w:r>
      <w:r>
        <w:rPr>
          <w:rFonts w:hint="eastAsia" w:ascii="仿宋_GB2312" w:hAnsi="Times New Roman" w:eastAsia="仿宋_GB2312" w:cs="Times New Roman"/>
          <w:color w:val="auto"/>
          <w:sz w:val="32"/>
          <w:szCs w:val="32"/>
          <w:highlight w:val="none"/>
          <w:lang w:eastAsia="zh-CN"/>
        </w:rPr>
        <w:t>9471.82万元，</w:t>
      </w:r>
      <w:r>
        <w:rPr>
          <w:rFonts w:hint="eastAsia" w:ascii="仿宋_GB2312" w:hAnsi="Times New Roman" w:eastAsia="仿宋_GB2312" w:cs="Times New Roman"/>
          <w:color w:val="auto"/>
          <w:sz w:val="32"/>
          <w:szCs w:val="32"/>
          <w:highlight w:val="none"/>
          <w:lang w:val="en-US" w:eastAsia="zh-CN"/>
        </w:rPr>
        <w:t>结余分配</w:t>
      </w:r>
      <w:r>
        <w:rPr>
          <w:rFonts w:hint="eastAsia" w:ascii="仿宋_GB2312" w:hAnsi="Times New Roman" w:eastAsia="仿宋_GB2312" w:cs="Times New Roman"/>
          <w:color w:val="auto"/>
          <w:sz w:val="32"/>
          <w:szCs w:val="32"/>
          <w:highlight w:val="none"/>
          <w:lang w:eastAsia="zh-CN"/>
        </w:rPr>
        <w:t>0.00万元，年末结转和结余4.25万元。</w:t>
      </w:r>
    </w:p>
    <w:p w14:paraId="23DAD1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5972.63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170.48</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增12</w:t>
      </w:r>
      <w:r>
        <w:rPr>
          <w:rFonts w:hint="default" w:ascii="Times New Roman" w:hAnsi="Times New Roman" w:eastAsia="方正仿宋_GBK" w:cs="Times New Roman"/>
          <w:color w:val="auto"/>
          <w:sz w:val="31"/>
          <w:szCs w:val="31"/>
          <w:highlight w:val="none"/>
        </w:rPr>
        <w:t>名</w:t>
      </w:r>
      <w:r>
        <w:rPr>
          <w:rFonts w:hint="eastAsia" w:eastAsia="方正仿宋_GBK" w:cs="Times New Roman"/>
          <w:color w:val="auto"/>
          <w:sz w:val="31"/>
          <w:szCs w:val="31"/>
          <w:highlight w:val="none"/>
          <w:lang w:val="en-US" w:eastAsia="zh-CN"/>
        </w:rPr>
        <w:t>干部</w:t>
      </w:r>
      <w:r>
        <w:rPr>
          <w:rFonts w:hint="default" w:ascii="Times New Roman" w:hAnsi="Times New Roman" w:eastAsia="方正仿宋_GBK" w:cs="Times New Roman"/>
          <w:color w:val="auto"/>
          <w:sz w:val="31"/>
          <w:szCs w:val="31"/>
          <w:highlight w:val="none"/>
        </w:rPr>
        <w:t>，工资、社保</w:t>
      </w:r>
      <w:r>
        <w:rPr>
          <w:rFonts w:hint="eastAsia" w:eastAsia="方正仿宋_GBK" w:cs="Times New Roman"/>
          <w:color w:val="auto"/>
          <w:sz w:val="31"/>
          <w:szCs w:val="31"/>
          <w:highlight w:val="none"/>
          <w:lang w:eastAsia="zh-CN"/>
        </w:rPr>
        <w:t>、</w:t>
      </w:r>
      <w:r>
        <w:rPr>
          <w:rFonts w:hint="eastAsia" w:eastAsia="方正仿宋_GBK" w:cs="Times New Roman"/>
          <w:color w:val="auto"/>
          <w:sz w:val="31"/>
          <w:szCs w:val="31"/>
          <w:highlight w:val="none"/>
          <w:lang w:val="en-US" w:eastAsia="zh-CN"/>
        </w:rPr>
        <w:t>公积金</w:t>
      </w:r>
      <w:r>
        <w:rPr>
          <w:rFonts w:hint="default" w:ascii="Times New Roman" w:hAnsi="Times New Roman" w:eastAsia="方正仿宋_GBK" w:cs="Times New Roman"/>
          <w:color w:val="auto"/>
          <w:sz w:val="31"/>
          <w:szCs w:val="31"/>
          <w:highlight w:val="none"/>
        </w:rPr>
        <w:t>增</w:t>
      </w:r>
      <w:r>
        <w:rPr>
          <w:rFonts w:hint="eastAsia" w:eastAsia="方正仿宋_GBK" w:cs="Times New Roman"/>
          <w:color w:val="auto"/>
          <w:sz w:val="31"/>
          <w:szCs w:val="31"/>
          <w:highlight w:val="none"/>
          <w:lang w:val="en-US" w:eastAsia="zh-CN"/>
        </w:rPr>
        <w:t>加以及</w:t>
      </w:r>
      <w:r>
        <w:rPr>
          <w:rFonts w:hint="eastAsia" w:ascii="Times New Roman" w:hAnsi="Times New Roman" w:eastAsia="方正仿宋_GBK" w:cs="Times New Roman"/>
          <w:color w:val="auto"/>
          <w:sz w:val="31"/>
          <w:szCs w:val="31"/>
          <w:highlight w:val="none"/>
          <w:lang w:eastAsia="zh-CN"/>
        </w:rPr>
        <w:t>及</w:t>
      </w:r>
      <w:r>
        <w:rPr>
          <w:rFonts w:hint="eastAsia" w:ascii="仿宋_GB2312" w:hAnsi="仿宋" w:eastAsia="仿宋_GB2312" w:cs="仿宋"/>
          <w:b w:val="0"/>
          <w:bCs/>
          <w:color w:val="000000"/>
          <w:sz w:val="32"/>
          <w:szCs w:val="32"/>
          <w:highlight w:val="none"/>
        </w:rPr>
        <w:t>本年</w:t>
      </w:r>
      <w:r>
        <w:rPr>
          <w:rFonts w:hint="eastAsia" w:ascii="仿宋_GB2312" w:hAnsi="仿宋" w:eastAsia="仿宋_GB2312" w:cs="仿宋"/>
          <w:b w:val="0"/>
          <w:bCs/>
          <w:color w:val="000000"/>
          <w:sz w:val="32"/>
          <w:szCs w:val="32"/>
          <w:highlight w:val="none"/>
          <w:lang w:eastAsia="zh-CN"/>
        </w:rPr>
        <w:t>公共卫生专项增拨</w:t>
      </w:r>
      <w:r>
        <w:rPr>
          <w:rFonts w:hint="eastAsia" w:ascii="仿宋_GB2312" w:hAnsi="仿宋" w:eastAsia="仿宋_GB2312" w:cs="仿宋"/>
          <w:b w:val="0"/>
          <w:bCs/>
          <w:color w:val="000000"/>
          <w:sz w:val="32"/>
          <w:szCs w:val="32"/>
          <w:highlight w:val="none"/>
          <w:lang w:val="en-US" w:eastAsia="zh-CN"/>
        </w:rPr>
        <w:t>5282.49万元，</w:t>
      </w:r>
      <w:r>
        <w:rPr>
          <w:rFonts w:hint="eastAsia" w:ascii="仿宋_GB2312" w:hAnsi="仿宋" w:eastAsia="仿宋_GB2312" w:cs="仿宋"/>
          <w:b w:val="0"/>
          <w:bCs/>
          <w:color w:val="000000"/>
          <w:sz w:val="32"/>
          <w:szCs w:val="32"/>
          <w:highlight w:val="none"/>
          <w:lang w:eastAsia="zh-CN"/>
        </w:rPr>
        <w:t>同时按需增拨运转经费，拨入工作队工作经费，相应支出</w:t>
      </w:r>
      <w:r>
        <w:rPr>
          <w:rFonts w:hint="eastAsia" w:ascii="仿宋_GB2312" w:hAnsi="仿宋" w:eastAsia="仿宋_GB2312" w:cs="仿宋"/>
          <w:b w:val="0"/>
          <w:bCs/>
          <w:color w:val="000000"/>
          <w:sz w:val="32"/>
          <w:szCs w:val="32"/>
          <w:highlight w:val="none"/>
        </w:rPr>
        <w:t>增加</w:t>
      </w:r>
      <w:r>
        <w:rPr>
          <w:rFonts w:hint="eastAsia" w:ascii="仿宋_GB2312" w:hAnsi="仿宋" w:eastAsia="仿宋_GB2312" w:cs="仿宋"/>
          <w:b w:val="0"/>
          <w:bCs/>
          <w:color w:val="000000"/>
          <w:sz w:val="32"/>
          <w:szCs w:val="32"/>
          <w:highlight w:val="none"/>
          <w:lang w:val="en-US" w:eastAsia="zh-CN"/>
        </w:rPr>
        <w:t>。</w:t>
      </w:r>
    </w:p>
    <w:p w14:paraId="58D68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08918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9,468.91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9413.91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99.42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55.00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0.58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90A25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226A3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本年支出9471.82万元，其中：基本支出3330.05万元，占35.16%；项目支出6141.76万元，占64.84%；上缴上级支出0.00万元，占0.00%；经营支出0.00万元，占0.00%；对附属单位补助支出0.00万元，占0.00%。</w:t>
      </w:r>
    </w:p>
    <w:p w14:paraId="002D7D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32DB4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w:t>
      </w:r>
    </w:p>
    <w:p w14:paraId="492E71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5985.47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171.83</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增12</w:t>
      </w:r>
      <w:r>
        <w:rPr>
          <w:rFonts w:hint="default" w:ascii="Times New Roman" w:hAnsi="Times New Roman" w:eastAsia="方正仿宋_GBK" w:cs="Times New Roman"/>
          <w:color w:val="auto"/>
          <w:sz w:val="31"/>
          <w:szCs w:val="31"/>
          <w:highlight w:val="none"/>
        </w:rPr>
        <w:t>名</w:t>
      </w:r>
      <w:r>
        <w:rPr>
          <w:rFonts w:hint="eastAsia" w:eastAsia="方正仿宋_GBK" w:cs="Times New Roman"/>
          <w:color w:val="auto"/>
          <w:sz w:val="31"/>
          <w:szCs w:val="31"/>
          <w:highlight w:val="none"/>
          <w:lang w:val="en-US" w:eastAsia="zh-CN"/>
        </w:rPr>
        <w:t>干部</w:t>
      </w:r>
      <w:r>
        <w:rPr>
          <w:rFonts w:hint="default" w:ascii="Times New Roman" w:hAnsi="Times New Roman" w:eastAsia="方正仿宋_GBK" w:cs="Times New Roman"/>
          <w:color w:val="auto"/>
          <w:sz w:val="31"/>
          <w:szCs w:val="31"/>
          <w:highlight w:val="none"/>
        </w:rPr>
        <w:t>，工资、社保</w:t>
      </w:r>
      <w:r>
        <w:rPr>
          <w:rFonts w:hint="eastAsia" w:eastAsia="方正仿宋_GBK" w:cs="Times New Roman"/>
          <w:color w:val="auto"/>
          <w:sz w:val="31"/>
          <w:szCs w:val="31"/>
          <w:highlight w:val="none"/>
          <w:lang w:val="en-US" w:eastAsia="zh-CN"/>
        </w:rPr>
        <w:t>公积金</w:t>
      </w:r>
      <w:r>
        <w:rPr>
          <w:rFonts w:hint="default" w:ascii="Times New Roman" w:hAnsi="Times New Roman" w:eastAsia="方正仿宋_GBK" w:cs="Times New Roman"/>
          <w:color w:val="auto"/>
          <w:sz w:val="31"/>
          <w:szCs w:val="31"/>
          <w:highlight w:val="none"/>
        </w:rPr>
        <w:t>增</w:t>
      </w:r>
      <w:r>
        <w:rPr>
          <w:rFonts w:hint="eastAsia" w:eastAsia="方正仿宋_GBK" w:cs="Times New Roman"/>
          <w:color w:val="auto"/>
          <w:sz w:val="31"/>
          <w:szCs w:val="31"/>
          <w:highlight w:val="none"/>
          <w:lang w:val="en-US" w:eastAsia="zh-CN"/>
        </w:rPr>
        <w:t>加</w:t>
      </w:r>
      <w:r>
        <w:rPr>
          <w:rFonts w:hint="eastAsia" w:ascii="Times New Roman" w:hAnsi="Times New Roman" w:eastAsia="方正仿宋_GBK" w:cs="Times New Roman"/>
          <w:color w:val="auto"/>
          <w:sz w:val="31"/>
          <w:szCs w:val="31"/>
          <w:highlight w:val="none"/>
          <w:lang w:eastAsia="zh-CN"/>
        </w:rPr>
        <w:t>及</w:t>
      </w:r>
      <w:r>
        <w:rPr>
          <w:rFonts w:hint="eastAsia" w:ascii="仿宋_GB2312" w:hAnsi="仿宋" w:eastAsia="仿宋_GB2312" w:cs="仿宋"/>
          <w:b w:val="0"/>
          <w:bCs/>
          <w:color w:val="000000"/>
          <w:sz w:val="32"/>
          <w:szCs w:val="32"/>
          <w:highlight w:val="none"/>
        </w:rPr>
        <w:t>本年</w:t>
      </w:r>
      <w:r>
        <w:rPr>
          <w:rFonts w:hint="eastAsia" w:ascii="仿宋_GB2312" w:hAnsi="仿宋" w:eastAsia="仿宋_GB2312" w:cs="仿宋"/>
          <w:b w:val="0"/>
          <w:bCs/>
          <w:color w:val="000000"/>
          <w:sz w:val="32"/>
          <w:szCs w:val="32"/>
          <w:highlight w:val="none"/>
          <w:lang w:eastAsia="zh-CN"/>
        </w:rPr>
        <w:t>公共卫生专项增拨</w:t>
      </w:r>
      <w:r>
        <w:rPr>
          <w:rFonts w:hint="eastAsia" w:ascii="仿宋_GB2312" w:hAnsi="仿宋" w:eastAsia="仿宋_GB2312" w:cs="仿宋"/>
          <w:b w:val="0"/>
          <w:bCs/>
          <w:color w:val="000000"/>
          <w:sz w:val="32"/>
          <w:szCs w:val="32"/>
          <w:highlight w:val="none"/>
          <w:lang w:val="en-US" w:eastAsia="zh-CN"/>
        </w:rPr>
        <w:t>5282.49万元，</w:t>
      </w:r>
      <w:r>
        <w:rPr>
          <w:rFonts w:hint="eastAsia" w:ascii="仿宋_GB2312" w:hAnsi="仿宋" w:eastAsia="仿宋_GB2312" w:cs="仿宋"/>
          <w:b w:val="0"/>
          <w:bCs/>
          <w:color w:val="000000"/>
          <w:sz w:val="32"/>
          <w:szCs w:val="32"/>
          <w:highlight w:val="none"/>
          <w:lang w:eastAsia="zh-CN"/>
        </w:rPr>
        <w:t>同时按需增拨运转经费，拨入工作队工作经费，相应支出</w:t>
      </w:r>
      <w:r>
        <w:rPr>
          <w:rFonts w:hint="eastAsia" w:ascii="仿宋_GB2312" w:hAnsi="仿宋" w:eastAsia="仿宋_GB2312" w:cs="仿宋"/>
          <w:b w:val="0"/>
          <w:bCs/>
          <w:color w:val="000000"/>
          <w:sz w:val="32"/>
          <w:szCs w:val="32"/>
          <w:highlight w:val="none"/>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3508.65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万元，预决算差异率168.31%，主要原因是：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增12</w:t>
      </w:r>
      <w:r>
        <w:rPr>
          <w:rFonts w:hint="default" w:ascii="Times New Roman" w:hAnsi="Times New Roman" w:eastAsia="方正仿宋_GBK" w:cs="Times New Roman"/>
          <w:color w:val="auto"/>
          <w:sz w:val="31"/>
          <w:szCs w:val="31"/>
          <w:highlight w:val="none"/>
        </w:rPr>
        <w:t>名</w:t>
      </w:r>
      <w:r>
        <w:rPr>
          <w:rFonts w:hint="eastAsia" w:eastAsia="方正仿宋_GBK" w:cs="Times New Roman"/>
          <w:color w:val="auto"/>
          <w:sz w:val="31"/>
          <w:szCs w:val="31"/>
          <w:highlight w:val="none"/>
          <w:lang w:val="en-US" w:eastAsia="zh-CN"/>
        </w:rPr>
        <w:t>干部</w:t>
      </w:r>
      <w:r>
        <w:rPr>
          <w:rFonts w:hint="default" w:ascii="Times New Roman" w:hAnsi="Times New Roman" w:eastAsia="方正仿宋_GBK" w:cs="Times New Roman"/>
          <w:color w:val="auto"/>
          <w:sz w:val="31"/>
          <w:szCs w:val="31"/>
          <w:highlight w:val="none"/>
        </w:rPr>
        <w:t>，工资、社保增加</w:t>
      </w:r>
      <w:r>
        <w:rPr>
          <w:rFonts w:hint="eastAsia" w:ascii="Times New Roman" w:hAnsi="Times New Roman" w:eastAsia="方正仿宋_GBK" w:cs="Times New Roman"/>
          <w:color w:val="auto"/>
          <w:sz w:val="31"/>
          <w:szCs w:val="31"/>
          <w:highlight w:val="none"/>
          <w:lang w:eastAsia="zh-CN"/>
        </w:rPr>
        <w:t>及</w:t>
      </w:r>
      <w:r>
        <w:rPr>
          <w:rFonts w:hint="eastAsia" w:ascii="仿宋_GB2312" w:hAnsi="仿宋" w:eastAsia="仿宋_GB2312" w:cs="仿宋"/>
          <w:b w:val="0"/>
          <w:bCs/>
          <w:color w:val="000000"/>
          <w:sz w:val="32"/>
          <w:szCs w:val="32"/>
          <w:highlight w:val="none"/>
        </w:rPr>
        <w:t>本年</w:t>
      </w:r>
      <w:r>
        <w:rPr>
          <w:rFonts w:hint="eastAsia" w:ascii="仿宋_GB2312" w:hAnsi="仿宋" w:eastAsia="仿宋_GB2312" w:cs="仿宋"/>
          <w:b w:val="0"/>
          <w:bCs/>
          <w:color w:val="000000"/>
          <w:sz w:val="32"/>
          <w:szCs w:val="32"/>
          <w:highlight w:val="none"/>
          <w:lang w:eastAsia="zh-CN"/>
        </w:rPr>
        <w:t>公共卫生专项增拨</w:t>
      </w:r>
      <w:r>
        <w:rPr>
          <w:rFonts w:hint="eastAsia" w:ascii="仿宋_GB2312" w:hAnsi="仿宋" w:eastAsia="仿宋_GB2312" w:cs="仿宋"/>
          <w:b w:val="0"/>
          <w:bCs/>
          <w:color w:val="000000"/>
          <w:sz w:val="32"/>
          <w:szCs w:val="32"/>
          <w:highlight w:val="none"/>
          <w:lang w:val="en-US" w:eastAsia="zh-CN"/>
        </w:rPr>
        <w:t>5282.49万元，</w:t>
      </w:r>
      <w:r>
        <w:rPr>
          <w:rFonts w:hint="eastAsia" w:ascii="仿宋_GB2312" w:hAnsi="仿宋" w:eastAsia="仿宋_GB2312" w:cs="仿宋"/>
          <w:b w:val="0"/>
          <w:bCs/>
          <w:color w:val="000000"/>
          <w:sz w:val="32"/>
          <w:szCs w:val="32"/>
          <w:highlight w:val="none"/>
          <w:lang w:eastAsia="zh-CN"/>
        </w:rPr>
        <w:t>同时按需增拨运转经费，拨入工作队工作经费，相应支出</w:t>
      </w:r>
      <w:r>
        <w:rPr>
          <w:rFonts w:hint="eastAsia" w:ascii="仿宋_GB2312" w:hAnsi="仿宋" w:eastAsia="仿宋_GB2312" w:cs="仿宋"/>
          <w:b w:val="0"/>
          <w:bCs/>
          <w:color w:val="000000"/>
          <w:sz w:val="32"/>
          <w:szCs w:val="32"/>
          <w:highlight w:val="none"/>
        </w:rPr>
        <w:t>增加</w:t>
      </w:r>
      <w:r>
        <w:rPr>
          <w:rFonts w:hint="eastAsia" w:ascii="仿宋_GB2312" w:eastAsia="仿宋_GB2312"/>
          <w:color w:val="auto"/>
          <w:spacing w:val="0"/>
          <w:sz w:val="32"/>
          <w:szCs w:val="32"/>
          <w:highlight w:val="none"/>
          <w:lang w:eastAsia="zh-CN"/>
        </w:rPr>
        <w:t>。</w:t>
      </w:r>
    </w:p>
    <w:p w14:paraId="028D16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CB1CA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00D26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2023年度一般公共预算财政拨款支出9413.91万元，占本年支出合计的</w:t>
      </w:r>
      <w:r>
        <w:rPr>
          <w:rFonts w:hint="eastAsia" w:ascii="仿宋_GB2312" w:eastAsia="仿宋_GB2312"/>
          <w:color w:val="auto"/>
          <w:spacing w:val="0"/>
          <w:sz w:val="32"/>
          <w:szCs w:val="32"/>
          <w:highlight w:val="none"/>
          <w:lang w:val="zh-CN" w:eastAsia="zh-CN"/>
        </w:rPr>
        <w:t>99.39%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5930.47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增长170.25%,</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增12</w:t>
      </w:r>
      <w:r>
        <w:rPr>
          <w:rFonts w:hint="default" w:ascii="Times New Roman" w:hAnsi="Times New Roman" w:eastAsia="方正仿宋_GBK" w:cs="Times New Roman"/>
          <w:color w:val="auto"/>
          <w:sz w:val="31"/>
          <w:szCs w:val="31"/>
          <w:highlight w:val="none"/>
        </w:rPr>
        <w:t>名</w:t>
      </w:r>
      <w:r>
        <w:rPr>
          <w:rFonts w:hint="eastAsia" w:eastAsia="方正仿宋_GBK" w:cs="Times New Roman"/>
          <w:color w:val="auto"/>
          <w:sz w:val="31"/>
          <w:szCs w:val="31"/>
          <w:highlight w:val="none"/>
          <w:lang w:val="en-US" w:eastAsia="zh-CN"/>
        </w:rPr>
        <w:t>干部</w:t>
      </w:r>
      <w:r>
        <w:rPr>
          <w:rFonts w:hint="default" w:ascii="Times New Roman" w:hAnsi="Times New Roman" w:eastAsia="方正仿宋_GBK" w:cs="Times New Roman"/>
          <w:color w:val="auto"/>
          <w:sz w:val="31"/>
          <w:szCs w:val="31"/>
          <w:highlight w:val="none"/>
        </w:rPr>
        <w:t>，工资、社保增加</w:t>
      </w:r>
      <w:r>
        <w:rPr>
          <w:rFonts w:hint="eastAsia" w:ascii="Times New Roman" w:hAnsi="Times New Roman" w:eastAsia="方正仿宋_GBK" w:cs="Times New Roman"/>
          <w:color w:val="auto"/>
          <w:sz w:val="31"/>
          <w:szCs w:val="31"/>
          <w:highlight w:val="none"/>
          <w:lang w:eastAsia="zh-CN"/>
        </w:rPr>
        <w:t>及</w:t>
      </w:r>
      <w:r>
        <w:rPr>
          <w:rFonts w:hint="eastAsia" w:ascii="仿宋_GB2312" w:hAnsi="仿宋" w:eastAsia="仿宋_GB2312" w:cs="仿宋"/>
          <w:b w:val="0"/>
          <w:bCs/>
          <w:color w:val="000000"/>
          <w:sz w:val="32"/>
          <w:szCs w:val="32"/>
          <w:highlight w:val="none"/>
        </w:rPr>
        <w:t>本年</w:t>
      </w:r>
      <w:r>
        <w:rPr>
          <w:rFonts w:hint="eastAsia" w:ascii="仿宋_GB2312" w:hAnsi="仿宋" w:eastAsia="仿宋_GB2312" w:cs="仿宋"/>
          <w:b w:val="0"/>
          <w:bCs/>
          <w:color w:val="000000"/>
          <w:sz w:val="32"/>
          <w:szCs w:val="32"/>
          <w:highlight w:val="none"/>
          <w:lang w:eastAsia="zh-CN"/>
        </w:rPr>
        <w:t>公共卫生专项增拨</w:t>
      </w:r>
      <w:r>
        <w:rPr>
          <w:rFonts w:hint="eastAsia" w:ascii="仿宋_GB2312" w:hAnsi="仿宋" w:eastAsia="仿宋_GB2312" w:cs="仿宋"/>
          <w:b w:val="0"/>
          <w:bCs/>
          <w:color w:val="000000"/>
          <w:sz w:val="32"/>
          <w:szCs w:val="32"/>
          <w:highlight w:val="none"/>
          <w:lang w:val="en-US" w:eastAsia="zh-CN"/>
        </w:rPr>
        <w:t>5282.49万元，</w:t>
      </w:r>
      <w:r>
        <w:rPr>
          <w:rFonts w:hint="eastAsia" w:ascii="仿宋_GB2312" w:hAnsi="仿宋" w:eastAsia="仿宋_GB2312" w:cs="仿宋"/>
          <w:b w:val="0"/>
          <w:bCs/>
          <w:color w:val="000000"/>
          <w:sz w:val="32"/>
          <w:szCs w:val="32"/>
          <w:highlight w:val="none"/>
          <w:lang w:eastAsia="zh-CN"/>
        </w:rPr>
        <w:t>同时按需增拨运转经费，拨入工作队工作经费，相应支出</w:t>
      </w:r>
      <w:r>
        <w:rPr>
          <w:rFonts w:hint="eastAsia" w:ascii="仿宋_GB2312" w:hAnsi="仿宋" w:eastAsia="仿宋_GB2312" w:cs="仿宋"/>
          <w:b w:val="0"/>
          <w:bCs/>
          <w:color w:val="000000"/>
          <w:sz w:val="32"/>
          <w:szCs w:val="32"/>
          <w:highlight w:val="none"/>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3508.65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9413.91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168.31%</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color w:val="auto"/>
          <w:sz w:val="31"/>
          <w:szCs w:val="31"/>
          <w:highlight w:val="none"/>
        </w:rPr>
        <w:t>本年新招聘、调入</w:t>
      </w:r>
      <w:r>
        <w:rPr>
          <w:rFonts w:hint="eastAsia" w:eastAsia="方正仿宋_GBK" w:cs="Times New Roman"/>
          <w:color w:val="auto"/>
          <w:sz w:val="31"/>
          <w:szCs w:val="31"/>
          <w:highlight w:val="none"/>
          <w:lang w:val="en-US" w:eastAsia="zh-CN"/>
        </w:rPr>
        <w:t>12</w:t>
      </w:r>
      <w:r>
        <w:rPr>
          <w:rFonts w:hint="default" w:ascii="Times New Roman" w:hAnsi="Times New Roman" w:eastAsia="方正仿宋_GBK" w:cs="Times New Roman"/>
          <w:color w:val="auto"/>
          <w:sz w:val="31"/>
          <w:szCs w:val="31"/>
          <w:highlight w:val="none"/>
        </w:rPr>
        <w:t>名职工，工资、社保增加</w:t>
      </w:r>
      <w:r>
        <w:rPr>
          <w:rFonts w:hint="eastAsia" w:ascii="Times New Roman" w:hAnsi="Times New Roman" w:eastAsia="方正仿宋_GBK" w:cs="Times New Roman"/>
          <w:color w:val="auto"/>
          <w:sz w:val="31"/>
          <w:szCs w:val="31"/>
          <w:highlight w:val="none"/>
          <w:lang w:eastAsia="zh-CN"/>
        </w:rPr>
        <w:t>及</w:t>
      </w:r>
      <w:r>
        <w:rPr>
          <w:rFonts w:hint="eastAsia" w:ascii="仿宋_GB2312" w:hAnsi="仿宋" w:eastAsia="仿宋_GB2312" w:cs="仿宋"/>
          <w:b w:val="0"/>
          <w:bCs/>
          <w:color w:val="000000"/>
          <w:sz w:val="32"/>
          <w:szCs w:val="32"/>
          <w:highlight w:val="none"/>
        </w:rPr>
        <w:t>本年</w:t>
      </w:r>
      <w:r>
        <w:rPr>
          <w:rFonts w:hint="eastAsia" w:ascii="仿宋_GB2312" w:hAnsi="仿宋" w:eastAsia="仿宋_GB2312" w:cs="仿宋"/>
          <w:b w:val="0"/>
          <w:bCs/>
          <w:color w:val="000000"/>
          <w:sz w:val="32"/>
          <w:szCs w:val="32"/>
          <w:highlight w:val="none"/>
          <w:lang w:eastAsia="zh-CN"/>
        </w:rPr>
        <w:t>公共卫生专项增拨</w:t>
      </w:r>
      <w:r>
        <w:rPr>
          <w:rFonts w:hint="eastAsia" w:ascii="仿宋_GB2312" w:hAnsi="仿宋" w:eastAsia="仿宋_GB2312" w:cs="仿宋"/>
          <w:b w:val="0"/>
          <w:bCs/>
          <w:color w:val="000000"/>
          <w:sz w:val="32"/>
          <w:szCs w:val="32"/>
          <w:highlight w:val="none"/>
          <w:lang w:val="en-US" w:eastAsia="zh-CN"/>
        </w:rPr>
        <w:t>5282.49万元，</w:t>
      </w:r>
      <w:r>
        <w:rPr>
          <w:rFonts w:hint="eastAsia" w:ascii="仿宋_GB2312" w:hAnsi="仿宋" w:eastAsia="仿宋_GB2312" w:cs="仿宋"/>
          <w:b w:val="0"/>
          <w:bCs/>
          <w:color w:val="000000"/>
          <w:sz w:val="32"/>
          <w:szCs w:val="32"/>
          <w:highlight w:val="none"/>
          <w:lang w:eastAsia="zh-CN"/>
        </w:rPr>
        <w:t>同时按需增拨运转经费，拨入工作队工作经费，相应支出</w:t>
      </w:r>
      <w:r>
        <w:rPr>
          <w:rFonts w:hint="eastAsia" w:ascii="仿宋_GB2312" w:hAnsi="仿宋" w:eastAsia="仿宋_GB2312" w:cs="仿宋"/>
          <w:b w:val="0"/>
          <w:bCs/>
          <w:color w:val="000000"/>
          <w:sz w:val="32"/>
          <w:szCs w:val="32"/>
          <w:highlight w:val="none"/>
        </w:rPr>
        <w:t>增加</w:t>
      </w:r>
      <w:r>
        <w:rPr>
          <w:rFonts w:hint="eastAsia" w:ascii="仿宋_GB2312" w:eastAsia="仿宋_GB2312"/>
          <w:color w:val="auto"/>
          <w:spacing w:val="0"/>
          <w:sz w:val="32"/>
          <w:szCs w:val="32"/>
          <w:highlight w:val="none"/>
          <w:lang w:eastAsia="zh-CN"/>
        </w:rPr>
        <w:t>。</w:t>
      </w:r>
    </w:p>
    <w:p w14:paraId="1A98735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93C89A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2469.34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26.23</w:t>
      </w:r>
      <w:r>
        <w:rPr>
          <w:rFonts w:hint="default" w:ascii="仿宋_GB2312" w:hAnsi="Times New Roman" w:eastAsia="仿宋_GB2312" w:cs="Times New Roman"/>
          <w:color w:val="auto"/>
          <w:spacing w:val="0"/>
          <w:kern w:val="2"/>
          <w:sz w:val="32"/>
          <w:szCs w:val="32"/>
          <w:highlight w:val="none"/>
          <w:lang w:val="zh-CN" w:eastAsia="zh-CN" w:bidi="ar-SA"/>
        </w:rPr>
        <w:t>%；</w:t>
      </w:r>
    </w:p>
    <w:p w14:paraId="3A03EF3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6.62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0.07</w:t>
      </w:r>
      <w:r>
        <w:rPr>
          <w:rFonts w:hint="default" w:ascii="仿宋_GB2312" w:hAnsi="Times New Roman" w:eastAsia="仿宋_GB2312" w:cs="Times New Roman"/>
          <w:color w:val="auto"/>
          <w:spacing w:val="0"/>
          <w:kern w:val="2"/>
          <w:sz w:val="32"/>
          <w:szCs w:val="32"/>
          <w:highlight w:val="none"/>
          <w:lang w:val="zh-CN" w:eastAsia="zh-CN" w:bidi="ar-SA"/>
        </w:rPr>
        <w:t>%；</w:t>
      </w:r>
    </w:p>
    <w:p w14:paraId="66831F6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465.30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4.94</w:t>
      </w:r>
      <w:r>
        <w:rPr>
          <w:rFonts w:hint="default" w:ascii="仿宋_GB2312" w:hAnsi="Times New Roman" w:eastAsia="仿宋_GB2312" w:cs="Times New Roman"/>
          <w:color w:val="auto"/>
          <w:spacing w:val="0"/>
          <w:kern w:val="2"/>
          <w:sz w:val="32"/>
          <w:szCs w:val="32"/>
          <w:highlight w:val="none"/>
          <w:lang w:val="zh-CN" w:eastAsia="zh-CN" w:bidi="ar-SA"/>
        </w:rPr>
        <w:t>%；</w:t>
      </w:r>
    </w:p>
    <w:p w14:paraId="286D9D9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9.</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6273.00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66.64</w:t>
      </w:r>
      <w:r>
        <w:rPr>
          <w:rFonts w:hint="default" w:ascii="仿宋_GB2312" w:hAnsi="Times New Roman" w:eastAsia="仿宋_GB2312" w:cs="Times New Roman"/>
          <w:color w:val="auto"/>
          <w:spacing w:val="0"/>
          <w:kern w:val="2"/>
          <w:sz w:val="32"/>
          <w:szCs w:val="32"/>
          <w:highlight w:val="none"/>
          <w:lang w:val="zh-CN" w:eastAsia="zh-CN" w:bidi="ar-SA"/>
        </w:rPr>
        <w:t>%；</w:t>
      </w:r>
    </w:p>
    <w:p w14:paraId="18EB25E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19.</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199.65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2.12</w:t>
      </w:r>
      <w:r>
        <w:rPr>
          <w:rFonts w:hint="default" w:ascii="仿宋_GB2312" w:hAnsi="Times New Roman" w:eastAsia="仿宋_GB2312" w:cs="Times New Roman"/>
          <w:color w:val="auto"/>
          <w:spacing w:val="0"/>
          <w:kern w:val="2"/>
          <w:sz w:val="32"/>
          <w:szCs w:val="32"/>
          <w:highlight w:val="none"/>
          <w:lang w:val="zh-CN" w:eastAsia="zh-CN" w:bidi="ar-SA"/>
        </w:rPr>
        <w:t>%；</w:t>
      </w:r>
    </w:p>
    <w:p w14:paraId="0BB1E6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BA84A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.一般公共服务支出（类）市场监督管理事务（款）行政运行（项）:支出决算数为2308.48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增加349.12万元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增长17.82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增干部12名</w:t>
      </w:r>
      <w:r>
        <w:rPr>
          <w:rFonts w:hint="default" w:ascii="Times New Roman" w:hAnsi="Times New Roman" w:eastAsia="方正仿宋_GBK" w:cs="Times New Roman"/>
          <w:color w:val="auto"/>
          <w:sz w:val="31"/>
          <w:szCs w:val="31"/>
          <w:highlight w:val="none"/>
        </w:rPr>
        <w:t>，</w:t>
      </w:r>
      <w:r>
        <w:rPr>
          <w:rFonts w:hint="eastAsia" w:eastAsia="方正仿宋_GBK" w:cs="Times New Roman"/>
          <w:color w:val="auto"/>
          <w:sz w:val="31"/>
          <w:szCs w:val="31"/>
          <w:highlight w:val="none"/>
          <w:lang w:val="en-US" w:eastAsia="zh-CN"/>
        </w:rPr>
        <w:t>相应的</w:t>
      </w:r>
      <w:r>
        <w:rPr>
          <w:rFonts w:hint="default" w:ascii="Times New Roman" w:hAnsi="Times New Roman" w:eastAsia="方正仿宋_GBK" w:cs="Times New Roman"/>
          <w:color w:val="auto"/>
          <w:sz w:val="31"/>
          <w:szCs w:val="31"/>
          <w:highlight w:val="none"/>
        </w:rPr>
        <w:t>社保</w:t>
      </w:r>
      <w:r>
        <w:rPr>
          <w:rFonts w:hint="eastAsia" w:eastAsia="方正仿宋_GBK" w:cs="Times New Roman"/>
          <w:color w:val="auto"/>
          <w:sz w:val="31"/>
          <w:szCs w:val="31"/>
          <w:highlight w:val="none"/>
          <w:lang w:val="en-US" w:eastAsia="zh-CN"/>
        </w:rPr>
        <w:t>费支出</w:t>
      </w:r>
      <w:r>
        <w:rPr>
          <w:rFonts w:hint="default" w:ascii="Times New Roman" w:hAnsi="Times New Roman" w:eastAsia="方正仿宋_GBK" w:cs="Times New Roman"/>
          <w:color w:val="auto"/>
          <w:sz w:val="31"/>
          <w:szCs w:val="31"/>
          <w:highlight w:val="none"/>
        </w:rPr>
        <w:t>增加</w:t>
      </w:r>
      <w:r>
        <w:rPr>
          <w:rFonts w:hint="eastAsia" w:eastAsia="仿宋_GB2312" w:cs="Times New Roman"/>
          <w:color w:val="auto"/>
          <w:kern w:val="2"/>
          <w:sz w:val="32"/>
          <w:szCs w:val="32"/>
          <w:highlight w:val="none"/>
          <w:lang w:val="zh-CN" w:eastAsia="zh-CN" w:bidi="ar-SA"/>
        </w:rPr>
        <w:t>。</w:t>
      </w:r>
    </w:p>
    <w:p w14:paraId="0274FC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.一般公共服务支出（类）市场监督管理事务（款）市场秩序执法（项）:支出决算数为20.00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方正仿宋_GBK" w:cs="Times New Roman"/>
          <w:color w:val="auto"/>
          <w:sz w:val="31"/>
          <w:szCs w:val="31"/>
          <w:highlight w:val="none"/>
          <w:lang w:eastAsia="zh-CN"/>
        </w:rPr>
        <w:t>此项经费为</w:t>
      </w:r>
      <w:r>
        <w:rPr>
          <w:rFonts w:hint="eastAsia" w:ascii="Times New Roman" w:hAnsi="Times New Roman" w:eastAsia="方正仿宋_GBK" w:cs="Times New Roman"/>
          <w:color w:val="auto"/>
          <w:sz w:val="31"/>
          <w:szCs w:val="31"/>
          <w:highlight w:val="none"/>
          <w:lang w:eastAsia="zh-CN"/>
        </w:rPr>
        <w:t>本年</w:t>
      </w:r>
      <w:r>
        <w:rPr>
          <w:rFonts w:hint="default" w:ascii="Times New Roman" w:hAnsi="Times New Roman" w:eastAsia="方正仿宋_GBK" w:cs="Times New Roman"/>
          <w:color w:val="auto"/>
          <w:sz w:val="31"/>
          <w:szCs w:val="31"/>
          <w:highlight w:val="none"/>
          <w:lang w:eastAsia="zh-CN"/>
        </w:rPr>
        <w:t>新增款项</w:t>
      </w:r>
      <w:r>
        <w:rPr>
          <w:rFonts w:hint="eastAsia" w:eastAsia="仿宋_GB2312" w:cs="Times New Roman"/>
          <w:color w:val="auto"/>
          <w:kern w:val="2"/>
          <w:sz w:val="32"/>
          <w:szCs w:val="32"/>
          <w:highlight w:val="none"/>
          <w:lang w:val="zh-CN" w:eastAsia="zh-CN" w:bidi="ar-SA"/>
        </w:rPr>
        <w:t>。</w:t>
      </w:r>
    </w:p>
    <w:p w14:paraId="4FE73B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.一般公共服务支出（类）市场监督管理事务（款）药品事务（项）:支出决算数为8.00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方正仿宋_GBK" w:cs="Times New Roman"/>
          <w:color w:val="auto"/>
          <w:sz w:val="31"/>
          <w:szCs w:val="31"/>
          <w:highlight w:val="none"/>
          <w:lang w:eastAsia="zh-CN"/>
        </w:rPr>
        <w:t>此项经费为新增款项</w:t>
      </w:r>
      <w:r>
        <w:rPr>
          <w:rFonts w:hint="eastAsia" w:eastAsia="仿宋_GB2312" w:cs="Times New Roman"/>
          <w:color w:val="auto"/>
          <w:kern w:val="2"/>
          <w:sz w:val="32"/>
          <w:szCs w:val="32"/>
          <w:highlight w:val="none"/>
          <w:lang w:val="zh-CN" w:eastAsia="zh-CN" w:bidi="ar-SA"/>
        </w:rPr>
        <w:t>。</w:t>
      </w:r>
    </w:p>
    <w:p w14:paraId="64717A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.一般公共服务支出（类）市场监督管理事务（款）食品安全监管（项）:支出决算数为119.06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增加108.76万元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增长1055.92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本年度新增多项食品安全项目</w:t>
      </w:r>
      <w:r>
        <w:rPr>
          <w:rFonts w:hint="eastAsia" w:eastAsia="仿宋_GB2312" w:cs="Times New Roman"/>
          <w:color w:val="auto"/>
          <w:kern w:val="2"/>
          <w:sz w:val="32"/>
          <w:szCs w:val="32"/>
          <w:highlight w:val="none"/>
          <w:lang w:val="zh-CN" w:eastAsia="zh-CN" w:bidi="ar-SA"/>
        </w:rPr>
        <w:t>。</w:t>
      </w:r>
    </w:p>
    <w:p w14:paraId="07C0B0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5.一般公共服务支出（类）市场监督管理事务（款）其他市场监督管理事务（项）:支出决算数为13.80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方正仿宋_GBK" w:cs="Times New Roman"/>
          <w:color w:val="auto"/>
          <w:sz w:val="31"/>
          <w:szCs w:val="31"/>
          <w:highlight w:val="none"/>
          <w:lang w:eastAsia="zh-CN"/>
        </w:rPr>
        <w:t>此项经费为新增款项</w:t>
      </w:r>
      <w:r>
        <w:rPr>
          <w:rFonts w:hint="eastAsia" w:eastAsia="仿宋_GB2312" w:cs="Times New Roman"/>
          <w:color w:val="auto"/>
          <w:kern w:val="2"/>
          <w:sz w:val="32"/>
          <w:szCs w:val="32"/>
          <w:highlight w:val="none"/>
          <w:lang w:val="zh-CN" w:eastAsia="zh-CN" w:bidi="ar-SA"/>
        </w:rPr>
        <w:t>。</w:t>
      </w:r>
    </w:p>
    <w:p w14:paraId="5A8E37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.教育支出（类）进修及培训（款）培训支出（项）:支出决算数为6.62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下降4.05万元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降低37.96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sz w:val="31"/>
          <w:szCs w:val="31"/>
          <w:highlight w:val="none"/>
          <w:lang w:eastAsia="zh-CN"/>
        </w:rPr>
        <w:t>严格落实内控，细化支出，精简开支</w:t>
      </w:r>
      <w:r>
        <w:rPr>
          <w:rFonts w:hint="eastAsia" w:eastAsia="仿宋_GB2312" w:cs="Times New Roman"/>
          <w:color w:val="auto"/>
          <w:kern w:val="2"/>
          <w:sz w:val="32"/>
          <w:szCs w:val="32"/>
          <w:highlight w:val="none"/>
          <w:lang w:val="zh-CN" w:eastAsia="zh-CN" w:bidi="ar-SA"/>
        </w:rPr>
        <w:t>。</w:t>
      </w:r>
    </w:p>
    <w:p w14:paraId="7B1B51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.社会保障和就业支出（类）行政事业单位养老支出（款）行政单位离退休（项）:支出决算数为95.27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增加32.24万元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增长51.15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本年度新增12名退休干部，</w:t>
      </w:r>
      <w:r>
        <w:rPr>
          <w:rFonts w:hint="eastAsia" w:eastAsia="方正仿宋_GBK" w:cs="Times New Roman"/>
          <w:color w:val="auto"/>
          <w:sz w:val="31"/>
          <w:szCs w:val="31"/>
          <w:highlight w:val="none"/>
          <w:lang w:val="en-US" w:eastAsia="zh-CN"/>
        </w:rPr>
        <w:t>相应的</w:t>
      </w:r>
      <w:r>
        <w:rPr>
          <w:rFonts w:hint="default" w:ascii="Times New Roman" w:hAnsi="Times New Roman" w:eastAsia="方正仿宋_GBK" w:cs="Times New Roman"/>
          <w:color w:val="auto"/>
          <w:sz w:val="31"/>
          <w:szCs w:val="31"/>
          <w:highlight w:val="none"/>
        </w:rPr>
        <w:t>社保</w:t>
      </w:r>
      <w:r>
        <w:rPr>
          <w:rFonts w:hint="eastAsia" w:eastAsia="方正仿宋_GBK" w:cs="Times New Roman"/>
          <w:color w:val="auto"/>
          <w:sz w:val="31"/>
          <w:szCs w:val="31"/>
          <w:highlight w:val="none"/>
          <w:lang w:val="en-US" w:eastAsia="zh-CN"/>
        </w:rPr>
        <w:t>费支出</w:t>
      </w:r>
      <w:r>
        <w:rPr>
          <w:rFonts w:hint="default" w:ascii="Times New Roman" w:hAnsi="Times New Roman" w:eastAsia="方正仿宋_GBK" w:cs="Times New Roman"/>
          <w:color w:val="auto"/>
          <w:sz w:val="31"/>
          <w:szCs w:val="31"/>
          <w:highlight w:val="none"/>
        </w:rPr>
        <w:t>增加</w:t>
      </w:r>
      <w:r>
        <w:rPr>
          <w:rFonts w:hint="eastAsia" w:eastAsia="仿宋_GB2312" w:cs="Times New Roman"/>
          <w:color w:val="auto"/>
          <w:kern w:val="2"/>
          <w:sz w:val="32"/>
          <w:szCs w:val="32"/>
          <w:highlight w:val="none"/>
          <w:lang w:val="zh-CN" w:eastAsia="zh-CN" w:bidi="ar-SA"/>
        </w:rPr>
        <w:t>。</w:t>
      </w:r>
    </w:p>
    <w:p w14:paraId="43BA1F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.社会保障和就业支出（类）行政事业单位养老支出（款）机关事业单位基本养老保险缴费支出（项）:支出决算数为250.46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增加37.15万元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增长17.42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增干部12名</w:t>
      </w:r>
      <w:r>
        <w:rPr>
          <w:rFonts w:hint="default" w:ascii="Times New Roman" w:hAnsi="Times New Roman" w:eastAsia="方正仿宋_GBK" w:cs="Times New Roman"/>
          <w:color w:val="auto"/>
          <w:sz w:val="31"/>
          <w:szCs w:val="31"/>
          <w:highlight w:val="none"/>
        </w:rPr>
        <w:t>，</w:t>
      </w:r>
      <w:r>
        <w:rPr>
          <w:rFonts w:hint="eastAsia" w:eastAsia="方正仿宋_GBK" w:cs="Times New Roman"/>
          <w:color w:val="auto"/>
          <w:sz w:val="31"/>
          <w:szCs w:val="31"/>
          <w:highlight w:val="none"/>
          <w:lang w:val="en-US" w:eastAsia="zh-CN"/>
        </w:rPr>
        <w:t>相应的</w:t>
      </w:r>
      <w:r>
        <w:rPr>
          <w:rFonts w:hint="default" w:ascii="Times New Roman" w:hAnsi="Times New Roman" w:eastAsia="方正仿宋_GBK" w:cs="Times New Roman"/>
          <w:color w:val="auto"/>
          <w:sz w:val="31"/>
          <w:szCs w:val="31"/>
          <w:highlight w:val="none"/>
        </w:rPr>
        <w:t>社保</w:t>
      </w:r>
      <w:r>
        <w:rPr>
          <w:rFonts w:hint="eastAsia" w:eastAsia="方正仿宋_GBK" w:cs="Times New Roman"/>
          <w:color w:val="auto"/>
          <w:sz w:val="31"/>
          <w:szCs w:val="31"/>
          <w:highlight w:val="none"/>
          <w:lang w:val="en-US" w:eastAsia="zh-CN"/>
        </w:rPr>
        <w:t>费支出</w:t>
      </w:r>
      <w:r>
        <w:rPr>
          <w:rFonts w:hint="default" w:ascii="Times New Roman" w:hAnsi="Times New Roman" w:eastAsia="方正仿宋_GBK" w:cs="Times New Roman"/>
          <w:color w:val="auto"/>
          <w:sz w:val="31"/>
          <w:szCs w:val="31"/>
          <w:highlight w:val="none"/>
        </w:rPr>
        <w:t>增加</w:t>
      </w:r>
      <w:r>
        <w:rPr>
          <w:rFonts w:hint="eastAsia" w:eastAsia="仿宋_GB2312" w:cs="Times New Roman"/>
          <w:color w:val="auto"/>
          <w:kern w:val="2"/>
          <w:sz w:val="32"/>
          <w:szCs w:val="32"/>
          <w:highlight w:val="none"/>
          <w:lang w:val="zh-CN" w:eastAsia="zh-CN" w:bidi="ar-SA"/>
        </w:rPr>
        <w:t>。</w:t>
      </w:r>
    </w:p>
    <w:p w14:paraId="7D0C77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.社会保障和就业支出（类）行政事业单位养老支出（款）机关事业单位职业年金缴费支出（项）:支出决算数为96.77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增加85.56万元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增长763.25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方正仿宋_GBK" w:cs="Times New Roman"/>
          <w:color w:val="auto"/>
          <w:sz w:val="31"/>
          <w:szCs w:val="31"/>
          <w:highlight w:val="none"/>
          <w:lang w:val="en-US" w:eastAsia="zh-CN"/>
        </w:rPr>
        <w:t>本年度新增12名</w:t>
      </w:r>
      <w:r>
        <w:rPr>
          <w:rFonts w:hint="default" w:ascii="Times New Roman" w:hAnsi="Times New Roman" w:eastAsia="方正仿宋_GBK" w:cs="Times New Roman"/>
          <w:color w:val="auto"/>
          <w:sz w:val="31"/>
          <w:szCs w:val="31"/>
          <w:highlight w:val="none"/>
          <w:lang w:val="en-US" w:eastAsia="zh-CN"/>
        </w:rPr>
        <w:t>退休</w:t>
      </w:r>
      <w:r>
        <w:rPr>
          <w:rFonts w:hint="eastAsia" w:eastAsia="方正仿宋_GBK" w:cs="Times New Roman"/>
          <w:color w:val="auto"/>
          <w:sz w:val="31"/>
          <w:szCs w:val="31"/>
          <w:highlight w:val="none"/>
          <w:lang w:val="en-US" w:eastAsia="zh-CN"/>
        </w:rPr>
        <w:t>干部</w:t>
      </w:r>
      <w:r>
        <w:rPr>
          <w:rFonts w:hint="default" w:ascii="Times New Roman" w:hAnsi="Times New Roman" w:eastAsia="方正仿宋_GBK" w:cs="Times New Roman"/>
          <w:color w:val="auto"/>
          <w:sz w:val="31"/>
          <w:szCs w:val="31"/>
          <w:highlight w:val="none"/>
          <w:lang w:eastAsia="zh-CN"/>
        </w:rPr>
        <w:t>，单位缴纳职业年相应</w:t>
      </w:r>
      <w:r>
        <w:rPr>
          <w:rFonts w:hint="eastAsia" w:eastAsia="方正仿宋_GBK" w:cs="Times New Roman"/>
          <w:color w:val="auto"/>
          <w:sz w:val="31"/>
          <w:szCs w:val="31"/>
          <w:highlight w:val="none"/>
          <w:lang w:val="en-US" w:eastAsia="zh-CN"/>
        </w:rPr>
        <w:t>增加</w:t>
      </w:r>
      <w:r>
        <w:rPr>
          <w:rFonts w:hint="eastAsia" w:eastAsia="仿宋_GB2312" w:cs="Times New Roman"/>
          <w:color w:val="auto"/>
          <w:kern w:val="2"/>
          <w:sz w:val="32"/>
          <w:szCs w:val="32"/>
          <w:highlight w:val="none"/>
          <w:lang w:val="zh-CN" w:eastAsia="zh-CN" w:bidi="ar-SA"/>
        </w:rPr>
        <w:t>。</w:t>
      </w:r>
    </w:p>
    <w:p w14:paraId="260F6E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10.社会保障和就业支出（类）就业补助（款）公益性岗位补贴（项）:支出决算数为22.80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减少0.03万元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降低0.13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方正仿宋_GBK" w:cs="Times New Roman"/>
          <w:color w:val="auto"/>
          <w:sz w:val="31"/>
          <w:szCs w:val="31"/>
          <w:highlight w:val="none"/>
          <w:lang w:val="en-US" w:eastAsia="zh-CN"/>
        </w:rPr>
        <w:t>公益性岗位人员比上年减少一人，相应支出减少</w:t>
      </w:r>
      <w:r>
        <w:rPr>
          <w:rFonts w:hint="eastAsia" w:eastAsia="仿宋_GB2312" w:cs="Times New Roman"/>
          <w:color w:val="auto"/>
          <w:kern w:val="2"/>
          <w:sz w:val="32"/>
          <w:szCs w:val="32"/>
          <w:highlight w:val="none"/>
          <w:lang w:val="zh-CN" w:eastAsia="zh-CN" w:bidi="ar-SA"/>
        </w:rPr>
        <w:t>。</w:t>
      </w:r>
    </w:p>
    <w:p w14:paraId="7FEE2B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.卫生健康支出（类）公共卫生（款）突发公共卫生事件应急处理（项）:支出决算数为6009.88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增加5282.49万元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增长726.23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本年度增拨疫情餐费5282.49万元，用于支付</w:t>
      </w:r>
      <w:r>
        <w:rPr>
          <w:rFonts w:hint="default" w:ascii="Times New Roman" w:hAnsi="Times New Roman" w:eastAsia="方正仿宋_GBK" w:cs="Times New Roman"/>
          <w:color w:val="auto"/>
          <w:sz w:val="31"/>
          <w:szCs w:val="31"/>
          <w:highlight w:val="none"/>
          <w:lang w:val="en-US" w:eastAsia="zh-CN"/>
        </w:rPr>
        <w:t>疫情期间供餐企业提供的留置人员的</w:t>
      </w:r>
      <w:r>
        <w:rPr>
          <w:rFonts w:hint="eastAsia" w:eastAsia="方正仿宋_GBK" w:cs="Times New Roman"/>
          <w:color w:val="auto"/>
          <w:sz w:val="31"/>
          <w:szCs w:val="31"/>
          <w:highlight w:val="none"/>
          <w:lang w:val="en-US" w:eastAsia="zh-CN"/>
        </w:rPr>
        <w:t>餐费</w:t>
      </w:r>
      <w:r>
        <w:rPr>
          <w:rFonts w:hint="eastAsia" w:eastAsia="仿宋_GB2312" w:cs="Times New Roman"/>
          <w:color w:val="auto"/>
          <w:kern w:val="2"/>
          <w:sz w:val="32"/>
          <w:szCs w:val="32"/>
          <w:highlight w:val="none"/>
          <w:lang w:val="zh-CN" w:eastAsia="zh-CN" w:bidi="ar-SA"/>
        </w:rPr>
        <w:t>。</w:t>
      </w:r>
    </w:p>
    <w:p w14:paraId="4168EA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2.卫生健康支出（类）行政事业单位医疗（款）行政单位医疗（项）:支出决算数为220.88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增加11.98万元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增长5.73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本年度新增12名干部职工，社保基数上调，相应的支出增加</w:t>
      </w:r>
      <w:r>
        <w:rPr>
          <w:rFonts w:hint="eastAsia" w:eastAsia="仿宋_GB2312" w:cs="Times New Roman"/>
          <w:color w:val="auto"/>
          <w:kern w:val="2"/>
          <w:sz w:val="32"/>
          <w:szCs w:val="32"/>
          <w:highlight w:val="none"/>
          <w:lang w:val="zh-CN" w:eastAsia="zh-CN" w:bidi="ar-SA"/>
        </w:rPr>
        <w:t>。</w:t>
      </w:r>
    </w:p>
    <w:p w14:paraId="616D57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.卫生健康支出（类）行政事业单位医疗（款）公务员医疗补助（项）:支出决算数为42.24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减少20.75万元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降低32.94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202</w:t>
      </w:r>
      <w:r>
        <w:rPr>
          <w:rFonts w:hint="eastAsia"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年单位退休</w:t>
      </w:r>
      <w:r>
        <w:rPr>
          <w:rFonts w:hint="eastAsia" w:ascii="Times New Roman" w:hAnsi="Times New Roman" w:eastAsia="仿宋_GB2312" w:cs="Times New Roman"/>
          <w:color w:val="auto"/>
          <w:kern w:val="2"/>
          <w:sz w:val="32"/>
          <w:szCs w:val="32"/>
          <w:highlight w:val="none"/>
          <w:lang w:val="en-US" w:eastAsia="zh-CN" w:bidi="ar-SA"/>
        </w:rPr>
        <w:t>人员医保退库</w:t>
      </w:r>
      <w:r>
        <w:rPr>
          <w:rFonts w:hint="eastAsia" w:ascii="Times New Roman" w:hAnsi="Times New Roman" w:eastAsia="仿宋_GB2312" w:cs="Times New Roman"/>
          <w:color w:val="auto"/>
          <w:kern w:val="2"/>
          <w:sz w:val="32"/>
          <w:szCs w:val="32"/>
          <w:highlight w:val="none"/>
          <w:lang w:val="zh-CN" w:eastAsia="zh-CN" w:bidi="ar-SA"/>
        </w:rPr>
        <w:t>。</w:t>
      </w:r>
    </w:p>
    <w:p w14:paraId="13F5BD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.住</w:t>
      </w:r>
      <w:bookmarkStart w:id="48" w:name="_GoBack"/>
      <w:bookmarkEnd w:id="48"/>
      <w:r>
        <w:rPr>
          <w:rFonts w:hint="eastAsia" w:ascii="Times New Roman" w:hAnsi="Times New Roman" w:eastAsia="仿宋_GB2312" w:cs="Times New Roman"/>
          <w:color w:val="auto"/>
          <w:kern w:val="2"/>
          <w:sz w:val="32"/>
          <w:szCs w:val="32"/>
          <w:highlight w:val="none"/>
          <w:lang w:val="en-US" w:eastAsia="zh-CN" w:bidi="ar-SA"/>
        </w:rPr>
        <w:t>房保障支出（类）住房改革支出（款）住房公积金（项）:支出决算数为199.65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增加15.51万元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增长8.42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sz w:val="31"/>
          <w:szCs w:val="31"/>
          <w:highlight w:val="none"/>
        </w:rPr>
        <w:t>本年新</w:t>
      </w:r>
      <w:r>
        <w:rPr>
          <w:rFonts w:hint="eastAsia" w:eastAsia="方正仿宋_GBK" w:cs="Times New Roman"/>
          <w:color w:val="auto"/>
          <w:sz w:val="31"/>
          <w:szCs w:val="31"/>
          <w:highlight w:val="none"/>
          <w:lang w:val="en-US" w:eastAsia="zh-CN"/>
        </w:rPr>
        <w:t>增干部12名</w:t>
      </w:r>
      <w:r>
        <w:rPr>
          <w:rFonts w:hint="eastAsia" w:eastAsia="仿宋_GB2312" w:cs="Times New Roman"/>
          <w:color w:val="auto"/>
          <w:kern w:val="2"/>
          <w:sz w:val="32"/>
          <w:szCs w:val="32"/>
          <w:highlight w:val="none"/>
          <w:lang w:val="en-US" w:eastAsia="zh-CN" w:bidi="ar-SA"/>
        </w:rPr>
        <w:t>，相应支出增加</w:t>
      </w:r>
      <w:r>
        <w:rPr>
          <w:rFonts w:hint="eastAsia" w:eastAsia="仿宋_GB2312" w:cs="Times New Roman"/>
          <w:color w:val="auto"/>
          <w:kern w:val="2"/>
          <w:sz w:val="32"/>
          <w:szCs w:val="32"/>
          <w:highlight w:val="none"/>
          <w:lang w:val="zh-CN" w:eastAsia="zh-CN" w:bidi="ar-SA"/>
        </w:rPr>
        <w:t>。</w:t>
      </w:r>
    </w:p>
    <w:p w14:paraId="5A1FCC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159CC8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3276.97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3042.48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生活补助、医疗费补助。</w:t>
      </w:r>
    </w:p>
    <w:p w14:paraId="212A95C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234.50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办公费、水费、电费、邮电费、取暖费、差旅费、培训费、劳务费、委托业务费、工会经费、公务用车运行维护费、其他交通费用、其他商品和服务支出、办公设备购置</w:t>
      </w:r>
      <w:r>
        <w:rPr>
          <w:rFonts w:hint="eastAsia" w:ascii="仿宋_GB2312" w:eastAsia="仿宋_GB2312"/>
          <w:color w:val="auto"/>
          <w:sz w:val="32"/>
          <w:szCs w:val="32"/>
          <w:highlight w:val="none"/>
          <w:lang w:eastAsia="zh-CN"/>
        </w:rPr>
        <w:t>。</w:t>
      </w:r>
    </w:p>
    <w:p w14:paraId="493E5F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AD3104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“三公”经费支出3.20万元，</w:t>
      </w:r>
      <w:r>
        <w:rPr>
          <w:rFonts w:hint="eastAsia" w:ascii="仿宋_GB2312" w:eastAsia="仿宋_GB2312"/>
          <w:color w:val="auto"/>
          <w:sz w:val="32"/>
          <w:szCs w:val="32"/>
          <w:highlight w:val="none"/>
          <w:lang w:val="en-US" w:eastAsia="zh-CN"/>
        </w:rPr>
        <w:t>比上年减少1.60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降低33.33%,</w:t>
      </w:r>
      <w:r>
        <w:rPr>
          <w:rFonts w:hint="eastAsia" w:ascii="仿宋_GB2312" w:eastAsia="仿宋_GB2312"/>
          <w:color w:val="auto"/>
          <w:sz w:val="32"/>
          <w:szCs w:val="32"/>
          <w:highlight w:val="none"/>
          <w:lang w:val="zh-CN" w:eastAsia="zh-CN"/>
        </w:rPr>
        <w:t>主要原因是：</w:t>
      </w:r>
      <w:r>
        <w:rPr>
          <w:rFonts w:hint="default" w:ascii="Times New Roman" w:hAnsi="Times New Roman" w:eastAsia="方正仿宋_GBK" w:cs="Times New Roman"/>
          <w:color w:val="auto"/>
          <w:sz w:val="31"/>
          <w:szCs w:val="31"/>
          <w:highlight w:val="none"/>
          <w:lang w:eastAsia="zh-CN"/>
        </w:rPr>
        <w:t>严格落实内控，细化支出，精简开支</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default" w:ascii="Times New Roman" w:hAnsi="Times New Roman" w:eastAsia="方正仿宋_GBK" w:cs="Times New Roman"/>
          <w:color w:val="auto"/>
          <w:sz w:val="31"/>
          <w:szCs w:val="31"/>
          <w:lang w:val="en-US" w:eastAsia="zh-CN"/>
        </w:rPr>
        <w:t>本年</w:t>
      </w:r>
      <w:r>
        <w:rPr>
          <w:rFonts w:hint="eastAsia" w:ascii="Times New Roman" w:hAnsi="Times New Roman" w:eastAsia="方正仿宋_GBK" w:cs="Times New Roman"/>
          <w:color w:val="auto"/>
          <w:sz w:val="31"/>
          <w:szCs w:val="31"/>
          <w:lang w:val="en-US" w:eastAsia="zh-CN"/>
        </w:rPr>
        <w:t>我单位</w:t>
      </w:r>
      <w:r>
        <w:rPr>
          <w:rFonts w:hint="default" w:ascii="Times New Roman" w:hAnsi="Times New Roman" w:eastAsia="方正仿宋_GBK" w:cs="Times New Roman"/>
          <w:color w:val="auto"/>
          <w:sz w:val="31"/>
          <w:szCs w:val="31"/>
          <w:lang w:val="en-US" w:eastAsia="zh-CN"/>
        </w:rPr>
        <w:t>无因公出国（境）费支出，与上年相比无变动</w:t>
      </w:r>
      <w:r>
        <w:rPr>
          <w:rFonts w:hint="eastAsia" w:ascii="仿宋_GB2312" w:eastAsia="仿宋_GB2312"/>
          <w:color w:val="auto"/>
          <w:sz w:val="32"/>
          <w:szCs w:val="32"/>
          <w:highlight w:val="none"/>
          <w:lang w:val="zh-CN" w:eastAsia="zh-CN"/>
        </w:rPr>
        <w:t>；公务用车购置及运行维护费支出3.20万元，占100.00%，比上年</w:t>
      </w:r>
      <w:r>
        <w:rPr>
          <w:rFonts w:hint="eastAsia" w:ascii="仿宋_GB2312" w:eastAsia="仿宋_GB2312"/>
          <w:color w:val="auto"/>
          <w:sz w:val="32"/>
          <w:szCs w:val="32"/>
          <w:highlight w:val="none"/>
          <w:lang w:val="en-US" w:eastAsia="zh-CN"/>
        </w:rPr>
        <w:t>减少1.60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降低33.33%,</w:t>
      </w:r>
      <w:r>
        <w:rPr>
          <w:rFonts w:hint="eastAsia" w:ascii="仿宋_GB2312" w:eastAsia="仿宋_GB2312"/>
          <w:color w:val="auto"/>
          <w:sz w:val="32"/>
          <w:szCs w:val="32"/>
          <w:highlight w:val="none"/>
          <w:lang w:val="zh-CN" w:eastAsia="zh-CN"/>
        </w:rPr>
        <w:t>主要原因是：</w:t>
      </w:r>
      <w:r>
        <w:rPr>
          <w:rFonts w:hint="default" w:ascii="Times New Roman" w:hAnsi="Times New Roman" w:eastAsia="方正仿宋_GBK" w:cs="Times New Roman"/>
          <w:color w:val="auto"/>
          <w:sz w:val="31"/>
          <w:szCs w:val="31"/>
          <w:highlight w:val="none"/>
          <w:lang w:eastAsia="zh-CN"/>
        </w:rPr>
        <w:t>严格落实内控，细化支出，精简开支</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lang w:val="en-US" w:eastAsia="zh-CN"/>
        </w:rPr>
        <w:t>我单位无公务接待支出，与上年相比无变动</w:t>
      </w:r>
      <w:r>
        <w:rPr>
          <w:rFonts w:hint="eastAsia" w:ascii="仿宋_GB2312" w:eastAsia="仿宋_GB2312"/>
          <w:color w:val="auto"/>
          <w:sz w:val="32"/>
          <w:szCs w:val="32"/>
          <w:highlight w:val="none"/>
          <w:lang w:val="zh-CN" w:eastAsia="zh-CN"/>
        </w:rPr>
        <w:t>。</w:t>
      </w:r>
    </w:p>
    <w:p w14:paraId="3EC23AE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10D482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default" w:ascii="Times New Roman" w:hAnsi="Times New Roman" w:eastAsia="方正仿宋_GBK" w:cs="Times New Roman"/>
          <w:color w:val="auto"/>
          <w:sz w:val="31"/>
          <w:szCs w:val="31"/>
          <w:lang w:val="en-US" w:eastAsia="zh-CN"/>
        </w:rPr>
        <w:t>单位无此项支出</w:t>
      </w:r>
      <w:r>
        <w:rPr>
          <w:rFonts w:hint="eastAsia" w:ascii="仿宋_GB2312" w:eastAsia="仿宋_GB2312"/>
          <w:color w:val="auto"/>
          <w:sz w:val="32"/>
          <w:szCs w:val="32"/>
          <w:highlight w:val="none"/>
          <w:lang w:val="zh-CN" w:eastAsia="zh-CN"/>
        </w:rPr>
        <w:t>。单位全年安排的因公出国（境）团组0个，因公出国（境）0人次。</w:t>
      </w:r>
    </w:p>
    <w:p w14:paraId="65B5011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公务用车购置及运行维护费3.20万元，其中：公务用车购置费0.00万元，公务用车运行维护费3.20万元。公务用车运行维护费开支内容包括</w:t>
      </w:r>
      <w:r>
        <w:rPr>
          <w:rFonts w:hint="default" w:ascii="Times New Roman" w:hAnsi="Times New Roman" w:eastAsia="方正仿宋_GBK" w:cs="Times New Roman"/>
          <w:color w:val="auto"/>
          <w:sz w:val="31"/>
          <w:szCs w:val="31"/>
          <w:lang w:val="en-US" w:eastAsia="zh-CN"/>
        </w:rPr>
        <w:t>车辆保险、油料、维修</w:t>
      </w:r>
      <w:r>
        <w:rPr>
          <w:rFonts w:hint="eastAsia" w:ascii="仿宋_GB2312" w:eastAsia="仿宋_GB2312"/>
          <w:color w:val="auto"/>
          <w:sz w:val="32"/>
          <w:szCs w:val="32"/>
          <w:highlight w:val="none"/>
          <w:lang w:val="zh-CN" w:eastAsia="zh-CN"/>
        </w:rPr>
        <w:t>。公务用车购置数0辆，公务用车保有量20辆。国有资产占用情况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75C54C3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default" w:ascii="Times New Roman" w:hAnsi="Times New Roman" w:eastAsia="方正仿宋_GBK" w:cs="Times New Roman"/>
          <w:color w:val="auto"/>
          <w:sz w:val="31"/>
          <w:szCs w:val="31"/>
          <w:lang w:val="en-US" w:eastAsia="zh-CN"/>
        </w:rPr>
        <w:t>单位无此项支出</w:t>
      </w:r>
      <w:r>
        <w:rPr>
          <w:rFonts w:hint="eastAsia" w:ascii="仿宋_GB2312" w:eastAsia="仿宋_GB2312"/>
          <w:color w:val="auto"/>
          <w:sz w:val="32"/>
          <w:szCs w:val="32"/>
          <w:highlight w:val="none"/>
          <w:lang w:val="zh-CN" w:eastAsia="zh-CN"/>
        </w:rPr>
        <w:t>。单位全年安排的国内公务接待0批次，0人次。</w:t>
      </w:r>
    </w:p>
    <w:p w14:paraId="428325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预算数3.20万元，决算数3.20万元，预决算差异率0.00%，主要原因是：</w:t>
      </w:r>
      <w:r>
        <w:rPr>
          <w:rFonts w:hint="eastAsia" w:ascii="Times New Roman" w:hAnsi="Times New Roman" w:eastAsia="方正仿宋_GBK" w:cs="Times New Roman"/>
          <w:color w:val="auto"/>
          <w:sz w:val="31"/>
          <w:szCs w:val="31"/>
          <w:lang w:val="en-US" w:eastAsia="zh-CN"/>
        </w:rPr>
        <w:t>严格控制三公经费厉行节约，</w:t>
      </w:r>
      <w:r>
        <w:rPr>
          <w:rFonts w:hint="default" w:ascii="Times New Roman" w:hAnsi="Times New Roman" w:eastAsia="方正仿宋_GBK" w:cs="Times New Roman"/>
          <w:color w:val="auto"/>
          <w:sz w:val="31"/>
          <w:szCs w:val="31"/>
          <w:lang w:val="en-US" w:eastAsia="zh-CN"/>
        </w:rPr>
        <w:t>预决算</w:t>
      </w:r>
      <w:r>
        <w:rPr>
          <w:rFonts w:hint="eastAsia" w:ascii="Times New Roman" w:hAnsi="Times New Roman" w:eastAsia="方正仿宋_GBK" w:cs="Times New Roman"/>
          <w:color w:val="auto"/>
          <w:sz w:val="31"/>
          <w:szCs w:val="31"/>
          <w:lang w:val="en-US" w:eastAsia="zh-CN"/>
        </w:rPr>
        <w:t>无</w:t>
      </w:r>
      <w:r>
        <w:rPr>
          <w:rFonts w:hint="default" w:ascii="Times New Roman" w:hAnsi="Times New Roman" w:eastAsia="方正仿宋_GBK" w:cs="Times New Roman"/>
          <w:color w:val="auto"/>
          <w:sz w:val="31"/>
          <w:szCs w:val="31"/>
          <w:lang w:val="en-US" w:eastAsia="zh-CN"/>
        </w:rPr>
        <w:t>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default" w:ascii="Times New Roman" w:hAnsi="Times New Roman" w:eastAsia="方正仿宋_GBK" w:cs="Times New Roman"/>
          <w:color w:val="auto"/>
          <w:sz w:val="31"/>
          <w:szCs w:val="31"/>
          <w:lang w:val="en-US" w:eastAsia="zh-CN"/>
        </w:rPr>
        <w:t>本年</w:t>
      </w:r>
      <w:r>
        <w:rPr>
          <w:rFonts w:hint="eastAsia" w:ascii="Times New Roman" w:hAnsi="Times New Roman" w:eastAsia="方正仿宋_GBK" w:cs="Times New Roman"/>
          <w:color w:val="auto"/>
          <w:sz w:val="31"/>
          <w:szCs w:val="31"/>
          <w:lang w:val="en-US" w:eastAsia="zh-CN"/>
        </w:rPr>
        <w:t>我单位</w:t>
      </w:r>
      <w:r>
        <w:rPr>
          <w:rFonts w:hint="default" w:ascii="Times New Roman" w:hAnsi="Times New Roman" w:eastAsia="方正仿宋_GBK" w:cs="Times New Roman"/>
          <w:color w:val="auto"/>
          <w:sz w:val="31"/>
          <w:szCs w:val="31"/>
          <w:lang w:val="en-US" w:eastAsia="zh-CN"/>
        </w:rPr>
        <w:t>无因公出国（境）费支出，预决算无差异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方正仿宋_GBK" w:hAnsi="方正仿宋_GBK" w:eastAsia="方正仿宋_GBK" w:cs="方正仿宋_GBK"/>
          <w:sz w:val="31"/>
          <w:szCs w:val="31"/>
          <w:lang w:eastAsia="zh-CN"/>
        </w:rPr>
        <w:t>本年度未安排公务用车购置费，</w:t>
      </w:r>
      <w:r>
        <w:rPr>
          <w:rFonts w:hint="default" w:ascii="方正仿宋_GBK" w:hAnsi="方正仿宋_GBK" w:eastAsia="方正仿宋_GBK" w:cs="方正仿宋_GBK"/>
          <w:sz w:val="31"/>
          <w:szCs w:val="31"/>
          <w:lang w:val="en-US" w:eastAsia="zh-CN"/>
        </w:rPr>
        <w:t>预决算</w:t>
      </w:r>
      <w:r>
        <w:rPr>
          <w:rFonts w:hint="eastAsia" w:ascii="方正仿宋_GBK" w:hAnsi="方正仿宋_GBK" w:eastAsia="方正仿宋_GBK" w:cs="方正仿宋_GBK"/>
          <w:sz w:val="31"/>
          <w:szCs w:val="31"/>
          <w:lang w:val="en-US" w:eastAsia="zh-CN"/>
        </w:rPr>
        <w:t>无</w:t>
      </w:r>
      <w:r>
        <w:rPr>
          <w:rFonts w:hint="default" w:ascii="方正仿宋_GBK" w:hAnsi="方正仿宋_GBK" w:eastAsia="方正仿宋_GBK" w:cs="方正仿宋_GBK"/>
          <w:sz w:val="31"/>
          <w:szCs w:val="31"/>
          <w:lang w:val="en-US" w:eastAsia="zh-CN"/>
        </w:rPr>
        <w:t>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预算数3.20万元，决算数3.20万元，预决算差异率0.00%，主要原因是：</w:t>
      </w:r>
      <w:r>
        <w:rPr>
          <w:rFonts w:hint="eastAsia" w:ascii="Times New Roman" w:hAnsi="Times New Roman" w:eastAsia="方正仿宋_GBK" w:cs="Times New Roman"/>
          <w:color w:val="auto"/>
          <w:sz w:val="31"/>
          <w:szCs w:val="31"/>
          <w:lang w:val="en-US" w:eastAsia="zh-CN"/>
        </w:rPr>
        <w:t>严格控制三公经费厉行节约，</w:t>
      </w:r>
      <w:r>
        <w:rPr>
          <w:rFonts w:hint="default" w:ascii="Times New Roman" w:hAnsi="Times New Roman" w:eastAsia="方正仿宋_GBK" w:cs="Times New Roman"/>
          <w:color w:val="auto"/>
          <w:sz w:val="31"/>
          <w:szCs w:val="31"/>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方正仿宋_GBK" w:cs="Times New Roman"/>
          <w:color w:val="auto"/>
          <w:sz w:val="31"/>
          <w:szCs w:val="31"/>
          <w:lang w:val="en-US" w:eastAsia="zh-CN"/>
        </w:rPr>
        <w:t>我单位无公务接待支出，</w:t>
      </w:r>
      <w:r>
        <w:rPr>
          <w:rFonts w:hint="default" w:ascii="Times New Roman" w:hAnsi="Times New Roman" w:eastAsia="方正仿宋_GBK" w:cs="Times New Roman"/>
          <w:color w:val="auto"/>
          <w:sz w:val="31"/>
          <w:szCs w:val="31"/>
          <w:lang w:val="en-US" w:eastAsia="zh-CN"/>
        </w:rPr>
        <w:t>预决算</w:t>
      </w:r>
      <w:r>
        <w:rPr>
          <w:rFonts w:hint="eastAsia" w:ascii="Times New Roman" w:hAnsi="Times New Roman" w:eastAsia="方正仿宋_GBK" w:cs="Times New Roman"/>
          <w:color w:val="auto"/>
          <w:sz w:val="31"/>
          <w:szCs w:val="31"/>
          <w:lang w:val="en-US" w:eastAsia="zh-CN"/>
        </w:rPr>
        <w:t>无</w:t>
      </w:r>
      <w:r>
        <w:rPr>
          <w:rFonts w:hint="default" w:ascii="Times New Roman" w:hAnsi="Times New Roman" w:eastAsia="方正仿宋_GBK" w:cs="Times New Roman"/>
          <w:color w:val="auto"/>
          <w:sz w:val="31"/>
          <w:szCs w:val="31"/>
          <w:lang w:val="en-US" w:eastAsia="zh-CN"/>
        </w:rPr>
        <w:t>差异</w:t>
      </w:r>
      <w:r>
        <w:rPr>
          <w:rFonts w:hint="eastAsia" w:ascii="仿宋_GB2312" w:eastAsia="仿宋_GB2312"/>
          <w:color w:val="auto"/>
          <w:sz w:val="32"/>
          <w:szCs w:val="32"/>
          <w:highlight w:val="none"/>
          <w:lang w:val="zh-CN" w:eastAsia="zh-CN"/>
        </w:rPr>
        <w:t>。</w:t>
      </w:r>
    </w:p>
    <w:p w14:paraId="060E5C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2A37C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8B89E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9F756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9A3DD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57932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1A317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库尔勒市市场监督管理局（行政单位和参照公务员法管理事业单位）机关运行经费支出234.50万元，</w:t>
      </w:r>
      <w:r>
        <w:rPr>
          <w:rFonts w:hint="eastAsia" w:ascii="Times New Roman" w:hAnsi="Times New Roman" w:eastAsia="仿宋_GB2312" w:cs="Times New Roman"/>
          <w:color w:val="auto"/>
          <w:sz w:val="32"/>
          <w:szCs w:val="32"/>
          <w:highlight w:val="none"/>
          <w:lang w:val="zh-CN" w:eastAsia="zh-CN"/>
        </w:rPr>
        <w:t>比上年增加</w:t>
      </w:r>
      <w:r>
        <w:rPr>
          <w:rFonts w:hint="eastAsia" w:eastAsia="仿宋_GB2312" w:cs="Times New Roman"/>
          <w:color w:val="auto"/>
          <w:sz w:val="32"/>
          <w:szCs w:val="32"/>
          <w:highlight w:val="none"/>
          <w:lang w:val="en-US" w:eastAsia="zh-CN"/>
        </w:rPr>
        <w:t>156.22</w:t>
      </w:r>
      <w:r>
        <w:rPr>
          <w:rFonts w:hint="eastAsia" w:ascii="Times New Roman" w:hAnsi="Times New Roman" w:eastAsia="仿宋_GB2312" w:cs="Times New Roman"/>
          <w:color w:val="auto"/>
          <w:sz w:val="32"/>
          <w:szCs w:val="32"/>
          <w:highlight w:val="none"/>
          <w:lang w:val="zh-CN" w:eastAsia="zh-CN"/>
        </w:rPr>
        <w:t>万元，增长</w:t>
      </w:r>
      <w:r>
        <w:rPr>
          <w:rFonts w:hint="eastAsia" w:eastAsia="仿宋_GB2312" w:cs="Times New Roman"/>
          <w:color w:val="auto"/>
          <w:sz w:val="32"/>
          <w:szCs w:val="32"/>
          <w:highlight w:val="none"/>
          <w:lang w:val="en-US" w:eastAsia="zh-CN"/>
        </w:rPr>
        <w:t>199.57</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hAnsi="Times New Roman" w:eastAsia="仿宋_GB2312" w:cs="Times New Roman"/>
          <w:spacing w:val="0"/>
          <w:sz w:val="32"/>
          <w:szCs w:val="32"/>
          <w:highlight w:val="none"/>
          <w:lang w:eastAsia="zh-CN"/>
        </w:rPr>
        <w:t>2023年人员新增</w:t>
      </w:r>
      <w:r>
        <w:rPr>
          <w:rFonts w:hint="eastAsia" w:ascii="仿宋_GB2312" w:hAnsi="Times New Roman" w:eastAsia="仿宋_GB2312" w:cs="Times New Roman"/>
          <w:spacing w:val="0"/>
          <w:sz w:val="32"/>
          <w:szCs w:val="32"/>
          <w:highlight w:val="none"/>
          <w:lang w:val="en-US" w:eastAsia="zh-CN"/>
        </w:rPr>
        <w:t>12</w:t>
      </w:r>
      <w:r>
        <w:rPr>
          <w:rFonts w:hint="eastAsia" w:ascii="仿宋_GB2312" w:hAnsi="Times New Roman" w:eastAsia="仿宋_GB2312" w:cs="Times New Roman"/>
          <w:spacing w:val="0"/>
          <w:sz w:val="32"/>
          <w:szCs w:val="32"/>
          <w:highlight w:val="none"/>
          <w:lang w:eastAsia="zh-CN"/>
        </w:rPr>
        <w:t>人以及工资、社保、医保、住房公积金普调，造成本年增幅较大</w:t>
      </w:r>
      <w:r>
        <w:rPr>
          <w:rFonts w:hint="eastAsia" w:ascii="Times New Roman" w:hAnsi="Times New Roman" w:eastAsia="仿宋_GB2312" w:cs="Times New Roman"/>
          <w:color w:val="auto"/>
          <w:sz w:val="32"/>
          <w:szCs w:val="32"/>
          <w:highlight w:val="none"/>
          <w:lang w:val="en-US" w:eastAsia="zh-CN"/>
        </w:rPr>
        <w:t>。</w:t>
      </w:r>
    </w:p>
    <w:p w14:paraId="02C13A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1C74F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321.21万元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其中：政府采购货物支出177.79万元、政府采购工程支出29.88万元、政府采购服务支出113.55万元。</w:t>
      </w:r>
    </w:p>
    <w:p w14:paraId="4D78DC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授予中小企业合同金额253.14万元，占政府采购支出总额的78.81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，其中：授予小微企业合同金额183.52万元，占政府采购支出总额的57.14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1ED8D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3D3A9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2950.21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屋18508.23平方米，价值1903.70万元。车辆20辆，价值390.34万元，其中：副部（省）级及以上领导用车0辆、主要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用车0辆、机要通信用车0辆、应急保障用车0辆、执法执勤用车16辆、特种专业技术用车0辆、离退休干部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w:t>
      </w:r>
      <w:r>
        <w:rPr>
          <w:rFonts w:hint="eastAsia" w:ascii="Times New Roman" w:hAnsi="Times New Roman" w:eastAsia="方正仿宋_GBK" w:cs="Times New Roman"/>
          <w:color w:val="auto"/>
          <w:sz w:val="31"/>
          <w:szCs w:val="31"/>
          <w:lang w:val="en-US" w:eastAsia="zh-CN"/>
        </w:rPr>
        <w:t>本单位一般公务用车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8D027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BE3D06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 w:hAnsi="仿宋" w:eastAsia="仿宋" w:cs="仿宋"/>
          <w:color w:val="auto"/>
          <w:kern w:val="2"/>
          <w:sz w:val="32"/>
          <w:szCs w:val="32"/>
          <w:highlight w:val="none"/>
          <w:lang w:val="en-US" w:eastAsia="zh-CN" w:bidi="ar-SA"/>
        </w:rPr>
        <w:t>9471.82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 w:hAnsi="仿宋" w:eastAsia="仿宋" w:cs="仿宋"/>
          <w:color w:val="auto"/>
          <w:kern w:val="2"/>
          <w:sz w:val="32"/>
          <w:szCs w:val="32"/>
          <w:highlight w:val="none"/>
          <w:lang w:val="en-US" w:eastAsia="zh-CN" w:bidi="ar-SA"/>
        </w:rPr>
        <w:t>9471.82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 w:hAnsi="仿宋" w:eastAsia="仿宋" w:cs="仿宋"/>
          <w:color w:val="auto"/>
          <w:kern w:val="2"/>
          <w:sz w:val="32"/>
          <w:szCs w:val="32"/>
          <w:highlight w:val="none"/>
          <w:lang w:val="en-US" w:eastAsia="zh-CN"/>
        </w:rPr>
        <w:t>6141.76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 w:hAnsi="仿宋" w:eastAsia="仿宋" w:cs="仿宋"/>
          <w:color w:val="auto"/>
          <w:kern w:val="2"/>
          <w:sz w:val="32"/>
          <w:szCs w:val="32"/>
          <w:highlight w:val="none"/>
          <w:lang w:val="en-US" w:eastAsia="zh-CN"/>
        </w:rPr>
        <w:t>6141.76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Times New Roman" w:hAnsi="Times New Roman" w:eastAsia="方正仿宋_GBK" w:cs="Times New Roman"/>
          <w:bCs/>
          <w:kern w:val="0"/>
          <w:sz w:val="31"/>
          <w:szCs w:val="31"/>
          <w:highlight w:val="none"/>
          <w:lang w:val="en-US" w:eastAsia="zh-CN" w:bidi="ar-SA"/>
        </w:rPr>
        <w:t>各项资金的有效使用，对</w:t>
      </w:r>
      <w:r>
        <w:rPr>
          <w:rFonts w:hint="eastAsia" w:eastAsia="方正仿宋_GBK" w:cs="Times New Roman"/>
          <w:bCs/>
          <w:kern w:val="0"/>
          <w:sz w:val="31"/>
          <w:szCs w:val="31"/>
          <w:highlight w:val="none"/>
          <w:lang w:val="en-US" w:eastAsia="zh-CN" w:bidi="ar-SA"/>
        </w:rPr>
        <w:t>本市的食品药品安全监管、市场的规范经营、</w:t>
      </w:r>
      <w:r>
        <w:rPr>
          <w:rStyle w:val="11"/>
          <w:rFonts w:hint="eastAsia" w:ascii="仿宋" w:hAnsi="仿宋" w:eastAsia="仿宋" w:cs="仿宋"/>
          <w:b w:val="0"/>
          <w:bCs/>
          <w:color w:val="auto"/>
          <w:spacing w:val="-4"/>
          <w:sz w:val="32"/>
          <w:szCs w:val="32"/>
          <w:highlight w:val="none"/>
          <w:lang w:val="en-US" w:eastAsia="zh-CN"/>
        </w:rPr>
        <w:t>各族群众身体健康</w:t>
      </w:r>
      <w:r>
        <w:rPr>
          <w:rFonts w:hint="eastAsia" w:ascii="Times New Roman" w:hAnsi="Times New Roman" w:eastAsia="方正仿宋_GBK" w:cs="Times New Roman"/>
          <w:bCs/>
          <w:kern w:val="0"/>
          <w:sz w:val="31"/>
          <w:szCs w:val="31"/>
          <w:highlight w:val="none"/>
          <w:lang w:val="en-US" w:eastAsia="zh-CN" w:bidi="ar-SA"/>
        </w:rPr>
        <w:t>起到了关键作用</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积极开展疫情期间企业供餐费用的支付工作，为企业增收，</w:t>
      </w:r>
      <w:r>
        <w:rPr>
          <w:rFonts w:hint="default" w:ascii="Times New Roman" w:hAnsi="Times New Roman" w:eastAsia="方正仿宋_GBK" w:cs="Times New Roman"/>
          <w:color w:val="auto"/>
          <w:sz w:val="31"/>
          <w:szCs w:val="31"/>
          <w:lang w:val="en-US" w:eastAsia="zh-CN"/>
        </w:rPr>
        <w:t>提升政府形象</w:t>
      </w:r>
      <w:r>
        <w:rPr>
          <w:rFonts w:hint="eastAsia" w:eastAsia="方正仿宋_GBK" w:cs="Times New Roman"/>
          <w:color w:val="auto"/>
          <w:sz w:val="31"/>
          <w:szCs w:val="31"/>
          <w:lang w:val="en-US" w:eastAsia="zh-CN"/>
        </w:rPr>
        <w:t>；三是</w:t>
      </w:r>
      <w:r>
        <w:rPr>
          <w:rStyle w:val="11"/>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w:t>
      </w:r>
      <w:r>
        <w:rPr>
          <w:rFonts w:hint="eastAsia" w:ascii="仿宋_GB2312" w:eastAsia="仿宋_GB2312"/>
          <w:color w:val="auto"/>
          <w:sz w:val="32"/>
          <w:szCs w:val="32"/>
          <w:highlight w:val="none"/>
          <w:lang w:eastAsia="zh-CN"/>
        </w:rPr>
        <w:t>发现的问题及原因：</w:t>
      </w:r>
      <w:r>
        <w:rPr>
          <w:rFonts w:hint="eastAsia" w:ascii="Times New Roman" w:hAnsi="Times New Roman" w:eastAsia="方正仿宋_GBK" w:cs="Times New Roman"/>
          <w:bCs/>
          <w:kern w:val="0"/>
          <w:sz w:val="31"/>
          <w:szCs w:val="31"/>
          <w:highlight w:val="none"/>
          <w:lang w:val="en-US" w:eastAsia="zh-CN" w:bidi="ar-SA"/>
        </w:rPr>
        <w:t>一是资金执行率存在加强与上升空间，需要有关部门加强工作效率，在重点工作的完成率和完成度上都需要进一步提升</w:t>
      </w:r>
      <w:r>
        <w:rPr>
          <w:rFonts w:hint="eastAsia" w:ascii="仿宋_GB2312" w:eastAsia="仿宋_GB2312"/>
          <w:color w:val="auto"/>
          <w:sz w:val="32"/>
          <w:szCs w:val="32"/>
          <w:highlight w:val="none"/>
          <w:lang w:eastAsia="zh-CN"/>
        </w:rPr>
        <w:t>；二是</w:t>
      </w:r>
      <w:r>
        <w:rPr>
          <w:rFonts w:hint="default" w:ascii="Times New Roman" w:hAnsi="Times New Roman" w:eastAsia="方正仿宋_GBK" w:cs="Times New Roman"/>
          <w:color w:val="auto"/>
          <w:sz w:val="31"/>
          <w:szCs w:val="31"/>
          <w:lang w:val="en-US" w:eastAsia="zh-CN"/>
        </w:rPr>
        <w:t>单位管理制度仍有漏洞，还需继续完善，对财务制度执行力有待加强</w:t>
      </w:r>
      <w:r>
        <w:rPr>
          <w:rFonts w:hint="eastAsia" w:ascii="仿宋_GB2312" w:eastAsia="仿宋_GB2312"/>
          <w:color w:val="auto"/>
          <w:sz w:val="32"/>
          <w:szCs w:val="32"/>
          <w:highlight w:val="none"/>
          <w:lang w:eastAsia="zh-CN"/>
        </w:rPr>
        <w:t>。下一步改进措施：一是</w:t>
      </w:r>
      <w:r>
        <w:rPr>
          <w:rFonts w:hint="eastAsia" w:ascii="Times New Roman" w:hAnsi="Times New Roman" w:eastAsia="方正仿宋_GBK" w:cs="Times New Roman"/>
          <w:bCs/>
          <w:kern w:val="0"/>
          <w:sz w:val="31"/>
          <w:szCs w:val="31"/>
          <w:highlight w:val="none"/>
          <w:lang w:val="en-US" w:eastAsia="zh-CN" w:bidi="ar-SA"/>
        </w:rPr>
        <w:t>细化预算编制工作，严格按照预算编制的相关制度和要求做好预算的编制，进一步加强预算管理意识</w:t>
      </w:r>
      <w:r>
        <w:rPr>
          <w:rFonts w:hint="eastAsia" w:eastAsia="方正仿宋_GBK" w:cs="Times New Roman"/>
          <w:bCs/>
          <w:kern w:val="0"/>
          <w:sz w:val="31"/>
          <w:szCs w:val="31"/>
          <w:highlight w:val="none"/>
          <w:lang w:val="en-US" w:eastAsia="zh-CN" w:bidi="ar-SA"/>
        </w:rPr>
        <w:t>，</w:t>
      </w:r>
      <w:r>
        <w:rPr>
          <w:rFonts w:hint="eastAsia" w:ascii="Times New Roman" w:hAnsi="Times New Roman" w:eastAsia="方正仿宋_GBK" w:cs="Times New Roman"/>
          <w:bCs/>
          <w:kern w:val="0"/>
          <w:sz w:val="31"/>
          <w:szCs w:val="31"/>
          <w:highlight w:val="none"/>
          <w:lang w:val="en-US" w:eastAsia="zh-CN" w:bidi="ar-SA"/>
        </w:rPr>
        <w:t>全面编制预算项目，优先保障固定的、相对刚性的费用支出项目，尽量压缩变动的、有控制空间的费用项目，进一步提高预算编制的科学性、严谨性和可控性；二是加强财务管理，严格财务审批</w:t>
      </w:r>
      <w:r>
        <w:rPr>
          <w:rFonts w:hint="eastAsia" w:eastAsia="方正仿宋_GBK" w:cs="Times New Roman"/>
          <w:bCs/>
          <w:kern w:val="0"/>
          <w:sz w:val="31"/>
          <w:szCs w:val="31"/>
          <w:highlight w:val="none"/>
          <w:lang w:val="en-US" w:eastAsia="zh-CN" w:bidi="ar-SA"/>
        </w:rPr>
        <w:t>，</w:t>
      </w:r>
      <w:r>
        <w:rPr>
          <w:rFonts w:hint="eastAsia" w:ascii="Times New Roman" w:hAnsi="Times New Roman" w:eastAsia="方正仿宋_GBK" w:cs="Times New Roman"/>
          <w:bCs/>
          <w:kern w:val="0"/>
          <w:sz w:val="31"/>
          <w:szCs w:val="31"/>
          <w:highlight w:val="none"/>
          <w:lang w:val="en-US" w:eastAsia="zh-CN" w:bidi="ar-SA"/>
        </w:rPr>
        <w:t>在费用保障支付时，按照预算规定的费用项目和用途进行资金使用、审核、列报支付，财务核算杜绝超预算支付的发生</w:t>
      </w:r>
      <w:r>
        <w:rPr>
          <w:rFonts w:hint="eastAsia" w:eastAsia="方正仿宋_GBK" w:cs="Times New Roman"/>
          <w:bCs/>
          <w:kern w:val="0"/>
          <w:sz w:val="31"/>
          <w:szCs w:val="31"/>
          <w:highlight w:val="none"/>
          <w:lang w:val="en-US" w:eastAsia="zh-CN" w:bidi="ar-SA"/>
        </w:rPr>
        <w:t>；</w:t>
      </w:r>
      <w:r>
        <w:rPr>
          <w:rFonts w:hint="eastAsia" w:ascii="Times New Roman" w:hAnsi="Times New Roman" w:eastAsia="方正仿宋_GBK" w:cs="Times New Roman"/>
          <w:bCs/>
          <w:kern w:val="0"/>
          <w:sz w:val="31"/>
          <w:szCs w:val="31"/>
          <w:highlight w:val="none"/>
          <w:lang w:val="en-US" w:eastAsia="zh-CN" w:bidi="ar-SA"/>
        </w:rPr>
        <w:t>三是加强项目实时监控，严格按照相关要求对相关项目的资金进行使用，确保资金专款专用及时有效</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7DEC16A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EABAA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14:paraId="71BB29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2CD1D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A502C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66846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0D59D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E7F5A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CA59F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2D3C8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12E392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343D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AC592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1973A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27903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1AF01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E31ED4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94C4C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EFF0E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74D640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184C6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FA38E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EE595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73413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24AFB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95397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8F11A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907D4F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39FC0B7">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4A6C140B">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73675" cy="5595620"/>
            <wp:effectExtent l="0" t="0" r="3175" b="5080"/>
            <wp:docPr id="2" name="图片 2" descr="94bd406c65abc1dd3fade18a3b56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4bd406c65abc1dd3fade18a3b56932"/>
                    <pic:cNvPicPr>
                      <a:picLocks noChangeAspect="1"/>
                    </pic:cNvPicPr>
                  </pic:nvPicPr>
                  <pic:blipFill>
                    <a:blip r:embed="rId5"/>
                    <a:stretch>
                      <a:fillRect/>
                    </a:stretch>
                  </pic:blipFill>
                  <pic:spPr>
                    <a:xfrm>
                      <a:off x="0" y="0"/>
                      <a:ext cx="5273675" cy="5595620"/>
                    </a:xfrm>
                    <a:prstGeom prst="rect">
                      <a:avLst/>
                    </a:prstGeom>
                  </pic:spPr>
                </pic:pic>
              </a:graphicData>
            </a:graphic>
          </wp:inline>
        </w:drawing>
      </w:r>
    </w:p>
    <w:p w14:paraId="6C895829">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0ED24E43">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73040" cy="4361180"/>
            <wp:effectExtent l="0" t="0" r="3810" b="1270"/>
            <wp:docPr id="6" name="图片 6" descr="1a5f18a7164ba36e751f9458dc99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a5f18a7164ba36e751f9458dc99ede"/>
                    <pic:cNvPicPr>
                      <a:picLocks noChangeAspect="1"/>
                    </pic:cNvPicPr>
                  </pic:nvPicPr>
                  <pic:blipFill>
                    <a:blip r:embed="rId6"/>
                    <a:stretch>
                      <a:fillRect/>
                    </a:stretch>
                  </pic:blipFill>
                  <pic:spPr>
                    <a:xfrm>
                      <a:off x="0" y="0"/>
                      <a:ext cx="5273040" cy="4361180"/>
                    </a:xfrm>
                    <a:prstGeom prst="rect">
                      <a:avLst/>
                    </a:prstGeom>
                  </pic:spPr>
                </pic:pic>
              </a:graphicData>
            </a:graphic>
          </wp:inline>
        </w:drawing>
      </w:r>
      <w:r>
        <w:rPr>
          <w:rFonts w:hint="eastAsia" w:ascii="黑体" w:hAnsi="黑体" w:eastAsia="黑体" w:cs="宋体"/>
          <w:bCs/>
          <w:color w:val="auto"/>
          <w:kern w:val="0"/>
          <w:sz w:val="32"/>
          <w:szCs w:val="32"/>
          <w:highlight w:val="none"/>
          <w:lang w:eastAsia="zh-CN"/>
        </w:rPr>
        <w:br w:type="page"/>
      </w:r>
    </w:p>
    <w:p w14:paraId="20C86E64">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71770" cy="5072380"/>
            <wp:effectExtent l="0" t="0" r="5080" b="13970"/>
            <wp:docPr id="7" name="图片 7" descr="a9b1cbbe412f07b08899e6ea8e9d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9b1cbbe412f07b08899e6ea8e9db0f"/>
                    <pic:cNvPicPr>
                      <a:picLocks noChangeAspect="1"/>
                    </pic:cNvPicPr>
                  </pic:nvPicPr>
                  <pic:blipFill>
                    <a:blip r:embed="rId7"/>
                    <a:stretch>
                      <a:fillRect/>
                    </a:stretch>
                  </pic:blipFill>
                  <pic:spPr>
                    <a:xfrm>
                      <a:off x="0" y="0"/>
                      <a:ext cx="5271770" cy="5072380"/>
                    </a:xfrm>
                    <a:prstGeom prst="rect">
                      <a:avLst/>
                    </a:prstGeom>
                  </pic:spPr>
                </pic:pic>
              </a:graphicData>
            </a:graphic>
          </wp:inline>
        </w:drawing>
      </w:r>
    </w:p>
    <w:p w14:paraId="65CEF825">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720A528E">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63515" cy="4353560"/>
            <wp:effectExtent l="0" t="0" r="13335" b="8890"/>
            <wp:docPr id="8" name="图片 8" descr="04bfd88ea6234f6a1a23ce01f153d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4bfd88ea6234f6a1a23ce01f153d88"/>
                    <pic:cNvPicPr>
                      <a:picLocks noChangeAspect="1"/>
                    </pic:cNvPicPr>
                  </pic:nvPicPr>
                  <pic:blipFill>
                    <a:blip r:embed="rId8"/>
                    <a:stretch>
                      <a:fillRect/>
                    </a:stretch>
                  </pic:blipFill>
                  <pic:spPr>
                    <a:xfrm>
                      <a:off x="0" y="0"/>
                      <a:ext cx="5263515" cy="4353560"/>
                    </a:xfrm>
                    <a:prstGeom prst="rect">
                      <a:avLst/>
                    </a:prstGeom>
                  </pic:spPr>
                </pic:pic>
              </a:graphicData>
            </a:graphic>
          </wp:inline>
        </w:drawing>
      </w:r>
      <w:r>
        <w:rPr>
          <w:rFonts w:hint="eastAsia" w:ascii="黑体" w:hAnsi="黑体" w:eastAsia="黑体" w:cs="宋体"/>
          <w:bCs/>
          <w:color w:val="auto"/>
          <w:kern w:val="0"/>
          <w:sz w:val="32"/>
          <w:szCs w:val="32"/>
          <w:highlight w:val="none"/>
          <w:lang w:eastAsia="zh-CN"/>
        </w:rPr>
        <w:br w:type="page"/>
      </w:r>
    </w:p>
    <w:p w14:paraId="030CACFD">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70500" cy="6426835"/>
            <wp:effectExtent l="0" t="0" r="6350" b="12065"/>
            <wp:docPr id="9" name="图片 9" descr="4949bca6946452331783d0af96e16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949bca6946452331783d0af96e16fa"/>
                    <pic:cNvPicPr>
                      <a:picLocks noChangeAspect="1"/>
                    </pic:cNvPicPr>
                  </pic:nvPicPr>
                  <pic:blipFill>
                    <a:blip r:embed="rId9"/>
                    <a:stretch>
                      <a:fillRect/>
                    </a:stretch>
                  </pic:blipFill>
                  <pic:spPr>
                    <a:xfrm>
                      <a:off x="0" y="0"/>
                      <a:ext cx="5270500" cy="6426835"/>
                    </a:xfrm>
                    <a:prstGeom prst="rect">
                      <a:avLst/>
                    </a:prstGeom>
                  </pic:spPr>
                </pic:pic>
              </a:graphicData>
            </a:graphic>
          </wp:inline>
        </w:drawing>
      </w:r>
    </w:p>
    <w:p w14:paraId="1A947104">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40500C26">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66690" cy="4832350"/>
            <wp:effectExtent l="0" t="0" r="10160" b="6350"/>
            <wp:docPr id="10" name="图片 10" descr="b1033c113a9074a746dfb7778de5f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b1033c113a9074a746dfb7778de5fc3"/>
                    <pic:cNvPicPr>
                      <a:picLocks noChangeAspect="1"/>
                    </pic:cNvPicPr>
                  </pic:nvPicPr>
                  <pic:blipFill>
                    <a:blip r:embed="rId10"/>
                    <a:stretch>
                      <a:fillRect/>
                    </a:stretch>
                  </pic:blipFill>
                  <pic:spPr>
                    <a:xfrm>
                      <a:off x="0" y="0"/>
                      <a:ext cx="5266690" cy="4832350"/>
                    </a:xfrm>
                    <a:prstGeom prst="rect">
                      <a:avLst/>
                    </a:prstGeom>
                  </pic:spPr>
                </pic:pic>
              </a:graphicData>
            </a:graphic>
          </wp:inline>
        </w:drawing>
      </w:r>
      <w:r>
        <w:rPr>
          <w:rFonts w:hint="eastAsia" w:ascii="黑体" w:hAnsi="黑体" w:eastAsia="黑体" w:cs="宋体"/>
          <w:bCs/>
          <w:color w:val="auto"/>
          <w:kern w:val="0"/>
          <w:sz w:val="32"/>
          <w:szCs w:val="32"/>
          <w:highlight w:val="none"/>
          <w:lang w:eastAsia="zh-CN"/>
        </w:rPr>
        <w:br w:type="page"/>
      </w:r>
    </w:p>
    <w:p w14:paraId="30C25318">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66055" cy="946150"/>
            <wp:effectExtent l="0" t="0" r="10795" b="6350"/>
            <wp:docPr id="11" name="图片 11" descr="8eca3705f1a5c2e4e5cb371e3fab5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8eca3705f1a5c2e4e5cb371e3fab5bf"/>
                    <pic:cNvPicPr>
                      <a:picLocks noChangeAspect="1"/>
                    </pic:cNvPicPr>
                  </pic:nvPicPr>
                  <pic:blipFill>
                    <a:blip r:embed="rId11"/>
                    <a:stretch>
                      <a:fillRect/>
                    </a:stretch>
                  </pic:blipFill>
                  <pic:spPr>
                    <a:xfrm>
                      <a:off x="0" y="0"/>
                      <a:ext cx="5266055" cy="946150"/>
                    </a:xfrm>
                    <a:prstGeom prst="rect">
                      <a:avLst/>
                    </a:prstGeom>
                  </pic:spPr>
                </pic:pic>
              </a:graphicData>
            </a:graphic>
          </wp:inline>
        </w:drawing>
      </w:r>
    </w:p>
    <w:p w14:paraId="4EB4BC75">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1E75753C">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64785" cy="1547495"/>
            <wp:effectExtent l="0" t="0" r="12065" b="14605"/>
            <wp:docPr id="12" name="图片 12" descr="73b969649b90238b1867209a9cd03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73b969649b90238b1867209a9cd03a6"/>
                    <pic:cNvPicPr>
                      <a:picLocks noChangeAspect="1"/>
                    </pic:cNvPicPr>
                  </pic:nvPicPr>
                  <pic:blipFill>
                    <a:blip r:embed="rId12"/>
                    <a:stretch>
                      <a:fillRect/>
                    </a:stretch>
                  </pic:blipFill>
                  <pic:spPr>
                    <a:xfrm>
                      <a:off x="0" y="0"/>
                      <a:ext cx="5264785" cy="1547495"/>
                    </a:xfrm>
                    <a:prstGeom prst="rect">
                      <a:avLst/>
                    </a:prstGeom>
                  </pic:spPr>
                </pic:pic>
              </a:graphicData>
            </a:graphic>
          </wp:inline>
        </w:drawing>
      </w:r>
    </w:p>
    <w:p w14:paraId="04071AC6">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14:paraId="3319CFEE">
      <w:pPr>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drawing>
          <wp:inline distT="0" distB="0" distL="114300" distR="114300">
            <wp:extent cx="5266690" cy="1633855"/>
            <wp:effectExtent l="0" t="0" r="10160" b="4445"/>
            <wp:docPr id="13" name="图片 13" descr="a61fad71d4f866d2b1017c5822d39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61fad71d4f866d2b1017c5822d39d8"/>
                    <pic:cNvPicPr>
                      <a:picLocks noChangeAspect="1"/>
                    </pic:cNvPicPr>
                  </pic:nvPicPr>
                  <pic:blipFill>
                    <a:blip r:embed="rId13"/>
                    <a:stretch>
                      <a:fillRect/>
                    </a:stretch>
                  </pic:blipFill>
                  <pic:spPr>
                    <a:xfrm>
                      <a:off x="0" y="0"/>
                      <a:ext cx="5266690" cy="1633855"/>
                    </a:xfrm>
                    <a:prstGeom prst="rect">
                      <a:avLst/>
                    </a:prstGeom>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5AB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86894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86894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ZTZmMjdmNjZhNTUxMzVkYjMwMGNhNjVlMDE4YTE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D3851"/>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AE628A"/>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690D2D"/>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824526"/>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DF730B"/>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CC0FA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57479B"/>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795B1C"/>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BF1747"/>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6664</Words>
  <Characters>7524</Characters>
  <Lines>0</Lines>
  <Paragraphs>0</Paragraphs>
  <TotalTime>10</TotalTime>
  <ScaleCrop>false</ScaleCrop>
  <LinksUpToDate>false</LinksUpToDate>
  <CharactersWithSpaces>7535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2024-08-23T03:20:34Z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