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olor w:val="auto"/>
          <w:sz w:val="32"/>
          <w:szCs w:val="32"/>
          <w:highlight w:val="none"/>
          <w:lang w:eastAsia="zh-CN"/>
        </w:rPr>
      </w:pPr>
    </w:p>
    <w:p>
      <w:pPr>
        <w:jc w:val="center"/>
        <w:rPr>
          <w:rFonts w:ascii="方正小标宋_GBK" w:hAnsi="宋体" w:eastAsia="方正小标宋_GBK"/>
          <w:color w:val="auto"/>
          <w:sz w:val="44"/>
          <w:szCs w:val="44"/>
          <w:highlight w:val="none"/>
        </w:rPr>
      </w:pPr>
    </w:p>
    <w:p>
      <w:pPr>
        <w:jc w:val="center"/>
        <w:rPr>
          <w:rFonts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库尔勒市审计局</w:t>
      </w:r>
    </w:p>
    <w:p>
      <w:pPr>
        <w:jc w:val="center"/>
        <w:rPr>
          <w:rFonts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 xml:space="preserve"> 2023年度部门决算</w:t>
      </w:r>
    </w:p>
    <w:p>
      <w:pPr>
        <w:jc w:val="center"/>
        <w:rPr>
          <w:rFonts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jc w:val="center"/>
        <w:rPr>
          <w:rFonts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
          <w:color w:val="auto"/>
          <w:kern w:val="0"/>
          <w:sz w:val="36"/>
          <w:szCs w:val="36"/>
          <w:highlight w:val="none"/>
        </w:rPr>
        <w:t>目  录</w:t>
      </w:r>
    </w:p>
    <w:p>
      <w:pPr>
        <w:pStyle w:val="10"/>
        <w:tabs>
          <w:tab w:val="right" w:pos="8306"/>
        </w:tabs>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color w:val="auto"/>
          <w:highlight w:val="none"/>
        </w:rPr>
        <w:fldChar w:fldCharType="begin"/>
      </w:r>
      <w:r>
        <w:rPr>
          <w:color w:val="auto"/>
          <w:highlight w:val="none"/>
        </w:rPr>
        <w:instrText xml:space="preserve"> HYPERLINK \l "_Toc32314" </w:instrText>
      </w:r>
      <w:r>
        <w:rPr>
          <w:color w:val="auto"/>
          <w:highlight w:val="none"/>
        </w:rPr>
        <w:fldChar w:fldCharType="separate"/>
      </w:r>
      <w:r>
        <w:rPr>
          <w:rFonts w:hint="eastAsia" w:ascii="仿宋_GB2312" w:hAnsi="仿宋_GB2312" w:eastAsia="仿宋_GB2312" w:cs="仿宋_GB2312"/>
          <w:b/>
          <w:bCs/>
          <w:color w:val="auto"/>
          <w:sz w:val="32"/>
          <w:szCs w:val="32"/>
          <w:highlight w:val="none"/>
        </w:rPr>
        <w:t>第一部分</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"_Toc30567"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"_Toc2151"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二、机构设置及人员情况</w:t>
      </w:r>
      <w:r>
        <w:rPr>
          <w:rFonts w:hint="eastAsia" w:ascii="仿宋_GB2312" w:hAnsi="仿宋_GB2312" w:eastAsia="仿宋_GB2312" w:cs="仿宋_GB2312"/>
          <w:bCs/>
          <w:color w:val="auto"/>
          <w:kern w:val="0"/>
          <w:sz w:val="32"/>
          <w:szCs w:val="32"/>
          <w:highlight w:val="none"/>
        </w:rPr>
        <w:fldChar w:fldCharType="end"/>
      </w:r>
    </w:p>
    <w:p>
      <w:pPr>
        <w:pStyle w:val="10"/>
        <w:tabs>
          <w:tab w:val="right" w:pos="8306"/>
        </w:tabs>
        <w:rPr>
          <w:rFonts w:ascii="仿宋_GB2312" w:hAnsi="仿宋_GB2312" w:eastAsia="仿宋_GB2312" w:cs="仿宋_GB2312"/>
          <w:b/>
          <w:bCs/>
          <w:color w:val="auto"/>
          <w:sz w:val="32"/>
          <w:szCs w:val="32"/>
          <w:highlight w:val="none"/>
        </w:rPr>
      </w:pPr>
      <w:r>
        <w:rPr>
          <w:color w:val="auto"/>
          <w:highlight w:val="none"/>
        </w:rPr>
        <w:fldChar w:fldCharType="begin"/>
      </w:r>
      <w:r>
        <w:rPr>
          <w:color w:val="auto"/>
          <w:highlight w:val="none"/>
        </w:rPr>
        <w:instrText xml:space="preserve"> HYPERLINK \l "_Toc29374" </w:instrText>
      </w:r>
      <w:r>
        <w:rPr>
          <w:color w:val="auto"/>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"_Toc25314"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"_Toc12142"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二、收入决算情况说明</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"_Toc13201"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三、支出决算情况说明</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"_Toc26564"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四、财政拨款收入支出决算总体情况说明</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"_Toc20360"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五、一般公共预算财政拨款支出决算情况说明</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"_Toc30870"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六、一般公共预算财政拨款基本支出决算情况说明</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"_Toc21518"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七、财政拨款“三公”经费支出决算情况说明</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"_Toc5810"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八、政府性基金预算财政拨款收入支出决算情况说明</w:t>
      </w:r>
      <w:r>
        <w:rPr>
          <w:rFonts w:hint="eastAsia" w:ascii="仿宋_GB2312" w:hAnsi="仿宋_GB2312" w:eastAsia="仿宋_GB2312" w:cs="仿宋_GB2312"/>
          <w:bCs/>
          <w:color w:val="auto"/>
          <w:kern w:val="0"/>
          <w:sz w:val="32"/>
          <w:szCs w:val="32"/>
          <w:highlight w:val="none"/>
        </w:rPr>
        <w:fldChar w:fldCharType="end"/>
      </w:r>
    </w:p>
    <w:p>
      <w:pPr>
        <w:rPr>
          <w:color w:val="auto"/>
          <w:highlight w:val="none"/>
        </w:rPr>
      </w:pPr>
      <w:r>
        <w:rPr>
          <w:color w:val="auto"/>
          <w:highlight w:val="none"/>
        </w:rPr>
        <w:fldChar w:fldCharType="begin"/>
      </w:r>
      <w:r>
        <w:rPr>
          <w:color w:val="auto"/>
          <w:highlight w:val="none"/>
        </w:rPr>
        <w:instrText xml:space="preserve"> HYPERLINK \l "_Toc5810"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九、国有资本经营预算财政拨款收入支出决算情况说明</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"_Toc1235" </w:instrText>
      </w:r>
      <w:r>
        <w:rPr>
          <w:color w:val="auto"/>
          <w:highlight w:val="none"/>
        </w:rPr>
        <w:fldChar w:fldCharType="separate"/>
      </w:r>
      <w:r>
        <w:rPr>
          <w:rFonts w:hint="eastAsia" w:ascii="仿宋_GB2312" w:hAnsi="仿宋_GB2312" w:eastAsia="仿宋_GB2312" w:cs="仿宋_GB2312"/>
          <w:color w:val="auto"/>
          <w:sz w:val="32"/>
          <w:szCs w:val="32"/>
          <w:highlight w:val="none"/>
        </w:rPr>
        <w:t>十</w:t>
      </w:r>
      <w:r>
        <w:rPr>
          <w:rFonts w:hint="eastAsia" w:ascii="仿宋_GB2312" w:hAnsi="仿宋_GB2312" w:eastAsia="仿宋_GB2312" w:cs="仿宋_GB2312"/>
          <w:bCs/>
          <w:color w:val="auto"/>
          <w:kern w:val="0"/>
          <w:sz w:val="32"/>
          <w:szCs w:val="32"/>
          <w:highlight w:val="none"/>
        </w:rPr>
        <w:t>、其他重要事项的情况说明</w:t>
      </w:r>
      <w:r>
        <w:rPr>
          <w:rFonts w:hint="eastAsia" w:ascii="仿宋_GB2312" w:hAnsi="仿宋_GB2312" w:eastAsia="仿宋_GB2312" w:cs="仿宋_GB2312"/>
          <w:bCs/>
          <w:color w:val="auto"/>
          <w:kern w:val="0"/>
          <w:sz w:val="32"/>
          <w:szCs w:val="32"/>
          <w:highlight w:val="none"/>
        </w:rPr>
        <w:fldChar w:fldCharType="end"/>
      </w:r>
    </w:p>
    <w:p>
      <w:pPr>
        <w:pStyle w:val="7"/>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"_Toc14519" </w:instrText>
      </w:r>
      <w:r>
        <w:rPr>
          <w:color w:val="auto"/>
          <w:highlight w:val="none"/>
        </w:rPr>
        <w:fldChar w:fldCharType="separate"/>
      </w:r>
      <w:r>
        <w:rPr>
          <w:rFonts w:hint="eastAsia" w:ascii="仿宋_GB2312" w:hAnsi="仿宋_GB2312" w:eastAsia="仿宋_GB2312" w:cs="仿宋_GB2312"/>
          <w:color w:val="auto"/>
          <w:sz w:val="32"/>
          <w:szCs w:val="32"/>
          <w:highlight w:val="none"/>
        </w:rPr>
        <w:t>（一）机关运行经费支出情况</w:t>
      </w:r>
      <w:r>
        <w:rPr>
          <w:rFonts w:hint="eastAsia" w:ascii="仿宋_GB2312" w:hAnsi="仿宋_GB2312" w:eastAsia="仿宋_GB2312" w:cs="仿宋_GB2312"/>
          <w:color w:val="auto"/>
          <w:sz w:val="32"/>
          <w:szCs w:val="32"/>
          <w:highlight w:val="none"/>
        </w:rPr>
        <w:fldChar w:fldCharType="end"/>
      </w:r>
    </w:p>
    <w:p>
      <w:pPr>
        <w:pStyle w:val="7"/>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"_Toc227" </w:instrText>
      </w:r>
      <w:r>
        <w:rPr>
          <w:color w:val="auto"/>
          <w:highlight w:val="none"/>
        </w:rPr>
        <w:fldChar w:fldCharType="separate"/>
      </w:r>
      <w:r>
        <w:rPr>
          <w:rFonts w:hint="eastAsia" w:ascii="仿宋_GB2312" w:hAnsi="仿宋_GB2312" w:eastAsia="仿宋_GB2312" w:cs="仿宋_GB2312"/>
          <w:color w:val="auto"/>
          <w:sz w:val="32"/>
          <w:szCs w:val="32"/>
          <w:highlight w:val="none"/>
        </w:rPr>
        <w:t>（二）政府采购情况</w:t>
      </w:r>
      <w:r>
        <w:rPr>
          <w:rFonts w:hint="eastAsia" w:ascii="仿宋_GB2312" w:hAnsi="仿宋_GB2312" w:eastAsia="仿宋_GB2312" w:cs="仿宋_GB2312"/>
          <w:color w:val="auto"/>
          <w:sz w:val="32"/>
          <w:szCs w:val="32"/>
          <w:highlight w:val="none"/>
        </w:rPr>
        <w:fldChar w:fldCharType="end"/>
      </w:r>
    </w:p>
    <w:p>
      <w:pPr>
        <w:pStyle w:val="7"/>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"_Toc8391" </w:instrText>
      </w:r>
      <w:r>
        <w:rPr>
          <w:color w:val="auto"/>
          <w:highlight w:val="none"/>
        </w:rPr>
        <w:fldChar w:fldCharType="separate"/>
      </w:r>
      <w:r>
        <w:rPr>
          <w:rFonts w:hint="eastAsia" w:ascii="仿宋_GB2312" w:hAnsi="仿宋_GB2312" w:eastAsia="仿宋_GB2312" w:cs="仿宋_GB2312"/>
          <w:color w:val="auto"/>
          <w:sz w:val="32"/>
          <w:szCs w:val="32"/>
          <w:highlight w:val="none"/>
        </w:rPr>
        <w:t>（三）国有资产占用情况说明</w:t>
      </w:r>
      <w:r>
        <w:rPr>
          <w:rFonts w:hint="eastAsia" w:ascii="仿宋_GB2312" w:hAnsi="仿宋_GB2312" w:eastAsia="仿宋_GB2312" w:cs="仿宋_GB2312"/>
          <w:color w:val="auto"/>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"_Toc11283"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十一、预算绩效的情况说明</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10"/>
        <w:tabs>
          <w:tab w:val="right" w:pos="8306"/>
        </w:tabs>
        <w:rPr>
          <w:rFonts w:ascii="仿宋_GB2312" w:hAnsi="仿宋_GB2312" w:eastAsia="仿宋_GB2312" w:cs="仿宋_GB2312"/>
          <w:b/>
          <w:bCs/>
          <w:color w:val="auto"/>
          <w:sz w:val="32"/>
          <w:szCs w:val="32"/>
          <w:highlight w:val="none"/>
        </w:rPr>
      </w:pPr>
      <w:r>
        <w:rPr>
          <w:color w:val="auto"/>
          <w:highlight w:val="none"/>
        </w:rPr>
        <w:fldChar w:fldCharType="begin"/>
      </w:r>
      <w:r>
        <w:rPr>
          <w:color w:val="auto"/>
          <w:highlight w:val="none"/>
        </w:rPr>
        <w:instrText xml:space="preserve"> HYPERLINK \l "_Toc3250" </w:instrText>
      </w:r>
      <w:r>
        <w:rPr>
          <w:color w:val="auto"/>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10"/>
        <w:tabs>
          <w:tab w:val="right" w:pos="8306"/>
        </w:tabs>
        <w:rPr>
          <w:rFonts w:ascii="仿宋_GB2312" w:hAnsi="仿宋_GB2312" w:eastAsia="仿宋_GB2312" w:cs="仿宋_GB2312"/>
          <w:b/>
          <w:bCs/>
          <w:color w:val="auto"/>
          <w:sz w:val="32"/>
          <w:szCs w:val="32"/>
          <w:highlight w:val="none"/>
        </w:rPr>
      </w:pPr>
      <w:r>
        <w:rPr>
          <w:color w:val="auto"/>
          <w:highlight w:val="none"/>
        </w:rPr>
        <w:fldChar w:fldCharType="begin"/>
      </w:r>
      <w:r>
        <w:rPr>
          <w:color w:val="auto"/>
          <w:highlight w:val="none"/>
        </w:rPr>
        <w:instrText xml:space="preserve"> HYPERLINK \l "_Toc22784" </w:instrText>
      </w:r>
      <w:r>
        <w:rPr>
          <w:color w:val="auto"/>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"_Toc2183"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"_Toc24532"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"_Toc32434"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"_Toc28786"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"_Toc14869"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"_Toc8884"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color w:val="auto"/>
          <w:sz w:val="32"/>
          <w:szCs w:val="32"/>
          <w:highlight w:val="none"/>
        </w:rPr>
      </w:pPr>
      <w:r>
        <w:rPr>
          <w:color w:val="auto"/>
          <w:highlight w:val="none"/>
        </w:rPr>
        <w:fldChar w:fldCharType="begin"/>
      </w:r>
      <w:r>
        <w:rPr>
          <w:color w:val="auto"/>
          <w:highlight w:val="none"/>
        </w:rPr>
        <w:instrText xml:space="preserve"> HYPERLINK \l "_Toc29106"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bCs/>
          <w:color w:val="auto"/>
          <w:kern w:val="0"/>
          <w:sz w:val="32"/>
          <w:szCs w:val="32"/>
          <w:highlight w:val="none"/>
        </w:rPr>
      </w:pPr>
      <w:r>
        <w:rPr>
          <w:color w:val="auto"/>
          <w:highlight w:val="none"/>
        </w:rPr>
        <w:fldChar w:fldCharType="begin"/>
      </w:r>
      <w:r>
        <w:rPr>
          <w:color w:val="auto"/>
          <w:highlight w:val="none"/>
        </w:rPr>
        <w:instrText xml:space="preserve"> HYPERLINK \l "_Toc7643" </w:instrText>
      </w:r>
      <w:r>
        <w:rPr>
          <w:color w:val="auto"/>
          <w:highlight w:val="none"/>
        </w:rPr>
        <w:fldChar w:fldCharType="separate"/>
      </w:r>
      <w:r>
        <w:rPr>
          <w:rFonts w:hint="eastAsia" w:ascii="仿宋_GB2312" w:hAnsi="仿宋_GB2312" w:eastAsia="仿宋_GB2312" w:cs="仿宋_GB2312"/>
          <w:bCs/>
          <w:color w:val="auto"/>
          <w:kern w:val="0"/>
          <w:sz w:val="32"/>
          <w:szCs w:val="32"/>
          <w:highlight w:val="none"/>
        </w:rPr>
        <w:t>八、《政府性基金预算财政拨款收入支出决算表》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1"/>
        <w:tabs>
          <w:tab w:val="right" w:pos="8306"/>
        </w:tabs>
        <w:ind w:left="0" w:leftChars="0"/>
        <w:rPr>
          <w:rFonts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九、《国有资本经营预算财政拨款收入支出决算表》</w:t>
      </w:r>
    </w:p>
    <w:p>
      <w:pPr>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jc w:val="center"/>
        <w:outlineLvl w:val="0"/>
        <w:rPr>
          <w:rFonts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ind w:firstLine="640" w:firstLineChars="200"/>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outlineLvl w:val="1"/>
        <w:rPr>
          <w:rFonts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1）负责全市审计工作。负责对全市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的调查和核查社会审计机构相关审计报告的结果承担责任，并负有督促被审计单位整改的责任。</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2）起草地方性审计规范性文件，贯彻执行审计法律法规规章、国家审计准则和指南并监督执行。制定并组织实施专业领域审计工作规划。参与起草地方性财政经济及相关的法规和规章草案。对直接审计、调查和核查的事项依法进行审计评价，作出审计决定或提出审计建议。</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3）向市党委审计委员会提出年度预算执行和其他财政支出情况审计报告。向市人民政府提出年度库尔勒市预算执行和其他财政收支情况的审计结果报告。接受市人民政府的委托，向市人大常委会提出库尔勒市本级预算执行和其他财政收支情况的审计工作报告、审计查出问题整改情况报告。向市党委、市人民政府报告对其他事项的审计和专项审计调查情况及结果。依法向社会公布审计结果。向有关部门通报审计情况和审计结果。</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4）直接审计下列事项，出具审计报告，在法定职权范围内作出审计决定，包括国家有关重大政策措施贯彻落实情况；库尔勒市本级预算执行情况和其他财政收支，库尔勒市本级各部门（含直属单位）预算的执行情况、决算草案和其他财政收支，库尔勒市本级财政转移支付资金；使用库尔勒市财政资金的事业单位和社会团体的财务收支；库尔勒市投资和以库尔勒市投资为主的建设项目的预算执行情况和决算；库尔勒市重大公共工程项目的资金管理使用和建设运营情况；库尔勒市自然资源管理、污染防治和生态保护与修复情况；库尔勒市国有企业和金融机构、市人民政府规定的国有资本占控股或占主导地位的企业和金融机构境内外资产、负债和损益；有关社会保障基金、社会捐赠资金及其他基金、资金的财务收支；国际组织和外国政府援助、贷款项目；法律法规规定的其他事项。</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（5）按规定对属于本级审计机关审计监督对象的党政主要领导干部及其他单位主要负责人实施经济责任审计和自然资源资产离任审计。</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（6）组织实施对国家财经法律法规、规章、政策和宏观调控措施执行情况、财政预算管理及国有资产管理使用等与国家财政收支有关的特定事项进行专项审计调查。</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（7）依法检查审计决定执行情况，督促整改审计查出的问题，依法办理被审计单位对审计决定提请行政复议、行政诉讼或市人民政府裁决中的有关事项，协助配合有关部门查处相关重大案件。</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（8）指导和监督内部审计工作，核查社会审计机构对依法属于审计监督对象的单位出具的相关审计报告。</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（9）对与国家财政收支有关的特定事项，向有关地方、部门、单位进行专项审计调查，并向市人民政府和上一级审计机关报告审计调查结果。</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（10）指导和推广信息技术在审计领域的应用。</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（11）承担重大项目稽查、本级预算执行情况和其他财政收支情况的监督检查、国有企业领导干部经济责任审计和国有重点大型企业监事会的职责。</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（12）除《中华人民共和国审计法》规定的审计事项外，对其他法律、行政法规规定应当由审计机关进行审计的事项，依照《中华人民共和国审计法》和有关法律、行政法规的规定进行审计监督。</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（13）承担审计署、自治区审计厅、自治州审计局授权的审计事项。</w:t>
      </w:r>
    </w:p>
    <w:p>
      <w:pPr>
        <w:ind w:firstLine="640" w:firstLineChars="200"/>
        <w:outlineLvl w:val="1"/>
        <w:rPr>
          <w:rFonts w:ascii="仿宋_GB2312" w:eastAsia="仿宋_GB2312"/>
          <w:color w:val="auto"/>
          <w:sz w:val="32"/>
          <w:szCs w:val="32"/>
          <w:highlight w:val="none"/>
        </w:rPr>
      </w:pPr>
      <w:r>
        <w:rPr>
          <w:rFonts w:hint="eastAsia" w:ascii="仿宋_GB2312" w:eastAsia="仿宋_GB2312"/>
          <w:color w:val="auto"/>
          <w:sz w:val="32"/>
          <w:szCs w:val="32"/>
          <w:highlight w:val="none"/>
        </w:rPr>
        <w:t>（14）完成市党委、市人民政府交办的其他事项。</w:t>
      </w:r>
    </w:p>
    <w:p>
      <w:pPr>
        <w:ind w:firstLine="640" w:firstLineChars="200"/>
        <w:outlineLvl w:val="1"/>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二、机构设置及</w:t>
      </w:r>
      <w:bookmarkEnd w:id="4"/>
      <w:r>
        <w:rPr>
          <w:rFonts w:hint="eastAsia" w:ascii="黑体" w:hAnsi="黑体" w:eastAsia="黑体" w:cs="宋体"/>
          <w:bCs/>
          <w:color w:val="auto"/>
          <w:kern w:val="0"/>
          <w:sz w:val="32"/>
          <w:szCs w:val="32"/>
          <w:highlight w:val="none"/>
        </w:rPr>
        <w:t>人员情况</w:t>
      </w:r>
      <w:bookmarkEnd w:id="5"/>
    </w:p>
    <w:p>
      <w:pPr>
        <w:ind w:firstLine="640" w:firstLineChars="200"/>
        <w:jc w:val="left"/>
        <w:rPr>
          <w:rFonts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rPr>
        <w:t>库尔勒市审计局2023年度，实有人数</w:t>
      </w:r>
      <w:r>
        <w:rPr>
          <w:rFonts w:hint="eastAsia" w:ascii="仿宋_GB2312" w:eastAsia="仿宋_GB2312"/>
          <w:color w:val="auto"/>
          <w:sz w:val="32"/>
          <w:szCs w:val="32"/>
          <w:highlight w:val="none"/>
          <w:lang w:val="zh-CN"/>
        </w:rPr>
        <w:t>34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rPr>
        <w:t>17</w:t>
      </w:r>
      <w:r>
        <w:rPr>
          <w:rFonts w:hint="eastAsia" w:ascii="仿宋_GB2312" w:eastAsia="仿宋_GB2312"/>
          <w:color w:val="auto"/>
          <w:sz w:val="32"/>
          <w:szCs w:val="32"/>
          <w:highlight w:val="none"/>
        </w:rPr>
        <w:t>人，离休人员</w:t>
      </w:r>
      <w:r>
        <w:rPr>
          <w:rFonts w:hint="eastAsia" w:ascii="仿宋_GB2312" w:eastAsia="仿宋_GB2312"/>
          <w:color w:val="auto"/>
          <w:sz w:val="32"/>
          <w:szCs w:val="32"/>
          <w:highlight w:val="none"/>
          <w:lang w:val="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rPr>
        <w:t>17</w:t>
      </w:r>
      <w:r>
        <w:rPr>
          <w:rFonts w:hint="eastAsia" w:ascii="仿宋_GB2312" w:eastAsia="仿宋_GB2312"/>
          <w:color w:val="auto"/>
          <w:sz w:val="32"/>
          <w:szCs w:val="32"/>
          <w:highlight w:val="none"/>
        </w:rPr>
        <w:t>人。</w:t>
      </w:r>
    </w:p>
    <w:p>
      <w:pPr>
        <w:ind w:firstLine="640" w:firstLineChars="200"/>
        <w:jc w:val="left"/>
        <w:rPr>
          <w:rFonts w:ascii="仿宋_GB2312" w:eastAsia="仿宋_GB2312"/>
          <w:color w:val="auto"/>
          <w:sz w:val="32"/>
          <w:szCs w:val="32"/>
          <w:highlight w:val="none"/>
        </w:rPr>
      </w:pPr>
      <w:bookmarkStart w:id="6" w:name="_Toc29374"/>
      <w:bookmarkStart w:id="7" w:name="_Toc3092"/>
      <w:r>
        <w:rPr>
          <w:rFonts w:hint="eastAsia" w:ascii="仿宋_GB2312" w:eastAsia="仿宋_GB2312"/>
          <w:color w:val="auto"/>
          <w:sz w:val="32"/>
          <w:szCs w:val="32"/>
          <w:highlight w:val="none"/>
        </w:rPr>
        <w:t>库尔勒市审计局无下属预算单位，下设7个处室，分别是：办公室、业务审理室、政策法规督察室、审计业务室、审计委办公室、经济责任审计科、固定资产投资审计科。</w:t>
      </w:r>
    </w:p>
    <w:p>
      <w:pPr>
        <w:jc w:val="center"/>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第二部分 部门决算情况说明</w:t>
      </w:r>
      <w:bookmarkEnd w:id="6"/>
      <w:bookmarkEnd w:id="7"/>
    </w:p>
    <w:p>
      <w:pPr>
        <w:ind w:firstLine="640" w:firstLineChars="200"/>
        <w:outlineLvl w:val="1"/>
        <w:rPr>
          <w:rFonts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ind w:firstLine="640" w:firstLineChars="20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2023年度收入总计464.38万元，其中：本年收入合计464.38万元，使用非财政拨款结余0.00万元，年初结转和结余0.00万元。</w:t>
      </w:r>
    </w:p>
    <w:p>
      <w:pPr>
        <w:ind w:firstLine="640" w:firstLineChars="20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2023年度支出总计464.38万元，其中：本年支出合计464.38万元，结余分配0.00万元，年末结转和结余0.00万元。</w:t>
      </w:r>
    </w:p>
    <w:p>
      <w:pPr>
        <w:ind w:firstLine="640" w:firstLineChars="20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收入支出总体与上年相比，</w:t>
      </w:r>
      <w:r>
        <w:rPr>
          <w:rFonts w:hint="eastAsia" w:ascii="仿宋_GB2312" w:eastAsia="仿宋_GB2312"/>
          <w:color w:val="auto"/>
          <w:sz w:val="32"/>
          <w:szCs w:val="32"/>
          <w:highlight w:val="none"/>
          <w:lang w:val="zh-CN"/>
        </w:rPr>
        <w:t>增加21.02万元</w:t>
      </w:r>
      <w:r>
        <w:rPr>
          <w:rFonts w:hint="eastAsia" w:ascii="仿宋_GB2312" w:eastAsia="仿宋_GB2312"/>
          <w:color w:val="auto"/>
          <w:sz w:val="32"/>
          <w:szCs w:val="32"/>
          <w:highlight w:val="none"/>
        </w:rPr>
        <w:t>，增长4.74%，主要原因是：在职人员工资调增，社保及公积金缴费基数调增。</w:t>
      </w:r>
    </w:p>
    <w:p>
      <w:pPr>
        <w:ind w:firstLine="640" w:firstLineChars="200"/>
        <w:jc w:val="left"/>
        <w:outlineLvl w:val="1"/>
        <w:rPr>
          <w:rFonts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rPr>
        <w:t>二、收入决算情况说明</w:t>
      </w:r>
      <w:bookmarkEnd w:id="10"/>
      <w:bookmarkEnd w:id="11"/>
    </w:p>
    <w:p>
      <w:pPr>
        <w:ind w:firstLine="640" w:firstLineChars="20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本年收入464.38万元，其中：财政拨款收入</w:t>
      </w:r>
      <w:r>
        <w:rPr>
          <w:rFonts w:hint="eastAsia" w:ascii="仿宋_GB2312" w:eastAsia="仿宋_GB2312"/>
          <w:color w:val="auto"/>
          <w:sz w:val="32"/>
          <w:szCs w:val="32"/>
          <w:highlight w:val="none"/>
          <w:lang w:val="zh-CN"/>
        </w:rPr>
        <w:t>464.38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ind w:firstLine="640" w:firstLineChars="200"/>
        <w:jc w:val="left"/>
        <w:outlineLvl w:val="1"/>
        <w:rPr>
          <w:rFonts w:ascii="黑体" w:hAnsi="黑体" w:eastAsia="黑体" w:cs="宋体"/>
          <w:bCs/>
          <w:color w:val="auto"/>
          <w:kern w:val="0"/>
          <w:sz w:val="32"/>
          <w:szCs w:val="32"/>
          <w:highlight w:val="none"/>
        </w:rPr>
      </w:pPr>
      <w:bookmarkStart w:id="12" w:name="_Toc13201"/>
      <w:bookmarkStart w:id="13" w:name="_Toc27961"/>
      <w:r>
        <w:rPr>
          <w:rFonts w:hint="eastAsia" w:ascii="黑体" w:hAnsi="黑体" w:eastAsia="黑体" w:cs="宋体"/>
          <w:bCs/>
          <w:color w:val="auto"/>
          <w:kern w:val="0"/>
          <w:sz w:val="32"/>
          <w:szCs w:val="32"/>
          <w:highlight w:val="none"/>
        </w:rPr>
        <w:t>三、支出决算情况说明</w:t>
      </w:r>
      <w:bookmarkEnd w:id="12"/>
      <w:bookmarkEnd w:id="13"/>
    </w:p>
    <w:p>
      <w:pPr>
        <w:ind w:firstLine="640" w:firstLineChars="200"/>
        <w:jc w:val="left"/>
        <w:rPr>
          <w:rFonts w:eastAsia="仿宋_GB2312" w:cs="仿宋_GB2312"/>
          <w:color w:val="auto"/>
          <w:sz w:val="30"/>
          <w:szCs w:val="30"/>
          <w:highlight w:val="none"/>
          <w:lang w:val="zh-CN"/>
        </w:rPr>
      </w:pPr>
      <w:r>
        <w:rPr>
          <w:rFonts w:hint="eastAsia" w:eastAsia="仿宋_GB2312" w:cs="仿宋_GB2312"/>
          <w:color w:val="auto"/>
          <w:sz w:val="32"/>
          <w:szCs w:val="32"/>
          <w:highlight w:val="none"/>
          <w:lang w:val="zh-CN"/>
        </w:rPr>
        <w:t>本年支出464.38万元，其中：基本支出331.34万元，占71.35%；项目支出133.04万元，占28.65%；上缴上级支出0.00万元，占0.00%；经营支出0.00万元，占0.00%；对附属单位补助支出0.00万元，占0.00%。</w:t>
      </w:r>
    </w:p>
    <w:p>
      <w:pPr>
        <w:ind w:firstLine="640" w:firstLineChars="200"/>
        <w:jc w:val="left"/>
        <w:outlineLvl w:val="1"/>
        <w:rPr>
          <w:rFonts w:ascii="黑体" w:hAnsi="黑体" w:eastAsia="黑体" w:cs="宋体"/>
          <w:bCs/>
          <w:color w:val="auto"/>
          <w:kern w:val="0"/>
          <w:sz w:val="32"/>
          <w:szCs w:val="32"/>
          <w:highlight w:val="none"/>
        </w:rPr>
      </w:pPr>
      <w:bookmarkStart w:id="14" w:name="_Toc26564"/>
      <w:bookmarkStart w:id="15" w:name="_Toc4393"/>
      <w:r>
        <w:rPr>
          <w:rFonts w:hint="eastAsia" w:ascii="黑体" w:hAnsi="黑体" w:eastAsia="黑体" w:cs="宋体"/>
          <w:bCs/>
          <w:color w:val="auto"/>
          <w:kern w:val="0"/>
          <w:sz w:val="32"/>
          <w:szCs w:val="32"/>
          <w:highlight w:val="none"/>
        </w:rPr>
        <w:t>四、财政拨款收入支出决算总体情况说明</w:t>
      </w:r>
      <w:bookmarkEnd w:id="14"/>
      <w:bookmarkEnd w:id="15"/>
    </w:p>
    <w:p>
      <w:pPr>
        <w:ind w:firstLine="640" w:firstLineChars="200"/>
        <w:jc w:val="both"/>
        <w:rPr>
          <w:rFonts w:ascii="仿宋_GB2312" w:eastAsia="仿宋_GB2312"/>
          <w:color w:val="auto"/>
          <w:sz w:val="32"/>
          <w:szCs w:val="32"/>
          <w:highlight w:val="none"/>
        </w:rPr>
      </w:pPr>
      <w:r>
        <w:rPr>
          <w:rFonts w:hint="eastAsia" w:ascii="仿宋_GB2312" w:eastAsia="仿宋_GB2312"/>
          <w:color w:val="auto"/>
          <w:sz w:val="32"/>
          <w:szCs w:val="32"/>
          <w:highlight w:val="none"/>
        </w:rPr>
        <w:t>2023年度财政拨款收入总计</w:t>
      </w:r>
      <w:r>
        <w:rPr>
          <w:rFonts w:hint="eastAsia" w:ascii="仿宋_GB2312" w:eastAsia="仿宋_GB2312"/>
          <w:color w:val="auto"/>
          <w:sz w:val="32"/>
          <w:szCs w:val="32"/>
          <w:highlight w:val="none"/>
          <w:lang w:val="zh-CN"/>
        </w:rPr>
        <w:t>464.38</w:t>
      </w:r>
      <w:r>
        <w:rPr>
          <w:rFonts w:hint="eastAsia" w:ascii="仿宋_GB2312" w:eastAsia="仿宋_GB2312"/>
          <w:color w:val="auto"/>
          <w:sz w:val="32"/>
          <w:szCs w:val="32"/>
          <w:highlight w:val="none"/>
        </w:rPr>
        <w:t>万元，其中：年初财政拨款结转和结余</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万元，本年财政拨款收入</w:t>
      </w:r>
      <w:r>
        <w:rPr>
          <w:rFonts w:hint="eastAsia" w:ascii="仿宋_GB2312" w:eastAsia="仿宋_GB2312"/>
          <w:color w:val="auto"/>
          <w:sz w:val="32"/>
          <w:szCs w:val="32"/>
          <w:highlight w:val="none"/>
          <w:lang w:val="zh-CN"/>
        </w:rPr>
        <w:t>464.38</w:t>
      </w:r>
      <w:r>
        <w:rPr>
          <w:rFonts w:hint="eastAsia" w:ascii="仿宋_GB2312" w:eastAsia="仿宋_GB2312"/>
          <w:color w:val="auto"/>
          <w:sz w:val="32"/>
          <w:szCs w:val="32"/>
          <w:highlight w:val="none"/>
        </w:rPr>
        <w:t>万元。财政拨款支出总计</w:t>
      </w:r>
      <w:r>
        <w:rPr>
          <w:rFonts w:hint="eastAsia" w:ascii="仿宋_GB2312" w:eastAsia="仿宋_GB2312"/>
          <w:color w:val="auto"/>
          <w:sz w:val="32"/>
          <w:szCs w:val="32"/>
          <w:highlight w:val="none"/>
          <w:lang w:val="zh-CN"/>
        </w:rPr>
        <w:t>464.38</w:t>
      </w:r>
      <w:r>
        <w:rPr>
          <w:rFonts w:hint="eastAsia" w:ascii="仿宋_GB2312" w:eastAsia="仿宋_GB2312"/>
          <w:color w:val="auto"/>
          <w:sz w:val="32"/>
          <w:szCs w:val="32"/>
          <w:highlight w:val="none"/>
        </w:rPr>
        <w:t>万元，其中：年末财政拨款结转和结余</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万元，本年财政拨款支出</w:t>
      </w:r>
      <w:r>
        <w:rPr>
          <w:rFonts w:hint="eastAsia" w:ascii="仿宋_GB2312" w:eastAsia="仿宋_GB2312"/>
          <w:color w:val="auto"/>
          <w:sz w:val="32"/>
          <w:szCs w:val="32"/>
          <w:highlight w:val="none"/>
          <w:lang w:val="zh-CN"/>
        </w:rPr>
        <w:t>464.38</w:t>
      </w:r>
      <w:r>
        <w:rPr>
          <w:rFonts w:hint="eastAsia" w:ascii="仿宋_GB2312" w:eastAsia="仿宋_GB2312"/>
          <w:color w:val="auto"/>
          <w:sz w:val="32"/>
          <w:szCs w:val="32"/>
          <w:highlight w:val="none"/>
        </w:rPr>
        <w:t>万元。</w:t>
      </w:r>
    </w:p>
    <w:p>
      <w:pPr>
        <w:ind w:firstLine="640" w:firstLineChars="200"/>
        <w:jc w:val="both"/>
        <w:rPr>
          <w:rFonts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财政拨款收入支出总体与上年相比,</w:t>
      </w:r>
      <w:r>
        <w:rPr>
          <w:rFonts w:hint="eastAsia" w:ascii="仿宋_GB2312" w:eastAsia="仿宋_GB2312"/>
          <w:color w:val="auto"/>
          <w:sz w:val="32"/>
          <w:szCs w:val="32"/>
          <w:highlight w:val="none"/>
          <w:lang w:val="zh-CN"/>
        </w:rPr>
        <w:t>增加21.02万元</w:t>
      </w:r>
      <w:r>
        <w:rPr>
          <w:rFonts w:hint="eastAsia" w:ascii="仿宋_GB2312" w:eastAsia="仿宋_GB2312"/>
          <w:color w:val="auto"/>
          <w:sz w:val="32"/>
          <w:szCs w:val="32"/>
          <w:highlight w:val="none"/>
        </w:rPr>
        <w:t>，增长4.74%,主要原因是：</w:t>
      </w:r>
      <w:r>
        <w:rPr>
          <w:rFonts w:hint="eastAsia" w:ascii="仿宋_GB2312" w:eastAsia="仿宋_GB2312"/>
          <w:color w:val="auto"/>
          <w:sz w:val="32"/>
          <w:szCs w:val="32"/>
          <w:highlight w:val="none"/>
          <w:lang w:val="en-US" w:eastAsia="zh-CN"/>
        </w:rPr>
        <w:t>死亡抚恤金增加，</w:t>
      </w:r>
      <w:r>
        <w:rPr>
          <w:rFonts w:hint="eastAsia" w:ascii="仿宋_GB2312" w:eastAsia="仿宋_GB2312"/>
          <w:color w:val="auto"/>
          <w:sz w:val="32"/>
          <w:szCs w:val="32"/>
          <w:highlight w:val="none"/>
        </w:rPr>
        <w:t>在职人员工资调增，社保及公积金缴费基数调增。与年初预算相比，年初预算数</w:t>
      </w:r>
      <w:r>
        <w:rPr>
          <w:rFonts w:hint="eastAsia" w:ascii="仿宋_GB2312" w:eastAsia="仿宋_GB2312"/>
          <w:color w:val="auto"/>
          <w:sz w:val="32"/>
          <w:szCs w:val="32"/>
          <w:highlight w:val="none"/>
          <w:lang w:val="zh-CN"/>
        </w:rPr>
        <w:t>542.28</w:t>
      </w:r>
      <w:r>
        <w:rPr>
          <w:rFonts w:hint="eastAsia" w:ascii="仿宋_GB2312" w:eastAsia="仿宋_GB2312"/>
          <w:color w:val="auto"/>
          <w:sz w:val="32"/>
          <w:szCs w:val="32"/>
          <w:highlight w:val="none"/>
        </w:rPr>
        <w:t>万元，决算数</w:t>
      </w:r>
      <w:r>
        <w:rPr>
          <w:rFonts w:hint="eastAsia" w:ascii="仿宋_GB2312" w:eastAsia="仿宋_GB2312"/>
          <w:color w:val="auto"/>
          <w:sz w:val="32"/>
          <w:szCs w:val="32"/>
          <w:highlight w:val="none"/>
          <w:lang w:val="zh-CN"/>
        </w:rPr>
        <w:t>464.38</w:t>
      </w:r>
      <w:r>
        <w:rPr>
          <w:rFonts w:hint="eastAsia" w:ascii="仿宋_GB2312" w:eastAsia="仿宋_GB2312"/>
          <w:color w:val="auto"/>
          <w:sz w:val="32"/>
          <w:szCs w:val="32"/>
          <w:highlight w:val="none"/>
        </w:rPr>
        <w:t>万元，预决算差异率-14.37%，主要原因是：</w:t>
      </w:r>
      <w:r>
        <w:rPr>
          <w:rFonts w:hint="eastAsia" w:ascii="仿宋_GB2312" w:eastAsia="仿宋_GB2312"/>
          <w:color w:val="auto"/>
          <w:sz w:val="32"/>
          <w:szCs w:val="32"/>
          <w:highlight w:val="none"/>
          <w:lang w:val="en-US" w:eastAsia="zh-CN"/>
        </w:rPr>
        <w:t>1名公益性岗位人员辞职，导致公益性岗位补贴实际支出减少；1名公务员辞职导致社保、医保、住房公积金实际支出减少</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培训次数减少导致培训费实际支出减少；审计业务费减少，综上所述导致预算与决算存在差异率。</w:t>
      </w:r>
    </w:p>
    <w:p>
      <w:pPr>
        <w:ind w:firstLine="640" w:firstLineChars="200"/>
        <w:jc w:val="left"/>
        <w:outlineLvl w:val="1"/>
        <w:rPr>
          <w:rFonts w:ascii="黑体" w:hAnsi="黑体" w:eastAsia="黑体" w:cs="宋体"/>
          <w:bCs/>
          <w:color w:val="auto"/>
          <w:kern w:val="0"/>
          <w:sz w:val="32"/>
          <w:szCs w:val="32"/>
          <w:highlight w:val="none"/>
        </w:rPr>
      </w:pPr>
      <w:bookmarkStart w:id="16" w:name="_Toc20360"/>
      <w:bookmarkStart w:id="17" w:name="_Toc13833"/>
      <w:r>
        <w:rPr>
          <w:rFonts w:hint="eastAsia" w:ascii="黑体" w:hAnsi="黑体" w:eastAsia="黑体" w:cs="宋体"/>
          <w:bCs/>
          <w:color w:val="auto"/>
          <w:kern w:val="0"/>
          <w:sz w:val="32"/>
          <w:szCs w:val="32"/>
          <w:highlight w:val="none"/>
        </w:rPr>
        <w:t>五、一般公共预算财政拨款支出决算情况说明</w:t>
      </w:r>
      <w:bookmarkEnd w:id="16"/>
      <w:bookmarkEnd w:id="17"/>
    </w:p>
    <w:p>
      <w:pPr>
        <w:ind w:firstLine="640" w:firstLineChars="200"/>
        <w:jc w:val="left"/>
        <w:outlineLvl w:val="2"/>
        <w:rPr>
          <w:rFonts w:ascii="黑体" w:hAnsi="黑体" w:eastAsia="黑体"/>
          <w:color w:val="auto"/>
          <w:sz w:val="32"/>
          <w:szCs w:val="32"/>
          <w:highlight w:val="none"/>
        </w:rPr>
      </w:pPr>
      <w:r>
        <w:rPr>
          <w:rFonts w:hint="eastAsia" w:ascii="黑体" w:hAnsi="黑体" w:eastAsia="黑体"/>
          <w:color w:val="auto"/>
          <w:sz w:val="32"/>
          <w:szCs w:val="32"/>
          <w:highlight w:val="none"/>
        </w:rPr>
        <w:t>（一）一般公共预算财政拨款支出决算总体情况</w:t>
      </w:r>
    </w:p>
    <w:p>
      <w:pPr>
        <w:ind w:firstLine="640" w:firstLineChars="200"/>
        <w:jc w:val="both"/>
        <w:rPr>
          <w:rFonts w:ascii="仿宋_GB2312" w:eastAsia="仿宋_GB2312"/>
          <w:color w:val="auto"/>
          <w:sz w:val="32"/>
          <w:szCs w:val="32"/>
          <w:highlight w:val="none"/>
        </w:rPr>
      </w:pPr>
      <w:r>
        <w:rPr>
          <w:rFonts w:hint="eastAsia" w:ascii="仿宋_GB2312" w:eastAsia="仿宋_GB2312"/>
          <w:color w:val="auto"/>
          <w:sz w:val="32"/>
          <w:szCs w:val="32"/>
          <w:highlight w:val="none"/>
        </w:rPr>
        <w:t>2023年度一般公共预算财政拨款支出464.38万元，占本年支出合计的</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。与上年相比，</w:t>
      </w:r>
      <w:r>
        <w:rPr>
          <w:rFonts w:hint="eastAsia" w:ascii="仿宋_GB2312" w:eastAsia="仿宋_GB2312"/>
          <w:color w:val="auto"/>
          <w:sz w:val="32"/>
          <w:szCs w:val="32"/>
          <w:highlight w:val="none"/>
          <w:lang w:val="zh-CN"/>
        </w:rPr>
        <w:t>增加21.02万元</w:t>
      </w:r>
      <w:r>
        <w:rPr>
          <w:rFonts w:hint="eastAsia" w:ascii="仿宋_GB2312" w:eastAsia="仿宋_GB2312"/>
          <w:color w:val="auto"/>
          <w:sz w:val="32"/>
          <w:szCs w:val="32"/>
          <w:highlight w:val="none"/>
        </w:rPr>
        <w:t>，增长4.74%,主要原因是：</w:t>
      </w:r>
      <w:r>
        <w:rPr>
          <w:rFonts w:hint="eastAsia" w:ascii="仿宋_GB2312" w:eastAsia="仿宋_GB2312"/>
          <w:color w:val="auto"/>
          <w:sz w:val="32"/>
          <w:szCs w:val="32"/>
          <w:highlight w:val="none"/>
          <w:lang w:val="en-US" w:eastAsia="zh-CN"/>
        </w:rPr>
        <w:t>死亡抚恤金增加，</w:t>
      </w:r>
      <w:r>
        <w:rPr>
          <w:rFonts w:hint="eastAsia" w:ascii="仿宋_GB2312" w:eastAsia="仿宋_GB2312"/>
          <w:color w:val="auto"/>
          <w:sz w:val="32"/>
          <w:szCs w:val="32"/>
          <w:highlight w:val="none"/>
        </w:rPr>
        <w:t>在职人员工资调增，社保及公积金缴费基数调增。与年初预算相比，年初预算数</w:t>
      </w:r>
      <w:r>
        <w:rPr>
          <w:rFonts w:hint="eastAsia" w:ascii="仿宋_GB2312" w:eastAsia="仿宋_GB2312"/>
          <w:color w:val="auto"/>
          <w:sz w:val="32"/>
          <w:szCs w:val="32"/>
          <w:highlight w:val="none"/>
          <w:lang w:val="zh-CN"/>
        </w:rPr>
        <w:t>542.28</w:t>
      </w:r>
      <w:r>
        <w:rPr>
          <w:rFonts w:hint="eastAsia" w:ascii="仿宋_GB2312" w:eastAsia="仿宋_GB2312"/>
          <w:color w:val="auto"/>
          <w:sz w:val="32"/>
          <w:szCs w:val="32"/>
          <w:highlight w:val="none"/>
        </w:rPr>
        <w:t>万元，决算数</w:t>
      </w:r>
      <w:r>
        <w:rPr>
          <w:rFonts w:hint="eastAsia" w:ascii="仿宋_GB2312" w:eastAsia="仿宋_GB2312"/>
          <w:color w:val="auto"/>
          <w:sz w:val="32"/>
          <w:szCs w:val="32"/>
          <w:highlight w:val="none"/>
          <w:lang w:val="zh-CN"/>
        </w:rPr>
        <w:t>464.38</w:t>
      </w:r>
      <w:r>
        <w:rPr>
          <w:rFonts w:hint="eastAsia" w:ascii="仿宋_GB2312" w:eastAsia="仿宋_GB2312"/>
          <w:color w:val="auto"/>
          <w:sz w:val="32"/>
          <w:szCs w:val="32"/>
          <w:highlight w:val="none"/>
        </w:rPr>
        <w:t>万元，预决算差异率</w:t>
      </w:r>
      <w:r>
        <w:rPr>
          <w:rFonts w:hint="eastAsia" w:ascii="仿宋_GB2312" w:eastAsia="仿宋_GB2312"/>
          <w:color w:val="auto"/>
          <w:sz w:val="32"/>
          <w:szCs w:val="32"/>
          <w:highlight w:val="none"/>
          <w:lang w:val="zh-CN"/>
        </w:rPr>
        <w:t>-14.37%</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1名公益性岗位人员辞职，导致公益性岗位补贴实际支出减少；1名公务员辞职导致社保、医保、住房公积金实际支出减少</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培训次数减少导致培训费实际支出减少；审计业务费减少，综上所述导致预算与决算存在差异率。</w:t>
      </w:r>
    </w:p>
    <w:p>
      <w:pPr>
        <w:numPr>
          <w:ilvl w:val="0"/>
          <w:numId w:val="1"/>
        </w:numPr>
        <w:ind w:left="200" w:firstLine="640"/>
        <w:jc w:val="left"/>
        <w:outlineLvl w:val="2"/>
        <w:rPr>
          <w:rFonts w:ascii="黑体" w:hAnsi="黑体" w:eastAsia="黑体"/>
          <w:color w:val="auto"/>
          <w:sz w:val="32"/>
          <w:szCs w:val="32"/>
          <w:highlight w:val="none"/>
        </w:rPr>
      </w:pPr>
      <w:r>
        <w:rPr>
          <w:rFonts w:hint="eastAsia" w:ascii="黑体" w:hAnsi="黑体" w:eastAsia="黑体"/>
          <w:color w:val="auto"/>
          <w:sz w:val="32"/>
          <w:szCs w:val="32"/>
          <w:highlight w:val="none"/>
        </w:rPr>
        <w:t>一般公共预算财政拨款支出决算结构情况</w:t>
      </w:r>
    </w:p>
    <w:p>
      <w:pPr>
        <w:pStyle w:val="12"/>
        <w:widowControl/>
        <w:spacing w:before="0" w:beforeAutospacing="0" w:after="0" w:afterAutospacing="0"/>
        <w:ind w:firstLine="640" w:firstLineChars="200"/>
        <w:rPr>
          <w:rFonts w:ascii="仿宋_GB2312" w:eastAsia="仿宋_GB2312"/>
          <w:color w:val="auto"/>
          <w:kern w:val="2"/>
          <w:sz w:val="32"/>
          <w:szCs w:val="32"/>
          <w:highlight w:val="none"/>
          <w:lang w:val="zh-CN"/>
        </w:rPr>
      </w:pPr>
      <w:r>
        <w:rPr>
          <w:rFonts w:ascii="仿宋_GB2312" w:eastAsia="仿宋_GB2312"/>
          <w:color w:val="auto"/>
          <w:kern w:val="2"/>
          <w:sz w:val="32"/>
          <w:szCs w:val="32"/>
          <w:highlight w:val="none"/>
          <w:lang w:val="zh-CN"/>
        </w:rPr>
        <w:t>1.一般公共服务支出（类）</w:t>
      </w:r>
      <w:r>
        <w:rPr>
          <w:rFonts w:hint="eastAsia" w:ascii="仿宋_GB2312" w:eastAsia="仿宋_GB2312"/>
          <w:color w:val="auto"/>
          <w:kern w:val="2"/>
          <w:sz w:val="32"/>
          <w:szCs w:val="32"/>
          <w:highlight w:val="none"/>
          <w:lang w:val="zh-CN"/>
        </w:rPr>
        <w:t>355.57</w:t>
      </w:r>
      <w:r>
        <w:rPr>
          <w:rFonts w:ascii="仿宋_GB2312" w:eastAsia="仿宋_GB2312"/>
          <w:color w:val="auto"/>
          <w:kern w:val="2"/>
          <w:sz w:val="32"/>
          <w:szCs w:val="32"/>
          <w:highlight w:val="none"/>
          <w:lang w:val="zh-CN"/>
        </w:rPr>
        <w:t>万元，占</w:t>
      </w:r>
      <w:r>
        <w:rPr>
          <w:rFonts w:hint="eastAsia" w:ascii="仿宋_GB2312" w:eastAsia="仿宋_GB2312"/>
          <w:color w:val="auto"/>
          <w:kern w:val="2"/>
          <w:sz w:val="32"/>
          <w:szCs w:val="32"/>
          <w:highlight w:val="none"/>
          <w:lang w:val="zh-CN"/>
        </w:rPr>
        <w:t>76.57</w:t>
      </w:r>
      <w:r>
        <w:rPr>
          <w:rFonts w:ascii="仿宋_GB2312" w:eastAsia="仿宋_GB2312"/>
          <w:color w:val="auto"/>
          <w:kern w:val="2"/>
          <w:sz w:val="32"/>
          <w:szCs w:val="32"/>
          <w:highlight w:val="none"/>
          <w:lang w:val="zh-CN"/>
        </w:rPr>
        <w:t>%；</w:t>
      </w:r>
    </w:p>
    <w:p>
      <w:pPr>
        <w:pStyle w:val="12"/>
        <w:widowControl/>
        <w:spacing w:before="0" w:beforeAutospacing="0" w:after="0" w:afterAutospacing="0"/>
        <w:ind w:firstLine="640" w:firstLineChars="200"/>
        <w:rPr>
          <w:rFonts w:ascii="仿宋_GB2312" w:eastAsia="仿宋_GB2312"/>
          <w:color w:val="auto"/>
          <w:kern w:val="2"/>
          <w:sz w:val="32"/>
          <w:szCs w:val="32"/>
          <w:highlight w:val="none"/>
          <w:lang w:val="zh-CN"/>
        </w:rPr>
      </w:pPr>
      <w:r>
        <w:rPr>
          <w:rFonts w:hint="eastAsia" w:ascii="仿宋_GB2312" w:eastAsia="仿宋_GB2312"/>
          <w:color w:val="auto"/>
          <w:kern w:val="2"/>
          <w:sz w:val="32"/>
          <w:szCs w:val="32"/>
          <w:highlight w:val="none"/>
        </w:rPr>
        <w:t>2</w:t>
      </w:r>
      <w:r>
        <w:rPr>
          <w:rFonts w:ascii="仿宋_GB2312" w:eastAsia="仿宋_GB2312"/>
          <w:color w:val="auto"/>
          <w:kern w:val="2"/>
          <w:sz w:val="32"/>
          <w:szCs w:val="32"/>
          <w:highlight w:val="none"/>
          <w:lang w:val="zh-CN"/>
        </w:rPr>
        <w:t>.教育支出（类）</w:t>
      </w:r>
      <w:r>
        <w:rPr>
          <w:rFonts w:hint="eastAsia" w:ascii="仿宋_GB2312" w:eastAsia="仿宋_GB2312"/>
          <w:color w:val="auto"/>
          <w:kern w:val="2"/>
          <w:sz w:val="32"/>
          <w:szCs w:val="32"/>
          <w:highlight w:val="none"/>
          <w:lang w:val="zh-CN"/>
        </w:rPr>
        <w:t>0.58</w:t>
      </w:r>
      <w:r>
        <w:rPr>
          <w:rFonts w:ascii="仿宋_GB2312" w:eastAsia="仿宋_GB2312"/>
          <w:color w:val="auto"/>
          <w:kern w:val="2"/>
          <w:sz w:val="32"/>
          <w:szCs w:val="32"/>
          <w:highlight w:val="none"/>
          <w:lang w:val="zh-CN"/>
        </w:rPr>
        <w:t>万元，占</w:t>
      </w:r>
      <w:r>
        <w:rPr>
          <w:rFonts w:hint="eastAsia" w:ascii="仿宋_GB2312" w:eastAsia="仿宋_GB2312"/>
          <w:color w:val="auto"/>
          <w:kern w:val="2"/>
          <w:sz w:val="32"/>
          <w:szCs w:val="32"/>
          <w:highlight w:val="none"/>
          <w:lang w:val="zh-CN"/>
        </w:rPr>
        <w:t>0.12</w:t>
      </w:r>
      <w:r>
        <w:rPr>
          <w:rFonts w:ascii="仿宋_GB2312" w:eastAsia="仿宋_GB2312"/>
          <w:color w:val="auto"/>
          <w:kern w:val="2"/>
          <w:sz w:val="32"/>
          <w:szCs w:val="32"/>
          <w:highlight w:val="none"/>
          <w:lang w:val="zh-CN"/>
        </w:rPr>
        <w:t>%；</w:t>
      </w:r>
    </w:p>
    <w:p>
      <w:pPr>
        <w:pStyle w:val="12"/>
        <w:widowControl/>
        <w:spacing w:before="0" w:beforeAutospacing="0" w:after="0" w:afterAutospacing="0"/>
        <w:ind w:firstLine="640" w:firstLineChars="200"/>
        <w:rPr>
          <w:rFonts w:ascii="仿宋_GB2312" w:eastAsia="仿宋_GB2312"/>
          <w:color w:val="auto"/>
          <w:kern w:val="2"/>
          <w:sz w:val="32"/>
          <w:szCs w:val="32"/>
          <w:highlight w:val="none"/>
          <w:lang w:val="zh-CN"/>
        </w:rPr>
      </w:pPr>
      <w:r>
        <w:rPr>
          <w:rFonts w:hint="eastAsia" w:ascii="仿宋_GB2312" w:eastAsia="仿宋_GB2312"/>
          <w:color w:val="auto"/>
          <w:kern w:val="2"/>
          <w:sz w:val="32"/>
          <w:szCs w:val="32"/>
          <w:highlight w:val="none"/>
        </w:rPr>
        <w:t>3</w:t>
      </w:r>
      <w:r>
        <w:rPr>
          <w:rFonts w:ascii="仿宋_GB2312" w:eastAsia="仿宋_GB2312"/>
          <w:color w:val="auto"/>
          <w:kern w:val="2"/>
          <w:sz w:val="32"/>
          <w:szCs w:val="32"/>
          <w:highlight w:val="none"/>
          <w:lang w:val="zh-CN"/>
        </w:rPr>
        <w:t>.社会保障和就业支出（类）</w:t>
      </w:r>
      <w:r>
        <w:rPr>
          <w:rFonts w:hint="eastAsia" w:ascii="仿宋_GB2312" w:eastAsia="仿宋_GB2312"/>
          <w:color w:val="auto"/>
          <w:kern w:val="2"/>
          <w:sz w:val="32"/>
          <w:szCs w:val="32"/>
          <w:highlight w:val="none"/>
          <w:lang w:val="zh-CN"/>
        </w:rPr>
        <w:t>71.79</w:t>
      </w:r>
      <w:r>
        <w:rPr>
          <w:rFonts w:ascii="仿宋_GB2312" w:eastAsia="仿宋_GB2312"/>
          <w:color w:val="auto"/>
          <w:kern w:val="2"/>
          <w:sz w:val="32"/>
          <w:szCs w:val="32"/>
          <w:highlight w:val="none"/>
          <w:lang w:val="zh-CN"/>
        </w:rPr>
        <w:t>万元，占</w:t>
      </w:r>
      <w:r>
        <w:rPr>
          <w:rFonts w:hint="eastAsia" w:ascii="仿宋_GB2312" w:eastAsia="仿宋_GB2312"/>
          <w:color w:val="auto"/>
          <w:kern w:val="2"/>
          <w:sz w:val="32"/>
          <w:szCs w:val="32"/>
          <w:highlight w:val="none"/>
          <w:lang w:val="zh-CN"/>
        </w:rPr>
        <w:t>15.46</w:t>
      </w:r>
      <w:r>
        <w:rPr>
          <w:rFonts w:ascii="仿宋_GB2312" w:eastAsia="仿宋_GB2312"/>
          <w:color w:val="auto"/>
          <w:kern w:val="2"/>
          <w:sz w:val="32"/>
          <w:szCs w:val="32"/>
          <w:highlight w:val="none"/>
          <w:lang w:val="zh-CN"/>
        </w:rPr>
        <w:t>%；</w:t>
      </w:r>
    </w:p>
    <w:p>
      <w:pPr>
        <w:pStyle w:val="12"/>
        <w:widowControl/>
        <w:spacing w:before="0" w:beforeAutospacing="0" w:after="0" w:afterAutospacing="0"/>
        <w:ind w:firstLine="640" w:firstLineChars="200"/>
        <w:rPr>
          <w:rFonts w:ascii="仿宋_GB2312" w:eastAsia="仿宋_GB2312"/>
          <w:color w:val="auto"/>
          <w:kern w:val="2"/>
          <w:sz w:val="32"/>
          <w:szCs w:val="32"/>
          <w:highlight w:val="none"/>
          <w:lang w:val="zh-CN"/>
        </w:rPr>
      </w:pPr>
      <w:r>
        <w:rPr>
          <w:rFonts w:hint="eastAsia" w:ascii="仿宋_GB2312" w:eastAsia="仿宋_GB2312"/>
          <w:color w:val="auto"/>
          <w:kern w:val="2"/>
          <w:sz w:val="32"/>
          <w:szCs w:val="32"/>
          <w:highlight w:val="none"/>
        </w:rPr>
        <w:t>4</w:t>
      </w:r>
      <w:r>
        <w:rPr>
          <w:rFonts w:ascii="仿宋_GB2312" w:eastAsia="仿宋_GB2312"/>
          <w:color w:val="auto"/>
          <w:kern w:val="2"/>
          <w:sz w:val="32"/>
          <w:szCs w:val="32"/>
          <w:highlight w:val="none"/>
          <w:lang w:val="zh-CN"/>
        </w:rPr>
        <w:t>.卫生健康支出（类）</w:t>
      </w:r>
      <w:r>
        <w:rPr>
          <w:rFonts w:hint="eastAsia" w:ascii="仿宋_GB2312" w:eastAsia="仿宋_GB2312"/>
          <w:color w:val="auto"/>
          <w:kern w:val="2"/>
          <w:sz w:val="32"/>
          <w:szCs w:val="32"/>
          <w:highlight w:val="none"/>
          <w:lang w:val="zh-CN"/>
        </w:rPr>
        <w:t>15.70</w:t>
      </w:r>
      <w:r>
        <w:rPr>
          <w:rFonts w:ascii="仿宋_GB2312" w:eastAsia="仿宋_GB2312"/>
          <w:color w:val="auto"/>
          <w:kern w:val="2"/>
          <w:sz w:val="32"/>
          <w:szCs w:val="32"/>
          <w:highlight w:val="none"/>
          <w:lang w:val="zh-CN"/>
        </w:rPr>
        <w:t>万元，占</w:t>
      </w:r>
      <w:r>
        <w:rPr>
          <w:rFonts w:hint="eastAsia" w:ascii="仿宋_GB2312" w:eastAsia="仿宋_GB2312"/>
          <w:color w:val="auto"/>
          <w:kern w:val="2"/>
          <w:sz w:val="32"/>
          <w:szCs w:val="32"/>
          <w:highlight w:val="none"/>
          <w:lang w:val="zh-CN"/>
        </w:rPr>
        <w:t>3.38</w:t>
      </w:r>
      <w:r>
        <w:rPr>
          <w:rFonts w:ascii="仿宋_GB2312" w:eastAsia="仿宋_GB2312"/>
          <w:color w:val="auto"/>
          <w:kern w:val="2"/>
          <w:sz w:val="32"/>
          <w:szCs w:val="32"/>
          <w:highlight w:val="none"/>
          <w:lang w:val="zh-CN"/>
        </w:rPr>
        <w:t>%；</w:t>
      </w:r>
    </w:p>
    <w:p>
      <w:pPr>
        <w:pStyle w:val="12"/>
        <w:widowControl/>
        <w:spacing w:before="0" w:beforeAutospacing="0" w:after="0" w:afterAutospacing="0"/>
        <w:ind w:firstLine="640" w:firstLineChars="200"/>
        <w:rPr>
          <w:rFonts w:ascii="仿宋_GB2312" w:eastAsia="仿宋_GB2312"/>
          <w:color w:val="auto"/>
          <w:kern w:val="2"/>
          <w:sz w:val="32"/>
          <w:szCs w:val="32"/>
          <w:highlight w:val="none"/>
          <w:lang w:val="zh-CN"/>
        </w:rPr>
      </w:pPr>
      <w:r>
        <w:rPr>
          <w:rFonts w:hint="eastAsia" w:ascii="仿宋_GB2312" w:eastAsia="仿宋_GB2312"/>
          <w:color w:val="auto"/>
          <w:kern w:val="2"/>
          <w:sz w:val="32"/>
          <w:szCs w:val="32"/>
          <w:highlight w:val="none"/>
        </w:rPr>
        <w:t>5</w:t>
      </w:r>
      <w:r>
        <w:rPr>
          <w:rFonts w:ascii="仿宋_GB2312" w:eastAsia="仿宋_GB2312"/>
          <w:color w:val="auto"/>
          <w:kern w:val="2"/>
          <w:sz w:val="32"/>
          <w:szCs w:val="32"/>
          <w:highlight w:val="none"/>
          <w:lang w:val="zh-CN"/>
        </w:rPr>
        <w:t>.住房保障支出（类）</w:t>
      </w:r>
      <w:r>
        <w:rPr>
          <w:rFonts w:hint="eastAsia" w:ascii="仿宋_GB2312" w:eastAsia="仿宋_GB2312"/>
          <w:color w:val="auto"/>
          <w:kern w:val="2"/>
          <w:sz w:val="32"/>
          <w:szCs w:val="32"/>
          <w:highlight w:val="none"/>
          <w:lang w:val="zh-CN"/>
        </w:rPr>
        <w:t>20.74</w:t>
      </w:r>
      <w:r>
        <w:rPr>
          <w:rFonts w:ascii="仿宋_GB2312" w:eastAsia="仿宋_GB2312"/>
          <w:color w:val="auto"/>
          <w:kern w:val="2"/>
          <w:sz w:val="32"/>
          <w:szCs w:val="32"/>
          <w:highlight w:val="none"/>
          <w:lang w:val="zh-CN"/>
        </w:rPr>
        <w:t>万元，占</w:t>
      </w:r>
      <w:r>
        <w:rPr>
          <w:rFonts w:hint="eastAsia" w:ascii="仿宋_GB2312" w:eastAsia="仿宋_GB2312"/>
          <w:color w:val="auto"/>
          <w:kern w:val="2"/>
          <w:sz w:val="32"/>
          <w:szCs w:val="32"/>
          <w:highlight w:val="none"/>
          <w:lang w:val="zh-CN"/>
        </w:rPr>
        <w:t>4.47</w:t>
      </w:r>
      <w:r>
        <w:rPr>
          <w:rFonts w:ascii="仿宋_GB2312" w:eastAsia="仿宋_GB2312"/>
          <w:color w:val="auto"/>
          <w:kern w:val="2"/>
          <w:sz w:val="32"/>
          <w:szCs w:val="32"/>
          <w:highlight w:val="none"/>
          <w:lang w:val="zh-CN"/>
        </w:rPr>
        <w:t>%；</w:t>
      </w:r>
    </w:p>
    <w:p>
      <w:pPr>
        <w:ind w:firstLine="640" w:firstLineChars="200"/>
        <w:jc w:val="left"/>
        <w:outlineLvl w:val="2"/>
        <w:rPr>
          <w:rFonts w:ascii="黑体" w:hAnsi="黑体" w:eastAsia="黑体"/>
          <w:color w:val="auto"/>
          <w:sz w:val="32"/>
          <w:szCs w:val="32"/>
          <w:highlight w:val="none"/>
        </w:rPr>
      </w:pPr>
      <w:r>
        <w:rPr>
          <w:rFonts w:hint="eastAsia" w:ascii="黑体" w:hAnsi="黑体" w:eastAsia="黑体"/>
          <w:color w:val="auto"/>
          <w:sz w:val="32"/>
          <w:szCs w:val="32"/>
          <w:highlight w:val="none"/>
        </w:rPr>
        <w:t>（三）一般公共预算财政拨款支出决算具体情况</w:t>
      </w:r>
    </w:p>
    <w:p>
      <w:pPr>
        <w:ind w:firstLine="640" w:firstLineChars="200"/>
        <w:rPr>
          <w:rFonts w:hint="eastAsia" w:eastAsia="仿宋_GB2312"/>
          <w:bCs/>
          <w:sz w:val="32"/>
          <w:szCs w:val="32"/>
          <w:highlight w:val="none"/>
        </w:rPr>
      </w:pPr>
      <w:r>
        <w:rPr>
          <w:rFonts w:hint="eastAsia" w:eastAsia="仿宋_GB2312"/>
          <w:bCs/>
          <w:sz w:val="32"/>
          <w:szCs w:val="32"/>
          <w:highlight w:val="none"/>
        </w:rPr>
        <w:t>1.一般公共服务支出（类）审计事务（款）行政运行（项）:支出决算数为222.53万元，比上年决算增加1.97万元，增长0.89%，主要原因是：审计业务费用增加，因此行政运行支出决算数较上年增加</w:t>
      </w:r>
      <w:r>
        <w:rPr>
          <w:rFonts w:hint="eastAsia" w:eastAsia="仿宋_GB2312"/>
          <w:bCs/>
          <w:sz w:val="32"/>
          <w:szCs w:val="32"/>
          <w:highlight w:val="none"/>
          <w:lang w:val="zh-CN"/>
        </w:rPr>
        <w:t>。</w:t>
      </w:r>
    </w:p>
    <w:p>
      <w:pPr>
        <w:ind w:firstLine="640" w:firstLineChars="200"/>
        <w:rPr>
          <w:rFonts w:hint="eastAsia" w:eastAsia="仿宋_GB2312"/>
          <w:bCs/>
          <w:sz w:val="32"/>
          <w:szCs w:val="32"/>
          <w:highlight w:val="none"/>
          <w:lang w:val="zh-CN"/>
        </w:rPr>
      </w:pPr>
      <w:r>
        <w:rPr>
          <w:rFonts w:hint="eastAsia" w:eastAsia="仿宋_GB2312"/>
          <w:bCs/>
          <w:sz w:val="32"/>
          <w:szCs w:val="32"/>
          <w:highlight w:val="none"/>
        </w:rPr>
        <w:t>2.一般公共服务支出（类）审计事务（款）审计业务（项）:支出决算数为133.04万元，比上年决算增加0.04万元，增长0.03%，主要原因是：审计委托业务费较上年增加0.04万元</w:t>
      </w:r>
      <w:r>
        <w:rPr>
          <w:rFonts w:hint="eastAsia" w:eastAsia="仿宋_GB2312"/>
          <w:bCs/>
          <w:sz w:val="32"/>
          <w:szCs w:val="32"/>
          <w:highlight w:val="none"/>
          <w:lang w:val="zh-CN"/>
        </w:rPr>
        <w:t>。</w:t>
      </w:r>
    </w:p>
    <w:p>
      <w:pPr>
        <w:ind w:firstLine="640" w:firstLineChars="200"/>
        <w:rPr>
          <w:rFonts w:hint="eastAsia" w:eastAsia="仿宋_GB2312"/>
          <w:bCs/>
          <w:sz w:val="32"/>
          <w:szCs w:val="32"/>
          <w:highlight w:val="none"/>
          <w:lang w:val="zh-CN"/>
        </w:rPr>
      </w:pPr>
      <w:r>
        <w:rPr>
          <w:rFonts w:hint="eastAsia" w:eastAsia="仿宋_GB2312"/>
          <w:bCs/>
          <w:sz w:val="32"/>
          <w:szCs w:val="32"/>
          <w:highlight w:val="none"/>
        </w:rPr>
        <w:t>3.教育支出（类）进修及培训（款）培训支出（项）:支出决算数为0.58万元，比上年决算增加0.58万元，增长100%，主要原因是：3人外出培训，因此培训支出决算数较上年</w:t>
      </w:r>
      <w:r>
        <w:rPr>
          <w:rFonts w:hint="eastAsia" w:eastAsia="仿宋_GB2312"/>
          <w:bCs/>
          <w:sz w:val="32"/>
          <w:szCs w:val="32"/>
          <w:highlight w:val="none"/>
          <w:lang w:eastAsia="zh-CN"/>
        </w:rPr>
        <w:t>增加</w:t>
      </w:r>
      <w:r>
        <w:rPr>
          <w:rFonts w:hint="eastAsia" w:eastAsia="仿宋_GB2312"/>
          <w:bCs/>
          <w:sz w:val="32"/>
          <w:szCs w:val="32"/>
          <w:highlight w:val="none"/>
          <w:lang w:val="zh-CN"/>
        </w:rPr>
        <w:t>。</w:t>
      </w:r>
    </w:p>
    <w:p>
      <w:pPr>
        <w:ind w:firstLine="640" w:firstLineChars="200"/>
        <w:rPr>
          <w:rFonts w:hint="eastAsia" w:eastAsia="仿宋_GB2312"/>
          <w:bCs/>
          <w:sz w:val="32"/>
          <w:szCs w:val="32"/>
          <w:highlight w:val="none"/>
          <w:lang w:val="zh-CN"/>
        </w:rPr>
      </w:pPr>
      <w:r>
        <w:rPr>
          <w:rFonts w:hint="eastAsia" w:eastAsia="仿宋_GB2312"/>
          <w:bCs/>
          <w:sz w:val="32"/>
          <w:szCs w:val="32"/>
          <w:highlight w:val="none"/>
        </w:rPr>
        <w:t>4.社会保障和就业支出（类）行政事业单位养老支出（款）行政单位离退休（项）:支出决算数为38.84万元，比上年决算增加32.64万元，增长526.</w:t>
      </w:r>
      <w:r>
        <w:rPr>
          <w:rFonts w:hint="eastAsia" w:eastAsia="仿宋_GB2312"/>
          <w:bCs/>
          <w:sz w:val="32"/>
          <w:szCs w:val="32"/>
          <w:highlight w:val="none"/>
          <w:lang w:val="en-US" w:eastAsia="zh-CN"/>
        </w:rPr>
        <w:t>45</w:t>
      </w:r>
      <w:r>
        <w:rPr>
          <w:rFonts w:hint="eastAsia" w:eastAsia="仿宋_GB2312"/>
          <w:bCs/>
          <w:sz w:val="32"/>
          <w:szCs w:val="32"/>
          <w:highlight w:val="none"/>
        </w:rPr>
        <w:t>%，主要原因是：退休人员增加2人，一名退休人员死亡，增加死亡抚恤金。因此行政单位离退休支出决算数较上年增加</w:t>
      </w:r>
      <w:r>
        <w:rPr>
          <w:rFonts w:hint="eastAsia" w:eastAsia="仿宋_GB2312"/>
          <w:bCs/>
          <w:sz w:val="32"/>
          <w:szCs w:val="32"/>
          <w:highlight w:val="none"/>
          <w:lang w:val="zh-CN"/>
        </w:rPr>
        <w:t>。</w:t>
      </w:r>
    </w:p>
    <w:p>
      <w:pPr>
        <w:ind w:firstLine="640" w:firstLineChars="200"/>
        <w:rPr>
          <w:rFonts w:hint="eastAsia" w:eastAsia="仿宋_GB2312"/>
          <w:bCs/>
          <w:sz w:val="32"/>
          <w:szCs w:val="32"/>
          <w:highlight w:val="none"/>
          <w:lang w:val="zh-CN"/>
        </w:rPr>
      </w:pPr>
      <w:r>
        <w:rPr>
          <w:rFonts w:hint="eastAsia" w:eastAsia="仿宋_GB2312"/>
          <w:bCs/>
          <w:sz w:val="32"/>
          <w:szCs w:val="32"/>
          <w:highlight w:val="none"/>
        </w:rPr>
        <w:t>5.社会保障和就业支出（类）行政事业单位养老支出（款）机关事业单位基本养老保险缴费支出（项）:支出决算数为25.58万元，比上年决算减少1.84万元，下降6.70%，主要原因是：辞职2人，因此机关事业单位基本养老保险缴费支出决算数较上年</w:t>
      </w:r>
      <w:r>
        <w:rPr>
          <w:rFonts w:hint="eastAsia" w:eastAsia="仿宋_GB2312"/>
          <w:bCs/>
          <w:sz w:val="32"/>
          <w:szCs w:val="32"/>
          <w:highlight w:val="none"/>
          <w:lang w:eastAsia="zh-CN"/>
        </w:rPr>
        <w:t>减少</w:t>
      </w:r>
      <w:r>
        <w:rPr>
          <w:rFonts w:hint="eastAsia" w:eastAsia="仿宋_GB2312"/>
          <w:bCs/>
          <w:sz w:val="32"/>
          <w:szCs w:val="32"/>
          <w:highlight w:val="none"/>
          <w:lang w:val="zh-CN"/>
        </w:rPr>
        <w:t>。</w:t>
      </w:r>
    </w:p>
    <w:p>
      <w:pPr>
        <w:ind w:firstLine="640" w:firstLineChars="200"/>
        <w:rPr>
          <w:rFonts w:hint="eastAsia" w:eastAsia="仿宋_GB2312"/>
          <w:bCs/>
          <w:sz w:val="32"/>
          <w:szCs w:val="32"/>
          <w:highlight w:val="none"/>
          <w:lang w:val="zh-CN"/>
        </w:rPr>
      </w:pPr>
      <w:r>
        <w:rPr>
          <w:rFonts w:hint="eastAsia" w:eastAsia="仿宋_GB2312"/>
          <w:bCs/>
          <w:sz w:val="32"/>
          <w:szCs w:val="32"/>
          <w:highlight w:val="none"/>
        </w:rPr>
        <w:t>6.社会保障和就业支出（类）行政事业单位养老支出（款）机关事业单位职业年金缴费支出（项）:支出决算数为6.93万元，比上年决算增加1.31万元，增长</w:t>
      </w:r>
      <w:r>
        <w:rPr>
          <w:rFonts w:hint="eastAsia" w:eastAsia="仿宋_GB2312"/>
          <w:bCs/>
          <w:sz w:val="32"/>
          <w:szCs w:val="32"/>
          <w:highlight w:val="none"/>
          <w:lang w:val="en-US" w:eastAsia="zh-CN"/>
        </w:rPr>
        <w:t>23.31</w:t>
      </w:r>
      <w:r>
        <w:rPr>
          <w:rFonts w:hint="eastAsia" w:eastAsia="仿宋_GB2312"/>
          <w:bCs/>
          <w:sz w:val="32"/>
          <w:szCs w:val="32"/>
          <w:highlight w:val="none"/>
        </w:rPr>
        <w:t>%，主要原因是：工资调增，机关事业单位职业年金缴费基数增加，因此支出决算数较上年增加</w:t>
      </w:r>
      <w:r>
        <w:rPr>
          <w:rFonts w:hint="eastAsia" w:eastAsia="仿宋_GB2312"/>
          <w:bCs/>
          <w:sz w:val="32"/>
          <w:szCs w:val="32"/>
          <w:highlight w:val="none"/>
          <w:lang w:val="zh-CN"/>
        </w:rPr>
        <w:t>。</w:t>
      </w:r>
    </w:p>
    <w:p>
      <w:pPr>
        <w:ind w:firstLine="640" w:firstLineChars="200"/>
        <w:rPr>
          <w:rFonts w:hint="eastAsia" w:eastAsia="仿宋_GB2312"/>
          <w:bCs/>
          <w:sz w:val="32"/>
          <w:szCs w:val="32"/>
          <w:highlight w:val="none"/>
          <w:lang w:val="zh-CN"/>
        </w:rPr>
      </w:pPr>
      <w:r>
        <w:rPr>
          <w:rFonts w:hint="eastAsia" w:eastAsia="仿宋_GB2312"/>
          <w:bCs/>
          <w:sz w:val="32"/>
          <w:szCs w:val="32"/>
          <w:highlight w:val="none"/>
        </w:rPr>
        <w:t>7.社会保障和就业支出（类）就业补助（款）公益性岗位补贴（项）:支出决算数为0.45万元，比上年决算减少2.90万元，下降86.</w:t>
      </w:r>
      <w:r>
        <w:rPr>
          <w:rFonts w:hint="eastAsia" w:eastAsia="仿宋_GB2312"/>
          <w:bCs/>
          <w:sz w:val="32"/>
          <w:szCs w:val="32"/>
          <w:highlight w:val="none"/>
          <w:lang w:val="en-US" w:eastAsia="zh-CN"/>
        </w:rPr>
        <w:t>57</w:t>
      </w:r>
      <w:r>
        <w:rPr>
          <w:rFonts w:hint="eastAsia" w:eastAsia="仿宋_GB2312"/>
          <w:bCs/>
          <w:sz w:val="32"/>
          <w:szCs w:val="32"/>
          <w:highlight w:val="none"/>
        </w:rPr>
        <w:t>%，主要原因是：公益性岗位1人辞职，因此公益性岗位补贴支出决算数较上年</w:t>
      </w:r>
      <w:r>
        <w:rPr>
          <w:rFonts w:hint="eastAsia" w:eastAsia="仿宋_GB2312"/>
          <w:bCs/>
          <w:sz w:val="32"/>
          <w:szCs w:val="32"/>
          <w:highlight w:val="none"/>
          <w:lang w:val="en-US" w:eastAsia="zh-CN"/>
        </w:rPr>
        <w:t>减少</w:t>
      </w:r>
      <w:bookmarkStart w:id="48" w:name="_GoBack"/>
      <w:bookmarkEnd w:id="48"/>
      <w:r>
        <w:rPr>
          <w:rFonts w:hint="eastAsia" w:eastAsia="仿宋_GB2312"/>
          <w:bCs/>
          <w:sz w:val="32"/>
          <w:szCs w:val="32"/>
          <w:highlight w:val="none"/>
          <w:lang w:val="zh-CN"/>
        </w:rPr>
        <w:t>。</w:t>
      </w:r>
    </w:p>
    <w:p>
      <w:pPr>
        <w:ind w:firstLine="640" w:firstLineChars="200"/>
        <w:rPr>
          <w:rFonts w:hint="eastAsia" w:eastAsia="仿宋_GB2312"/>
          <w:bCs/>
          <w:sz w:val="32"/>
          <w:szCs w:val="32"/>
          <w:highlight w:val="none"/>
          <w:lang w:val="zh-CN"/>
        </w:rPr>
      </w:pPr>
      <w:r>
        <w:rPr>
          <w:rFonts w:hint="eastAsia" w:eastAsia="仿宋_GB2312"/>
          <w:bCs/>
          <w:sz w:val="32"/>
          <w:szCs w:val="32"/>
          <w:highlight w:val="none"/>
        </w:rPr>
        <w:t>8.卫生健康支出（类）行政事业单位医疗（款）行政单位医疗（项）:支出决算数为12.45万元，比上年决算减少6.45万元，下降34.12%，主要原因是：辞职2人，因此行政单位医疗支出决算数较上年减少</w:t>
      </w:r>
      <w:r>
        <w:rPr>
          <w:rFonts w:hint="eastAsia" w:eastAsia="仿宋_GB2312"/>
          <w:bCs/>
          <w:sz w:val="32"/>
          <w:szCs w:val="32"/>
          <w:highlight w:val="none"/>
          <w:lang w:val="zh-CN"/>
        </w:rPr>
        <w:t>。</w:t>
      </w:r>
    </w:p>
    <w:p>
      <w:pPr>
        <w:ind w:firstLine="640" w:firstLineChars="200"/>
        <w:rPr>
          <w:rFonts w:hint="eastAsia" w:eastAsia="仿宋_GB2312"/>
          <w:bCs/>
          <w:sz w:val="32"/>
          <w:szCs w:val="32"/>
          <w:highlight w:val="none"/>
          <w:lang w:val="zh-CN"/>
        </w:rPr>
      </w:pPr>
      <w:r>
        <w:rPr>
          <w:rFonts w:hint="eastAsia" w:eastAsia="仿宋_GB2312"/>
          <w:bCs/>
          <w:sz w:val="32"/>
          <w:szCs w:val="32"/>
          <w:highlight w:val="none"/>
        </w:rPr>
        <w:t>9.卫生健康支出（类）行政事业单位医疗（款）公务员医疗补助（项）:支出决算数为3.25万元，比上年决算减少3.67万元，下降53.03%，主要原因是：辞职1人，因此公务员医疗补助支出决算数较上年减少</w:t>
      </w:r>
      <w:r>
        <w:rPr>
          <w:rFonts w:hint="eastAsia" w:eastAsia="仿宋_GB2312"/>
          <w:bCs/>
          <w:sz w:val="32"/>
          <w:szCs w:val="32"/>
          <w:highlight w:val="none"/>
          <w:lang w:val="zh-CN"/>
        </w:rPr>
        <w:t>。</w:t>
      </w:r>
    </w:p>
    <w:p>
      <w:pPr>
        <w:ind w:firstLine="640" w:firstLineChars="200"/>
        <w:rPr>
          <w:rFonts w:hint="eastAsia" w:eastAsia="仿宋_GB2312"/>
          <w:bCs/>
          <w:sz w:val="32"/>
          <w:szCs w:val="32"/>
          <w:highlight w:val="none"/>
        </w:rPr>
      </w:pPr>
      <w:r>
        <w:rPr>
          <w:rFonts w:hint="eastAsia" w:eastAsia="仿宋_GB2312"/>
          <w:bCs/>
          <w:sz w:val="32"/>
          <w:szCs w:val="32"/>
          <w:highlight w:val="none"/>
        </w:rPr>
        <w:t>10.住房保障支出（类）住房改革支出（款）住房公积金（项）:支出决算数为20.74万元，比上年决算减少0.65万元，下降3.05%，主要原因是：辞职2人，退休2人，因此住房公积金支出决算数较上年</w:t>
      </w:r>
      <w:r>
        <w:rPr>
          <w:rFonts w:hint="eastAsia" w:eastAsia="仿宋_GB2312"/>
          <w:bCs/>
          <w:sz w:val="32"/>
          <w:szCs w:val="32"/>
          <w:highlight w:val="none"/>
          <w:lang w:eastAsia="zh-CN"/>
        </w:rPr>
        <w:t>减少</w:t>
      </w:r>
      <w:r>
        <w:rPr>
          <w:rFonts w:hint="eastAsia" w:eastAsia="仿宋_GB2312"/>
          <w:bCs/>
          <w:sz w:val="32"/>
          <w:szCs w:val="32"/>
          <w:highlight w:val="none"/>
          <w:lang w:val="zh-CN"/>
        </w:rPr>
        <w:t>。</w:t>
      </w:r>
    </w:p>
    <w:p>
      <w:pPr>
        <w:ind w:firstLine="640" w:firstLineChars="200"/>
        <w:jc w:val="left"/>
        <w:outlineLvl w:val="1"/>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六、一般公共预算财政拨款基本支出决算情况说明</w:t>
      </w:r>
    </w:p>
    <w:p>
      <w:pPr>
        <w:ind w:firstLine="640" w:firstLineChars="20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2023年度一般公共预算财政拨款基本支出331.34万元，其中：人员经费317.88万元，包括：基本工资、津贴补贴、奖金、机关事业单位基本养老保险缴费、职业年金缴费、职工基本医疗保险缴费、公务员医疗补助缴费、其他社会保障缴费、住房公积金、其他工资福利支出、退休费、抚恤金。</w:t>
      </w:r>
    </w:p>
    <w:p>
      <w:pPr>
        <w:ind w:firstLine="640" w:firstLineChars="20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公用经费13.46万元，包括：办公费、印刷费、邮电费、差旅费、培训费、工会经费、福利费、公务用车运行维护费、其他交通费用。</w:t>
      </w:r>
    </w:p>
    <w:p>
      <w:pPr>
        <w:ind w:firstLine="640" w:firstLineChars="200"/>
        <w:jc w:val="left"/>
        <w:outlineLvl w:val="1"/>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七、财政拨款“三公”经费支出决算情况说明</w:t>
      </w:r>
    </w:p>
    <w:p>
      <w:pPr>
        <w:ind w:firstLine="640" w:firstLineChars="200"/>
        <w:jc w:val="left"/>
        <w:rPr>
          <w:rFonts w:eastAsia="仿宋_GB2312"/>
          <w:color w:val="auto"/>
          <w:sz w:val="32"/>
          <w:szCs w:val="32"/>
          <w:highlight w:val="none"/>
          <w:lang w:val="zh-CN"/>
        </w:rPr>
      </w:pPr>
      <w:r>
        <w:rPr>
          <w:rFonts w:hint="eastAsia" w:ascii="仿宋_GB2312" w:eastAsia="仿宋_GB2312"/>
          <w:color w:val="auto"/>
          <w:sz w:val="32"/>
          <w:szCs w:val="32"/>
          <w:highlight w:val="none"/>
          <w:lang w:val="zh-CN"/>
        </w:rPr>
        <w:t>2023年度</w:t>
      </w:r>
      <w:r>
        <w:rPr>
          <w:rFonts w:hint="eastAsia" w:ascii="仿宋_GB2312" w:eastAsia="仿宋_GB2312"/>
          <w:color w:val="auto"/>
          <w:sz w:val="32"/>
          <w:szCs w:val="32"/>
          <w:highlight w:val="none"/>
        </w:rPr>
        <w:t>财政拨款</w:t>
      </w:r>
      <w:r>
        <w:rPr>
          <w:rFonts w:hint="eastAsia" w:ascii="仿宋_GB2312" w:eastAsia="仿宋_GB2312"/>
          <w:color w:val="auto"/>
          <w:sz w:val="32"/>
          <w:szCs w:val="32"/>
          <w:highlight w:val="none"/>
          <w:lang w:val="zh-CN"/>
        </w:rPr>
        <w:t>“三公”经费支出1.28万元，</w:t>
      </w:r>
      <w:r>
        <w:rPr>
          <w:rFonts w:hint="eastAsia" w:ascii="仿宋_GB2312" w:eastAsia="仿宋_GB2312"/>
          <w:color w:val="auto"/>
          <w:sz w:val="32"/>
          <w:szCs w:val="32"/>
          <w:highlight w:val="none"/>
        </w:rPr>
        <w:t>比上年</w:t>
      </w:r>
      <w:r>
        <w:rPr>
          <w:rFonts w:hint="eastAsia" w:ascii="仿宋_GB2312" w:eastAsia="仿宋_GB2312"/>
          <w:color w:val="auto"/>
          <w:sz w:val="32"/>
          <w:szCs w:val="32"/>
          <w:highlight w:val="none"/>
          <w:lang w:val="zh-CN"/>
        </w:rPr>
        <w:t>增加0.00万元，</w:t>
      </w:r>
      <w:r>
        <w:rPr>
          <w:rFonts w:hint="eastAsia" w:ascii="仿宋_GB2312" w:eastAsia="仿宋_GB2312"/>
          <w:color w:val="auto"/>
          <w:sz w:val="32"/>
          <w:szCs w:val="32"/>
          <w:highlight w:val="none"/>
        </w:rPr>
        <w:t>增长0.00%,</w:t>
      </w:r>
      <w:r>
        <w:rPr>
          <w:rFonts w:hint="eastAsia" w:eastAsia="仿宋_GB2312"/>
          <w:color w:val="auto"/>
          <w:sz w:val="32"/>
          <w:szCs w:val="32"/>
          <w:highlight w:val="none"/>
          <w:lang w:val="zh-CN"/>
        </w:rPr>
        <w:t>主要原因是：本年严格按照三公经费只减不增的原则，从预算源头进行控制“三公”经费，践行绿色出行。财政拨款“三公”经费支出较上年无变化。</w:t>
      </w:r>
      <w:r>
        <w:rPr>
          <w:rFonts w:hint="eastAsia" w:ascii="仿宋_GB2312" w:eastAsia="仿宋_GB2312"/>
          <w:color w:val="auto"/>
          <w:sz w:val="32"/>
          <w:szCs w:val="32"/>
          <w:highlight w:val="none"/>
          <w:lang w:val="zh-CN"/>
        </w:rPr>
        <w:t>其中：因公出国（境）费支出0.00万元，占0.00%，比上年增加0.00万元，</w:t>
      </w:r>
      <w:r>
        <w:rPr>
          <w:rFonts w:hint="eastAsia" w:ascii="仿宋_GB2312" w:eastAsia="仿宋_GB2312"/>
          <w:color w:val="auto"/>
          <w:sz w:val="32"/>
          <w:szCs w:val="32"/>
          <w:highlight w:val="none"/>
        </w:rPr>
        <w:t>增长0.00%,</w:t>
      </w:r>
      <w:r>
        <w:rPr>
          <w:rFonts w:hint="eastAsia" w:eastAsia="仿宋_GB2312"/>
          <w:color w:val="auto"/>
          <w:sz w:val="32"/>
          <w:szCs w:val="32"/>
          <w:highlight w:val="none"/>
          <w:lang w:val="zh-CN"/>
        </w:rPr>
        <w:t>主要原因是：本年无因公出国（境）费支出，与上年相比无变动；</w:t>
      </w:r>
      <w:r>
        <w:rPr>
          <w:rFonts w:hint="eastAsia" w:ascii="仿宋_GB2312" w:eastAsia="仿宋_GB2312"/>
          <w:color w:val="auto"/>
          <w:sz w:val="32"/>
          <w:szCs w:val="32"/>
          <w:highlight w:val="none"/>
          <w:lang w:val="zh-CN"/>
        </w:rPr>
        <w:t>公务用车购置及运行维护费支出1.28万元，占100.00%，比上年增加0.00万元，</w:t>
      </w:r>
      <w:r>
        <w:rPr>
          <w:rFonts w:hint="eastAsia" w:ascii="仿宋_GB2312" w:eastAsia="仿宋_GB2312"/>
          <w:color w:val="auto"/>
          <w:sz w:val="32"/>
          <w:szCs w:val="32"/>
          <w:highlight w:val="none"/>
        </w:rPr>
        <w:t>增长0.00%,</w:t>
      </w:r>
      <w:r>
        <w:rPr>
          <w:rFonts w:hint="eastAsia" w:eastAsia="仿宋_GB2312"/>
          <w:color w:val="auto"/>
          <w:sz w:val="32"/>
          <w:szCs w:val="32"/>
          <w:highlight w:val="none"/>
          <w:lang w:val="zh-CN"/>
        </w:rPr>
        <w:t>主要原因是：本年严格按照三公经费只减不增的原则，从预算源头进行控制“三公”经费，践行绿色出行。公务用车购置及运行维护费经费较上年无变化；</w:t>
      </w:r>
      <w:r>
        <w:rPr>
          <w:rFonts w:hint="eastAsia" w:ascii="仿宋_GB2312" w:eastAsia="仿宋_GB2312"/>
          <w:color w:val="auto"/>
          <w:sz w:val="32"/>
          <w:szCs w:val="32"/>
          <w:highlight w:val="none"/>
          <w:lang w:val="zh-CN"/>
        </w:rPr>
        <w:t>公务接待费支出0.00万元，占0.00%，比上年增加0.00万元，</w:t>
      </w:r>
      <w:r>
        <w:rPr>
          <w:rFonts w:hint="eastAsia" w:ascii="仿宋_GB2312" w:eastAsia="仿宋_GB2312"/>
          <w:color w:val="auto"/>
          <w:sz w:val="32"/>
          <w:szCs w:val="32"/>
          <w:highlight w:val="none"/>
        </w:rPr>
        <w:t>增长0.00%,</w:t>
      </w:r>
      <w:r>
        <w:rPr>
          <w:rFonts w:hint="eastAsia" w:eastAsia="仿宋_GB2312"/>
          <w:color w:val="auto"/>
          <w:sz w:val="32"/>
          <w:szCs w:val="32"/>
          <w:highlight w:val="none"/>
          <w:lang w:val="zh-CN"/>
        </w:rPr>
        <w:t>主要原因是：本年未安排公务接待费，与上年相比无变动。</w:t>
      </w:r>
    </w:p>
    <w:p>
      <w:pPr>
        <w:ind w:firstLine="640" w:firstLineChars="200"/>
        <w:jc w:val="left"/>
        <w:rPr>
          <w:rFonts w:ascii="仿宋_GB2312" w:eastAsia="仿宋_GB2312"/>
          <w:color w:val="auto"/>
          <w:sz w:val="32"/>
          <w:szCs w:val="32"/>
          <w:highlight w:val="none"/>
          <w:lang w:val="zh-CN"/>
        </w:rPr>
      </w:pPr>
      <w:r>
        <w:rPr>
          <w:rFonts w:hint="eastAsia" w:ascii="仿宋_GB2312" w:eastAsia="仿宋_GB2312"/>
          <w:color w:val="auto"/>
          <w:sz w:val="32"/>
          <w:szCs w:val="32"/>
          <w:highlight w:val="none"/>
          <w:lang w:val="zh-CN"/>
        </w:rPr>
        <w:t>具体情况如下：</w:t>
      </w:r>
    </w:p>
    <w:p>
      <w:pPr>
        <w:ind w:firstLine="640" w:firstLineChars="200"/>
        <w:jc w:val="left"/>
        <w:rPr>
          <w:rFonts w:ascii="仿宋_GB2312" w:eastAsia="仿宋_GB2312"/>
          <w:color w:val="auto"/>
          <w:sz w:val="32"/>
          <w:szCs w:val="32"/>
          <w:highlight w:val="none"/>
          <w:lang w:val="zh-CN"/>
        </w:rPr>
      </w:pPr>
      <w:r>
        <w:rPr>
          <w:rFonts w:hint="eastAsia" w:ascii="仿宋_GB2312" w:eastAsia="仿宋_GB2312"/>
          <w:color w:val="auto"/>
          <w:sz w:val="32"/>
          <w:szCs w:val="32"/>
          <w:highlight w:val="none"/>
          <w:lang w:val="zh-CN"/>
        </w:rPr>
        <w:t>因公出国（境）费支出0.00万元，</w:t>
      </w:r>
      <w:r>
        <w:rPr>
          <w:rFonts w:hint="eastAsia" w:eastAsia="仿宋_GB2312"/>
          <w:color w:val="auto"/>
          <w:sz w:val="32"/>
          <w:szCs w:val="32"/>
          <w:highlight w:val="none"/>
          <w:lang w:val="zh-CN"/>
        </w:rPr>
        <w:t>开支内容包括我单位无因公出国（境）费。</w:t>
      </w:r>
      <w:r>
        <w:rPr>
          <w:rFonts w:hint="eastAsia" w:ascii="仿宋_GB2312" w:eastAsia="仿宋_GB2312"/>
          <w:color w:val="auto"/>
          <w:sz w:val="32"/>
          <w:szCs w:val="32"/>
          <w:highlight w:val="none"/>
          <w:lang w:val="zh-CN"/>
        </w:rPr>
        <w:t>单位全年安排的因公出国（境）团组0个，因公出国（境）0人次。</w:t>
      </w:r>
    </w:p>
    <w:p>
      <w:pPr>
        <w:ind w:firstLine="640" w:firstLineChars="200"/>
        <w:jc w:val="left"/>
        <w:rPr>
          <w:rFonts w:eastAsia="仿宋_GB2312"/>
          <w:color w:val="auto"/>
          <w:sz w:val="32"/>
          <w:szCs w:val="32"/>
          <w:highlight w:val="none"/>
        </w:rPr>
      </w:pPr>
      <w:r>
        <w:rPr>
          <w:rFonts w:hint="eastAsia" w:ascii="仿宋_GB2312" w:eastAsia="仿宋_GB2312"/>
          <w:color w:val="auto"/>
          <w:sz w:val="32"/>
          <w:szCs w:val="32"/>
          <w:highlight w:val="none"/>
          <w:lang w:val="zh-CN"/>
        </w:rPr>
        <w:t>公务用车购置及运行维护费1.28万元，其中：公务用车购置费0.00万元，公务用车运行维护费1.28万元。公务用车运行维护费开</w:t>
      </w:r>
      <w:r>
        <w:rPr>
          <w:rFonts w:hint="eastAsia" w:eastAsia="仿宋_GB2312"/>
          <w:color w:val="auto"/>
          <w:sz w:val="32"/>
          <w:szCs w:val="32"/>
          <w:highlight w:val="none"/>
          <w:lang w:val="zh-CN"/>
        </w:rPr>
        <w:t>支内容包括车辆维修维护费、车辆加油费以及车辆保险等费用</w:t>
      </w:r>
      <w:r>
        <w:rPr>
          <w:rFonts w:hint="eastAsia" w:ascii="仿宋_GB2312" w:eastAsia="仿宋_GB2312"/>
          <w:color w:val="auto"/>
          <w:sz w:val="32"/>
          <w:szCs w:val="32"/>
          <w:highlight w:val="none"/>
          <w:lang w:val="zh-CN"/>
        </w:rPr>
        <w:t>。公务用车购置数0辆，公务用车保有量2辆。国有资产占用情况</w:t>
      </w:r>
      <w:r>
        <w:rPr>
          <w:rFonts w:hint="eastAsia" w:ascii="仿宋_GB2312" w:eastAsia="仿宋_GB2312"/>
          <w:color w:val="auto"/>
          <w:sz w:val="32"/>
          <w:szCs w:val="32"/>
          <w:highlight w:val="none"/>
        </w:rPr>
        <w:t>中固定资产车辆</w:t>
      </w:r>
      <w:r>
        <w:rPr>
          <w:rFonts w:hint="eastAsia" w:ascii="仿宋_GB2312" w:eastAsia="仿宋_GB2312"/>
          <w:color w:val="auto"/>
          <w:sz w:val="32"/>
          <w:szCs w:val="32"/>
          <w:highlight w:val="none"/>
          <w:lang w:val="zh-CN"/>
        </w:rPr>
        <w:t>2辆，</w:t>
      </w:r>
      <w:r>
        <w:rPr>
          <w:rFonts w:hint="eastAsia" w:ascii="仿宋_GB2312" w:eastAsia="仿宋_GB2312"/>
          <w:color w:val="auto"/>
          <w:sz w:val="32"/>
          <w:szCs w:val="32"/>
          <w:highlight w:val="none"/>
        </w:rPr>
        <w:t>与</w:t>
      </w:r>
      <w:r>
        <w:rPr>
          <w:rFonts w:hint="eastAsia" w:ascii="仿宋_GB2312" w:eastAsia="仿宋_GB2312"/>
          <w:color w:val="auto"/>
          <w:sz w:val="32"/>
          <w:szCs w:val="32"/>
          <w:highlight w:val="none"/>
          <w:lang w:val="zh-CN"/>
        </w:rPr>
        <w:t>公务用车</w:t>
      </w:r>
      <w:r>
        <w:rPr>
          <w:rFonts w:hint="eastAsia" w:ascii="仿宋_GB2312" w:eastAsia="仿宋_GB2312"/>
          <w:color w:val="auto"/>
          <w:sz w:val="32"/>
          <w:szCs w:val="32"/>
          <w:highlight w:val="none"/>
        </w:rPr>
        <w:t>保有量</w:t>
      </w:r>
      <w:r>
        <w:rPr>
          <w:rFonts w:hint="eastAsia" w:eastAsia="仿宋_GB2312"/>
          <w:color w:val="auto"/>
          <w:sz w:val="32"/>
          <w:szCs w:val="32"/>
          <w:highlight w:val="none"/>
        </w:rPr>
        <w:t>差异</w:t>
      </w:r>
      <w:r>
        <w:rPr>
          <w:rFonts w:hint="eastAsia" w:eastAsia="仿宋_GB2312"/>
          <w:color w:val="auto"/>
          <w:sz w:val="32"/>
          <w:szCs w:val="32"/>
          <w:highlight w:val="none"/>
          <w:lang w:val="zh-CN"/>
        </w:rPr>
        <w:t>原因是：</w:t>
      </w:r>
      <w:r>
        <w:rPr>
          <w:rFonts w:hint="eastAsia" w:eastAsia="仿宋_GB2312"/>
          <w:color w:val="auto"/>
          <w:sz w:val="32"/>
          <w:szCs w:val="32"/>
          <w:highlight w:val="none"/>
        </w:rPr>
        <w:t>我单位</w:t>
      </w:r>
      <w:r>
        <w:rPr>
          <w:rFonts w:hint="eastAsia" w:ascii="仿宋_GB2312" w:eastAsia="仿宋_GB2312"/>
          <w:color w:val="auto"/>
          <w:sz w:val="32"/>
          <w:szCs w:val="32"/>
          <w:highlight w:val="none"/>
          <w:lang w:val="zh-CN"/>
        </w:rPr>
        <w:t>公务用车</w:t>
      </w:r>
      <w:r>
        <w:rPr>
          <w:rFonts w:hint="eastAsia" w:ascii="仿宋_GB2312" w:eastAsia="仿宋_GB2312"/>
          <w:color w:val="auto"/>
          <w:sz w:val="32"/>
          <w:szCs w:val="32"/>
          <w:highlight w:val="none"/>
        </w:rPr>
        <w:t>保有量无差异</w:t>
      </w:r>
      <w:r>
        <w:rPr>
          <w:rFonts w:hint="eastAsia" w:eastAsia="仿宋_GB2312"/>
          <w:color w:val="auto"/>
          <w:sz w:val="32"/>
          <w:szCs w:val="32"/>
          <w:highlight w:val="none"/>
          <w:lang w:val="zh-CN"/>
        </w:rPr>
        <w:t>。</w:t>
      </w:r>
    </w:p>
    <w:p>
      <w:pPr>
        <w:ind w:firstLine="640" w:firstLineChars="200"/>
        <w:jc w:val="left"/>
        <w:rPr>
          <w:rFonts w:ascii="仿宋_GB2312" w:eastAsia="仿宋_GB2312"/>
          <w:color w:val="auto"/>
          <w:sz w:val="32"/>
          <w:szCs w:val="32"/>
          <w:highlight w:val="none"/>
          <w:lang w:val="zh-CN"/>
        </w:rPr>
      </w:pPr>
      <w:r>
        <w:rPr>
          <w:rFonts w:hint="eastAsia" w:ascii="仿宋_GB2312" w:eastAsia="仿宋_GB2312"/>
          <w:color w:val="auto"/>
          <w:sz w:val="32"/>
          <w:szCs w:val="32"/>
          <w:highlight w:val="none"/>
          <w:lang w:val="zh-CN"/>
        </w:rPr>
        <w:t>公务接待费0.00万元，</w:t>
      </w:r>
      <w:r>
        <w:rPr>
          <w:rFonts w:hint="eastAsia" w:eastAsia="仿宋_GB2312"/>
          <w:color w:val="auto"/>
          <w:sz w:val="32"/>
          <w:szCs w:val="32"/>
          <w:highlight w:val="none"/>
          <w:lang w:val="zh-CN"/>
        </w:rPr>
        <w:t>开支内容包括我单位无公务接待费。</w:t>
      </w:r>
      <w:r>
        <w:rPr>
          <w:rFonts w:hint="eastAsia" w:ascii="仿宋_GB2312" w:eastAsia="仿宋_GB2312"/>
          <w:color w:val="auto"/>
          <w:sz w:val="32"/>
          <w:szCs w:val="32"/>
          <w:highlight w:val="none"/>
          <w:lang w:val="zh-CN"/>
        </w:rPr>
        <w:t>单位全年安排的国内公务接待0批次，0人次。</w:t>
      </w:r>
    </w:p>
    <w:p>
      <w:pPr>
        <w:ind w:firstLine="640" w:firstLineChars="200"/>
        <w:jc w:val="left"/>
        <w:outlineLvl w:val="1"/>
        <w:rPr>
          <w:rFonts w:eastAsia="仿宋_GB2312"/>
          <w:color w:val="auto"/>
          <w:sz w:val="32"/>
          <w:szCs w:val="32"/>
          <w:highlight w:val="none"/>
          <w:lang w:val="zh-CN"/>
        </w:rPr>
      </w:pPr>
      <w:r>
        <w:rPr>
          <w:rFonts w:hint="eastAsia" w:ascii="仿宋_GB2312" w:eastAsia="仿宋_GB2312"/>
          <w:color w:val="auto"/>
          <w:sz w:val="32"/>
          <w:szCs w:val="32"/>
          <w:highlight w:val="none"/>
          <w:lang w:val="zh-CN"/>
        </w:rPr>
        <w:t>与</w:t>
      </w:r>
      <w:r>
        <w:rPr>
          <w:rFonts w:hint="eastAsia" w:ascii="仿宋_GB2312" w:eastAsia="仿宋_GB2312"/>
          <w:color w:val="auto"/>
          <w:sz w:val="32"/>
          <w:szCs w:val="32"/>
          <w:highlight w:val="none"/>
        </w:rPr>
        <w:t>全年</w:t>
      </w:r>
      <w:r>
        <w:rPr>
          <w:rFonts w:hint="eastAsia" w:ascii="仿宋_GB2312" w:eastAsia="仿宋_GB2312"/>
          <w:color w:val="auto"/>
          <w:sz w:val="32"/>
          <w:szCs w:val="32"/>
          <w:highlight w:val="none"/>
          <w:lang w:val="zh-CN"/>
        </w:rPr>
        <w:t>预算相比</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zh-CN"/>
        </w:rPr>
        <w:t>财政拨款“三公”经费支出</w:t>
      </w:r>
      <w:r>
        <w:rPr>
          <w:rFonts w:hint="eastAsia" w:ascii="仿宋_GB2312" w:eastAsia="仿宋_GB2312"/>
          <w:color w:val="auto"/>
          <w:sz w:val="32"/>
          <w:szCs w:val="32"/>
          <w:highlight w:val="none"/>
        </w:rPr>
        <w:t>全年</w:t>
      </w:r>
      <w:r>
        <w:rPr>
          <w:rFonts w:hint="eastAsia" w:ascii="仿宋_GB2312" w:eastAsia="仿宋_GB2312"/>
          <w:color w:val="auto"/>
          <w:sz w:val="32"/>
          <w:szCs w:val="32"/>
          <w:highlight w:val="none"/>
          <w:lang w:val="zh-CN"/>
        </w:rPr>
        <w:t>预算数1.28万元，决算数1.28万元，预决算差异率0.00%，主</w:t>
      </w:r>
      <w:r>
        <w:rPr>
          <w:rFonts w:hint="eastAsia" w:eastAsia="仿宋_GB2312"/>
          <w:color w:val="auto"/>
          <w:sz w:val="32"/>
          <w:szCs w:val="32"/>
          <w:highlight w:val="none"/>
          <w:lang w:val="zh-CN"/>
        </w:rPr>
        <w:t>要原因是：严格按照全年预算数执行，无差异。</w:t>
      </w:r>
      <w:r>
        <w:rPr>
          <w:rFonts w:hint="eastAsia" w:ascii="仿宋_GB2312" w:eastAsia="仿宋_GB2312"/>
          <w:color w:val="auto"/>
          <w:sz w:val="32"/>
          <w:szCs w:val="32"/>
          <w:highlight w:val="none"/>
          <w:lang w:val="zh-CN"/>
        </w:rPr>
        <w:t>其中：因公出国（境）费</w:t>
      </w:r>
      <w:r>
        <w:rPr>
          <w:rFonts w:hint="eastAsia" w:ascii="仿宋_GB2312" w:eastAsia="仿宋_GB2312"/>
          <w:color w:val="auto"/>
          <w:sz w:val="32"/>
          <w:szCs w:val="32"/>
          <w:highlight w:val="none"/>
        </w:rPr>
        <w:t>全年预算数</w:t>
      </w:r>
      <w:r>
        <w:rPr>
          <w:rFonts w:hint="eastAsia" w:ascii="仿宋_GB2312" w:eastAsia="仿宋_GB2312"/>
          <w:color w:val="auto"/>
          <w:sz w:val="32"/>
          <w:szCs w:val="32"/>
          <w:highlight w:val="none"/>
          <w:lang w:val="zh-CN"/>
        </w:rPr>
        <w:t>0.00万元，决算数0.00万元，预决算差异率0.00%，</w:t>
      </w:r>
      <w:r>
        <w:rPr>
          <w:rFonts w:hint="eastAsia" w:eastAsia="仿宋_GB2312"/>
          <w:color w:val="auto"/>
          <w:sz w:val="32"/>
          <w:szCs w:val="32"/>
          <w:highlight w:val="none"/>
          <w:lang w:val="zh-CN"/>
        </w:rPr>
        <w:t>主要原因是：我单位无因公出国（境）费；</w:t>
      </w:r>
      <w:r>
        <w:rPr>
          <w:rFonts w:hint="eastAsia" w:ascii="仿宋_GB2312" w:eastAsia="仿宋_GB2312"/>
          <w:color w:val="auto"/>
          <w:sz w:val="32"/>
          <w:szCs w:val="32"/>
          <w:highlight w:val="none"/>
          <w:lang w:val="zh-CN"/>
        </w:rPr>
        <w:t>公务用车购置费</w:t>
      </w:r>
      <w:r>
        <w:rPr>
          <w:rFonts w:hint="eastAsia" w:ascii="仿宋_GB2312" w:eastAsia="仿宋_GB2312"/>
          <w:color w:val="auto"/>
          <w:sz w:val="32"/>
          <w:szCs w:val="32"/>
          <w:highlight w:val="none"/>
        </w:rPr>
        <w:t>全年</w:t>
      </w:r>
      <w:r>
        <w:rPr>
          <w:rFonts w:hint="eastAsia" w:ascii="仿宋_GB2312" w:eastAsia="仿宋_GB2312"/>
          <w:color w:val="auto"/>
          <w:sz w:val="32"/>
          <w:szCs w:val="32"/>
          <w:highlight w:val="none"/>
          <w:lang w:val="zh-CN"/>
        </w:rPr>
        <w:t>预算数0.00万元，决算数0.00万元，预决算差异率0.00%，</w:t>
      </w:r>
      <w:r>
        <w:rPr>
          <w:rFonts w:hint="eastAsia" w:eastAsia="仿宋_GB2312"/>
          <w:color w:val="auto"/>
          <w:sz w:val="32"/>
          <w:szCs w:val="32"/>
          <w:highlight w:val="none"/>
          <w:lang w:val="zh-CN"/>
        </w:rPr>
        <w:t>主要原因是：我单位无公务用车购置费；</w:t>
      </w:r>
      <w:r>
        <w:rPr>
          <w:rFonts w:hint="eastAsia" w:ascii="仿宋_GB2312" w:eastAsia="仿宋_GB2312"/>
          <w:color w:val="auto"/>
          <w:sz w:val="32"/>
          <w:szCs w:val="32"/>
          <w:highlight w:val="none"/>
          <w:lang w:val="zh-CN"/>
        </w:rPr>
        <w:t>公务用车运行费</w:t>
      </w:r>
      <w:r>
        <w:rPr>
          <w:rFonts w:hint="eastAsia" w:ascii="仿宋_GB2312" w:eastAsia="仿宋_GB2312"/>
          <w:color w:val="auto"/>
          <w:sz w:val="32"/>
          <w:szCs w:val="32"/>
          <w:highlight w:val="none"/>
        </w:rPr>
        <w:t>全年</w:t>
      </w:r>
      <w:r>
        <w:rPr>
          <w:rFonts w:hint="eastAsia" w:ascii="仿宋_GB2312" w:eastAsia="仿宋_GB2312"/>
          <w:color w:val="auto"/>
          <w:sz w:val="32"/>
          <w:szCs w:val="32"/>
          <w:highlight w:val="none"/>
          <w:lang w:val="zh-CN"/>
        </w:rPr>
        <w:t>预算数1.28万元，决算数1.28万元，预决算差异率0.00%，</w:t>
      </w:r>
      <w:r>
        <w:rPr>
          <w:rFonts w:hint="eastAsia" w:eastAsia="仿宋_GB2312"/>
          <w:color w:val="auto"/>
          <w:sz w:val="32"/>
          <w:szCs w:val="32"/>
          <w:highlight w:val="none"/>
          <w:lang w:val="zh-CN"/>
        </w:rPr>
        <w:t>主要原因是：严格按照全年预算数执行，无差异</w:t>
      </w:r>
      <w:r>
        <w:rPr>
          <w:rFonts w:hint="eastAsia" w:ascii="仿宋_GB2312" w:eastAsia="仿宋_GB2312"/>
          <w:color w:val="auto"/>
          <w:sz w:val="32"/>
          <w:szCs w:val="32"/>
          <w:highlight w:val="none"/>
          <w:lang w:val="zh-CN"/>
        </w:rPr>
        <w:t>；公务接待费</w:t>
      </w:r>
      <w:r>
        <w:rPr>
          <w:rFonts w:hint="eastAsia" w:ascii="仿宋_GB2312" w:eastAsia="仿宋_GB2312"/>
          <w:color w:val="auto"/>
          <w:sz w:val="32"/>
          <w:szCs w:val="32"/>
          <w:highlight w:val="none"/>
        </w:rPr>
        <w:t>全年</w:t>
      </w:r>
      <w:r>
        <w:rPr>
          <w:rFonts w:hint="eastAsia" w:ascii="仿宋_GB2312" w:eastAsia="仿宋_GB2312"/>
          <w:color w:val="auto"/>
          <w:sz w:val="32"/>
          <w:szCs w:val="32"/>
          <w:highlight w:val="none"/>
          <w:lang w:val="zh-CN"/>
        </w:rPr>
        <w:t>预算数0.00万元，决算数0.00万元，预决算差异率0.00%，主</w:t>
      </w:r>
      <w:r>
        <w:rPr>
          <w:rFonts w:hint="eastAsia" w:eastAsia="仿宋_GB2312"/>
          <w:color w:val="auto"/>
          <w:sz w:val="32"/>
          <w:szCs w:val="32"/>
          <w:highlight w:val="none"/>
          <w:lang w:val="zh-CN"/>
        </w:rPr>
        <w:t>要原因是：</w:t>
      </w:r>
      <w:bookmarkStart w:id="18" w:name="_Toc7927"/>
      <w:bookmarkStart w:id="19" w:name="_Toc5810"/>
      <w:r>
        <w:rPr>
          <w:rFonts w:hint="eastAsia" w:eastAsia="仿宋_GB2312"/>
          <w:color w:val="auto"/>
          <w:sz w:val="32"/>
          <w:szCs w:val="32"/>
          <w:highlight w:val="none"/>
          <w:lang w:val="zh-CN"/>
        </w:rPr>
        <w:t>我单位无公务接待费。</w:t>
      </w:r>
    </w:p>
    <w:p>
      <w:pPr>
        <w:ind w:firstLine="640" w:firstLineChars="200"/>
        <w:jc w:val="left"/>
        <w:outlineLvl w:val="1"/>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八、政府性基金预算财政拨款收入支出决算情况说明</w:t>
      </w:r>
      <w:bookmarkEnd w:id="18"/>
      <w:bookmarkEnd w:id="19"/>
    </w:p>
    <w:p>
      <w:pPr>
        <w:ind w:firstLine="640" w:firstLineChars="200"/>
        <w:jc w:val="left"/>
        <w:rPr>
          <w:color w:val="auto"/>
          <w:highlight w:val="none"/>
        </w:rPr>
      </w:pPr>
      <w:r>
        <w:rPr>
          <w:rFonts w:hint="eastAsia" w:ascii="仿宋_GB2312" w:eastAsia="仿宋_GB2312"/>
          <w:color w:val="auto"/>
          <w:sz w:val="32"/>
          <w:szCs w:val="32"/>
          <w:highlight w:val="none"/>
        </w:rPr>
        <w:t>我</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九、国有资本经营预算财政拨款收入支出决算情况说明</w:t>
      </w:r>
    </w:p>
    <w:p>
      <w:pPr>
        <w:ind w:firstLine="640" w:firstLineChars="200"/>
        <w:jc w:val="left"/>
        <w:rPr>
          <w:color w:val="auto"/>
          <w:highlight w:val="none"/>
        </w:rPr>
      </w:pPr>
      <w:r>
        <w:rPr>
          <w:rFonts w:hint="eastAsia" w:ascii="仿宋_GB2312" w:eastAsia="仿宋_GB2312"/>
          <w:color w:val="auto"/>
          <w:sz w:val="32"/>
          <w:szCs w:val="32"/>
          <w:highlight w:val="none"/>
        </w:rPr>
        <w:t>我</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color w:val="auto"/>
          <w:kern w:val="0"/>
          <w:sz w:val="32"/>
          <w:szCs w:val="32"/>
          <w:highlight w:val="none"/>
        </w:rPr>
      </w:pPr>
      <w:bookmarkStart w:id="20" w:name="_Toc7314"/>
      <w:bookmarkStart w:id="21" w:name="_Toc1235"/>
      <w:r>
        <w:rPr>
          <w:rFonts w:hint="eastAsia" w:ascii="黑体" w:hAnsi="黑体" w:eastAsia="黑体" w:cs="宋体"/>
          <w:bCs/>
          <w:color w:val="auto"/>
          <w:kern w:val="0"/>
          <w:sz w:val="32"/>
          <w:szCs w:val="32"/>
          <w:highlight w:val="none"/>
        </w:rPr>
        <w:t>十、其他重要事项的情况说明</w:t>
      </w:r>
      <w:bookmarkEnd w:id="20"/>
      <w:bookmarkEnd w:id="21"/>
    </w:p>
    <w:p>
      <w:pPr>
        <w:ind w:firstLine="640" w:firstLineChars="200"/>
        <w:jc w:val="left"/>
        <w:outlineLvl w:val="2"/>
        <w:rPr>
          <w:rFonts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rPr>
        <w:t>（一）机关运行经费支出情况</w:t>
      </w:r>
      <w:bookmarkEnd w:id="22"/>
      <w:bookmarkEnd w:id="23"/>
    </w:p>
    <w:p>
      <w:pPr>
        <w:ind w:firstLine="640" w:firstLineChars="200"/>
        <w:jc w:val="left"/>
        <w:rPr>
          <w:rFonts w:eastAsia="仿宋_GB2312"/>
          <w:color w:val="auto"/>
          <w:sz w:val="32"/>
          <w:szCs w:val="32"/>
          <w:highlight w:val="none"/>
        </w:rPr>
      </w:pPr>
      <w:bookmarkStart w:id="24" w:name="_Toc227"/>
      <w:bookmarkStart w:id="25" w:name="_Toc26704"/>
      <w:r>
        <w:rPr>
          <w:rFonts w:hint="eastAsia" w:eastAsia="仿宋_GB2312"/>
          <w:color w:val="auto"/>
          <w:sz w:val="32"/>
          <w:szCs w:val="32"/>
          <w:highlight w:val="none"/>
          <w:lang w:val="zh-CN"/>
        </w:rPr>
        <w:t>2023年度</w:t>
      </w:r>
      <w:r>
        <w:rPr>
          <w:rFonts w:hint="eastAsia" w:eastAsia="仿宋_GB2312"/>
          <w:color w:val="auto"/>
          <w:sz w:val="32"/>
          <w:szCs w:val="32"/>
          <w:highlight w:val="none"/>
        </w:rPr>
        <w:t>库尔勒市审计局（行政单位和参照公务员法管理事业单位）机关运行经费支出13.46万元，</w:t>
      </w:r>
      <w:r>
        <w:rPr>
          <w:rFonts w:hint="eastAsia" w:eastAsia="仿宋_GB2312"/>
          <w:color w:val="auto"/>
          <w:sz w:val="32"/>
          <w:szCs w:val="32"/>
          <w:highlight w:val="none"/>
          <w:lang w:val="zh-CN"/>
        </w:rPr>
        <w:t>比上年增加5.28万元，增长</w:t>
      </w:r>
      <w:r>
        <w:rPr>
          <w:rFonts w:hint="eastAsia" w:eastAsia="仿宋_GB2312"/>
          <w:color w:val="auto"/>
          <w:sz w:val="32"/>
          <w:szCs w:val="32"/>
          <w:highlight w:val="none"/>
          <w:lang w:val="en-US" w:eastAsia="zh-CN"/>
        </w:rPr>
        <w:t>64.55</w:t>
      </w:r>
      <w:r>
        <w:rPr>
          <w:rFonts w:hint="eastAsia" w:eastAsia="仿宋_GB2312"/>
          <w:color w:val="auto"/>
          <w:sz w:val="32"/>
          <w:szCs w:val="32"/>
          <w:highlight w:val="none"/>
          <w:lang w:val="zh-CN"/>
        </w:rPr>
        <w:t>%，主要原因是：</w:t>
      </w:r>
      <w:r>
        <w:rPr>
          <w:rFonts w:hint="eastAsia" w:ascii="仿宋_GB2312" w:eastAsia="仿宋_GB2312"/>
          <w:color w:val="auto"/>
          <w:sz w:val="32"/>
          <w:szCs w:val="32"/>
          <w:highlight w:val="none"/>
        </w:rPr>
        <w:t>本年我单位工会经费及福利费增加</w:t>
      </w:r>
      <w:r>
        <w:rPr>
          <w:rFonts w:hint="eastAsia" w:eastAsia="仿宋_GB2312"/>
          <w:color w:val="auto"/>
          <w:sz w:val="32"/>
          <w:szCs w:val="32"/>
          <w:highlight w:val="none"/>
        </w:rPr>
        <w:t>。</w:t>
      </w:r>
    </w:p>
    <w:p>
      <w:pPr>
        <w:ind w:firstLine="640" w:firstLineChars="200"/>
        <w:jc w:val="left"/>
        <w:rPr>
          <w:rFonts w:eastAsia="黑体"/>
          <w:color w:val="auto"/>
          <w:sz w:val="32"/>
          <w:szCs w:val="30"/>
          <w:highlight w:val="none"/>
          <w:lang w:val="zh-CN"/>
        </w:rPr>
      </w:pPr>
      <w:r>
        <w:rPr>
          <w:rFonts w:hint="eastAsia" w:eastAsia="黑体"/>
          <w:color w:val="auto"/>
          <w:sz w:val="32"/>
          <w:szCs w:val="30"/>
          <w:highlight w:val="none"/>
          <w:lang w:val="zh-CN"/>
        </w:rPr>
        <w:t>（二）政府采购情况</w:t>
      </w:r>
      <w:bookmarkEnd w:id="24"/>
      <w:bookmarkEnd w:id="25"/>
    </w:p>
    <w:p>
      <w:pPr>
        <w:ind w:firstLine="640" w:firstLineChars="200"/>
        <w:jc w:val="left"/>
        <w:rPr>
          <w:rFonts w:eastAsia="仿宋_GB2312"/>
          <w:color w:val="auto"/>
          <w:sz w:val="32"/>
          <w:szCs w:val="32"/>
          <w:highlight w:val="none"/>
          <w:lang w:val="zh-CN"/>
        </w:rPr>
      </w:pPr>
      <w:r>
        <w:rPr>
          <w:rFonts w:hint="eastAsia" w:eastAsia="仿宋_GB2312"/>
          <w:color w:val="auto"/>
          <w:sz w:val="32"/>
          <w:szCs w:val="32"/>
          <w:highlight w:val="none"/>
          <w:lang w:val="zh-CN"/>
        </w:rPr>
        <w:t>2023年度政府采购支出总额117.41万元，其中：政府采购货物支出2.36万元、政府采购工程支出0.00万元、政府采购服务支出115.06万元。</w:t>
      </w:r>
    </w:p>
    <w:p>
      <w:pPr>
        <w:ind w:firstLine="640" w:firstLineChars="200"/>
        <w:jc w:val="left"/>
        <w:rPr>
          <w:rFonts w:eastAsia="仿宋_GB2312"/>
          <w:color w:val="auto"/>
          <w:sz w:val="32"/>
          <w:szCs w:val="32"/>
          <w:highlight w:val="none"/>
        </w:rPr>
      </w:pPr>
      <w:r>
        <w:rPr>
          <w:rFonts w:hint="eastAsia" w:eastAsia="仿宋_GB2312"/>
          <w:color w:val="auto"/>
          <w:sz w:val="32"/>
          <w:szCs w:val="32"/>
          <w:highlight w:val="none"/>
          <w:lang w:val="zh-CN"/>
        </w:rPr>
        <w:t>授予中小企业合同金额117.41万元，占政府采购支出总额的100.00</w:t>
      </w:r>
      <w:r>
        <w:rPr>
          <w:rFonts w:eastAsia="仿宋_GB2312"/>
          <w:color w:val="auto"/>
          <w:sz w:val="32"/>
          <w:szCs w:val="32"/>
          <w:highlight w:val="none"/>
          <w:lang w:val="zh-CN"/>
        </w:rPr>
        <w:t>%</w:t>
      </w:r>
      <w:r>
        <w:rPr>
          <w:rFonts w:hint="eastAsia" w:eastAsia="仿宋_GB2312"/>
          <w:color w:val="auto"/>
          <w:sz w:val="32"/>
          <w:szCs w:val="32"/>
          <w:highlight w:val="none"/>
          <w:lang w:val="zh-CN"/>
        </w:rPr>
        <w:t>，其中：授予小微企业合同金额114.58万元，占政府采购支出总额的97.59</w:t>
      </w:r>
      <w:r>
        <w:rPr>
          <w:rFonts w:eastAsia="仿宋_GB2312"/>
          <w:color w:val="auto"/>
          <w:sz w:val="32"/>
          <w:szCs w:val="32"/>
          <w:highlight w:val="none"/>
          <w:lang w:val="zh-CN"/>
        </w:rPr>
        <w:t>%</w:t>
      </w:r>
      <w:r>
        <w:rPr>
          <w:rFonts w:hint="eastAsia" w:eastAsia="仿宋_GB2312"/>
          <w:color w:val="auto"/>
          <w:sz w:val="32"/>
          <w:szCs w:val="32"/>
          <w:highlight w:val="none"/>
        </w:rPr>
        <w:t>。</w:t>
      </w:r>
    </w:p>
    <w:p>
      <w:pPr>
        <w:ind w:firstLine="640" w:firstLineChars="200"/>
        <w:jc w:val="left"/>
        <w:rPr>
          <w:rFonts w:eastAsia="黑体"/>
          <w:color w:val="auto"/>
          <w:sz w:val="32"/>
          <w:szCs w:val="30"/>
          <w:highlight w:val="none"/>
          <w:lang w:val="zh-CN"/>
        </w:rPr>
      </w:pPr>
      <w:bookmarkStart w:id="26" w:name="_Toc8391"/>
      <w:bookmarkStart w:id="27" w:name="_Toc4591"/>
      <w:r>
        <w:rPr>
          <w:rFonts w:hint="eastAsia" w:eastAsia="黑体"/>
          <w:color w:val="auto"/>
          <w:sz w:val="32"/>
          <w:szCs w:val="30"/>
          <w:highlight w:val="none"/>
          <w:lang w:val="zh-CN"/>
        </w:rPr>
        <w:t>（三）国有资产占用情况说明</w:t>
      </w:r>
      <w:bookmarkEnd w:id="26"/>
      <w:bookmarkEnd w:id="27"/>
    </w:p>
    <w:p>
      <w:pPr>
        <w:ind w:firstLine="640" w:firstLineChars="200"/>
        <w:jc w:val="left"/>
        <w:rPr>
          <w:rFonts w:eastAsia="仿宋_GB2312"/>
          <w:color w:val="auto"/>
          <w:sz w:val="32"/>
          <w:szCs w:val="32"/>
          <w:highlight w:val="none"/>
          <w:lang w:val="zh-CN"/>
        </w:rPr>
      </w:pPr>
      <w:r>
        <w:rPr>
          <w:rFonts w:hint="eastAsia" w:eastAsia="仿宋_GB2312"/>
          <w:color w:val="auto"/>
          <w:sz w:val="32"/>
          <w:szCs w:val="32"/>
          <w:highlight w:val="none"/>
        </w:rPr>
        <w:t>截至2023</w:t>
      </w:r>
      <w:r>
        <w:rPr>
          <w:rFonts w:hint="eastAsia" w:eastAsia="仿宋_GB2312"/>
          <w:color w:val="auto"/>
          <w:sz w:val="32"/>
          <w:szCs w:val="32"/>
          <w:highlight w:val="none"/>
          <w:lang w:val="zh-CN"/>
        </w:rPr>
        <w:t>年</w:t>
      </w:r>
      <w:r>
        <w:rPr>
          <w:rFonts w:hint="eastAsia" w:eastAsia="仿宋_GB2312"/>
          <w:color w:val="auto"/>
          <w:sz w:val="32"/>
          <w:szCs w:val="32"/>
          <w:highlight w:val="none"/>
        </w:rPr>
        <w:t>12月31日</w:t>
      </w:r>
      <w:r>
        <w:rPr>
          <w:rFonts w:hint="eastAsia" w:eastAsia="仿宋_GB2312"/>
          <w:color w:val="auto"/>
          <w:sz w:val="32"/>
          <w:szCs w:val="32"/>
          <w:highlight w:val="none"/>
          <w:lang w:val="zh-CN"/>
        </w:rPr>
        <w:t>，</w:t>
      </w:r>
      <w:r>
        <w:rPr>
          <w:rFonts w:hint="eastAsia" w:eastAsia="仿宋_GB2312"/>
          <w:color w:val="auto"/>
          <w:sz w:val="32"/>
          <w:szCs w:val="32"/>
          <w:highlight w:val="none"/>
        </w:rPr>
        <w:t>固定资产原值</w:t>
      </w:r>
      <w:r>
        <w:rPr>
          <w:rFonts w:hint="eastAsia" w:eastAsia="仿宋_GB2312"/>
          <w:color w:val="auto"/>
          <w:sz w:val="32"/>
          <w:szCs w:val="32"/>
          <w:highlight w:val="none"/>
          <w:lang w:val="zh-CN"/>
        </w:rPr>
        <w:t>95.71</w:t>
      </w:r>
      <w:r>
        <w:rPr>
          <w:rFonts w:hint="eastAsia" w:eastAsia="仿宋_GB2312"/>
          <w:color w:val="auto"/>
          <w:sz w:val="32"/>
          <w:szCs w:val="32"/>
          <w:highlight w:val="none"/>
        </w:rPr>
        <w:t>万元，房</w:t>
      </w:r>
      <w:r>
        <w:rPr>
          <w:rFonts w:hint="eastAsia" w:eastAsia="仿宋_GB2312"/>
          <w:color w:val="auto"/>
          <w:sz w:val="32"/>
          <w:szCs w:val="32"/>
          <w:highlight w:val="none"/>
          <w:lang w:val="zh-CN"/>
        </w:rPr>
        <w:t>屋0.00平方米，价值0.00万元。车辆2辆，价值46.20万元，其中：副部（省）级及以上领导用车0辆、主要</w:t>
      </w:r>
      <w:r>
        <w:rPr>
          <w:rFonts w:hint="eastAsia" w:eastAsia="仿宋_GB2312"/>
          <w:color w:val="auto"/>
          <w:sz w:val="32"/>
          <w:szCs w:val="32"/>
          <w:highlight w:val="none"/>
        </w:rPr>
        <w:t>负责人</w:t>
      </w:r>
      <w:r>
        <w:rPr>
          <w:rFonts w:hint="eastAsia" w:eastAsia="仿宋_GB2312"/>
          <w:color w:val="auto"/>
          <w:sz w:val="32"/>
          <w:szCs w:val="32"/>
          <w:highlight w:val="none"/>
          <w:lang w:val="zh-CN"/>
        </w:rPr>
        <w:t>用车0辆、机要通信用车0辆、应急保障用车0辆、执法执勤用车0辆、特种专业技术用车0辆、离退休干部</w:t>
      </w:r>
      <w:r>
        <w:rPr>
          <w:rFonts w:hint="eastAsia" w:eastAsia="仿宋_GB2312"/>
          <w:color w:val="auto"/>
          <w:sz w:val="32"/>
          <w:szCs w:val="32"/>
          <w:highlight w:val="none"/>
        </w:rPr>
        <w:t>服务</w:t>
      </w:r>
      <w:r>
        <w:rPr>
          <w:rFonts w:hint="eastAsia" w:eastAsia="仿宋_GB2312"/>
          <w:color w:val="auto"/>
          <w:sz w:val="32"/>
          <w:szCs w:val="32"/>
          <w:highlight w:val="none"/>
          <w:lang w:val="zh-CN"/>
        </w:rPr>
        <w:t>用车0辆、其他用车2辆，其他用车主要是：</w:t>
      </w:r>
      <w:r>
        <w:rPr>
          <w:rFonts w:hint="eastAsia" w:eastAsia="仿宋_GB2312"/>
          <w:color w:val="auto"/>
          <w:sz w:val="32"/>
          <w:szCs w:val="32"/>
          <w:highlight w:val="none"/>
        </w:rPr>
        <w:t>一般公务用车</w:t>
      </w:r>
      <w:r>
        <w:rPr>
          <w:rFonts w:hint="eastAsia" w:eastAsia="仿宋_GB2312"/>
          <w:color w:val="auto"/>
          <w:sz w:val="32"/>
          <w:szCs w:val="32"/>
          <w:highlight w:val="none"/>
          <w:lang w:val="zh-CN"/>
        </w:rPr>
        <w:t>；单价100万元（含）以上设备（不含车辆）0</w:t>
      </w:r>
      <w:r>
        <w:rPr>
          <w:rFonts w:hint="eastAsia" w:eastAsia="仿宋_GB2312"/>
          <w:color w:val="auto"/>
          <w:sz w:val="32"/>
          <w:szCs w:val="32"/>
          <w:highlight w:val="none"/>
        </w:rPr>
        <w:t>台（</w:t>
      </w:r>
      <w:r>
        <w:rPr>
          <w:rFonts w:hint="eastAsia" w:eastAsia="仿宋_GB2312"/>
          <w:color w:val="auto"/>
          <w:sz w:val="32"/>
          <w:szCs w:val="32"/>
          <w:highlight w:val="none"/>
          <w:lang w:val="zh-CN"/>
        </w:rPr>
        <w:t>套）。</w:t>
      </w:r>
    </w:p>
    <w:p>
      <w:pPr>
        <w:ind w:firstLine="640" w:firstLineChars="200"/>
        <w:jc w:val="left"/>
        <w:outlineLvl w:val="1"/>
        <w:rPr>
          <w:rFonts w:ascii="黑体" w:hAnsi="黑体" w:eastAsia="黑体" w:cs="宋体"/>
          <w:bCs/>
          <w:color w:val="auto"/>
          <w:kern w:val="0"/>
          <w:sz w:val="32"/>
          <w:szCs w:val="32"/>
          <w:highlight w:val="none"/>
        </w:rPr>
      </w:pPr>
      <w:bookmarkStart w:id="28" w:name="_Toc435"/>
      <w:bookmarkStart w:id="29" w:name="_Toc11283"/>
      <w:r>
        <w:rPr>
          <w:rFonts w:hint="eastAsia" w:ascii="黑体" w:hAnsi="黑体" w:eastAsia="黑体" w:cs="宋体"/>
          <w:bCs/>
          <w:color w:val="auto"/>
          <w:kern w:val="0"/>
          <w:sz w:val="32"/>
          <w:szCs w:val="32"/>
          <w:highlight w:val="none"/>
        </w:rPr>
        <w:t>十一、预算绩效的情况说明</w:t>
      </w:r>
      <w:bookmarkEnd w:id="28"/>
      <w:bookmarkEnd w:id="29"/>
    </w:p>
    <w:p>
      <w:pPr>
        <w:pStyle w:val="22"/>
        <w:snapToGrid w:val="0"/>
        <w:spacing w:line="600" w:lineRule="exact"/>
        <w:jc w:val="both"/>
        <w:rPr>
          <w:rFonts w:ascii="仿宋_GB2312" w:eastAsia="仿宋_GB2312"/>
          <w:color w:val="auto"/>
          <w:sz w:val="32"/>
          <w:szCs w:val="32"/>
          <w:highlight w:val="none"/>
        </w:rPr>
      </w:pPr>
      <w:r>
        <w:rPr>
          <w:rFonts w:hint="eastAsia" w:ascii="仿宋_GB2312" w:eastAsia="仿宋_GB2312"/>
          <w:color w:val="auto"/>
          <w:sz w:val="32"/>
          <w:szCs w:val="32"/>
          <w:highlight w:val="none"/>
        </w:rPr>
        <w:t>根据预算绩效管理要求，我</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2023年度</w:t>
      </w:r>
      <w:r>
        <w:rPr>
          <w:rFonts w:hint="eastAsia" w:ascii="仿宋_GB2312" w:hAnsi="仿宋_GB2312" w:eastAsia="仿宋_GB2312" w:cs="仿宋_GB2312"/>
          <w:color w:val="auto"/>
          <w:kern w:val="0"/>
          <w:sz w:val="32"/>
          <w:szCs w:val="32"/>
          <w:highlight w:val="none"/>
        </w:rPr>
        <w:t>预算绩效管理整体支出绩效自评表</w:t>
      </w:r>
      <w:r>
        <w:rPr>
          <w:rFonts w:hint="eastAsia" w:ascii="仿宋_GB2312" w:eastAsia="仿宋_GB2312"/>
          <w:color w:val="auto"/>
          <w:sz w:val="32"/>
          <w:szCs w:val="32"/>
          <w:highlight w:val="none"/>
        </w:rPr>
        <w:t>1</w:t>
      </w:r>
      <w:r>
        <w:rPr>
          <w:rFonts w:hint="eastAsia" w:ascii="仿宋_GB2312" w:hAnsi="仿宋_GB2312" w:eastAsia="仿宋_GB2312" w:cs="仿宋_GB2312"/>
          <w:color w:val="auto"/>
          <w:kern w:val="0"/>
          <w:sz w:val="32"/>
          <w:szCs w:val="32"/>
          <w:highlight w:val="none"/>
        </w:rPr>
        <w:t>个，全年</w:t>
      </w:r>
      <w:r>
        <w:rPr>
          <w:rFonts w:hint="eastAsia" w:ascii="仿宋_GB2312" w:eastAsia="仿宋_GB2312"/>
          <w:color w:val="auto"/>
          <w:sz w:val="32"/>
          <w:szCs w:val="32"/>
          <w:highlight w:val="none"/>
        </w:rPr>
        <w:t>预算总额</w:t>
      </w:r>
      <w:r>
        <w:rPr>
          <w:rFonts w:hint="eastAsia" w:ascii="仿宋_GB2312" w:eastAsia="仿宋_GB2312"/>
          <w:color w:val="auto"/>
          <w:sz w:val="32"/>
          <w:szCs w:val="32"/>
          <w:highlight w:val="none"/>
          <w:lang w:val="en-US" w:eastAsia="zh-CN"/>
        </w:rPr>
        <w:t>464.38</w:t>
      </w:r>
      <w:r>
        <w:rPr>
          <w:rFonts w:hint="eastAsia" w:ascii="仿宋_GB2312" w:eastAsia="仿宋_GB2312"/>
          <w:color w:val="auto"/>
          <w:sz w:val="32"/>
          <w:szCs w:val="32"/>
          <w:highlight w:val="none"/>
        </w:rPr>
        <w:t>万元，实际执行总额464.38万元</w:t>
      </w:r>
      <w:r>
        <w:rPr>
          <w:rFonts w:hint="eastAsia" w:ascii="仿宋_GB2312" w:hAnsi="仿宋_GB2312" w:eastAsia="仿宋_GB2312" w:cs="仿宋_GB2312"/>
          <w:color w:val="auto"/>
          <w:kern w:val="0"/>
          <w:sz w:val="32"/>
          <w:szCs w:val="32"/>
          <w:highlight w:val="none"/>
        </w:rPr>
        <w:t>；</w:t>
      </w:r>
      <w:r>
        <w:rPr>
          <w:rFonts w:hint="eastAsia" w:ascii="仿宋_GB2312" w:eastAsia="仿宋_GB2312"/>
          <w:color w:val="auto"/>
          <w:sz w:val="32"/>
          <w:szCs w:val="32"/>
          <w:highlight w:val="none"/>
        </w:rPr>
        <w:t>预算绩效评价项目3个，全年预算数216万元，全年执行数133.04万元。预算绩效管理取得的成效：一是通过单位正常运转，提高了经济运行实现质的有效提升和量的合理增长；二是为更好的实施该项目，明确职责，制定推进计划，加强过程督导，全面完成了我单位年初制定的工作目标任务。发现的问题及原因：一是项目实施计划容易受到突发事件等不可抗力影响，导致任务完成时间推迟或质量不够好，主要原因是未制定备选方案或未及时谋划，及时应变；二是在绩效监控方面，对项目实施中存在的具体问题、采取的纠偏措施反映的还不够，有时不能及时、客观地反映项目的支出绩效；下一步改进措施：一是强化支出预算约束。进一步提高年初预算编制的科学性和准确性，完成预算执行动态约束机制，加强财政预算资金管理，统筹协调推进项目执行，提高财政资金效益和效果；：一是，遇到突发问题制定备选方案或未及时谋划，及时应变，下一步将进一步做好顶层设计，灵活开展工作。二是，合理编制项目绩效自评表，有序开展资金支付。具体项目自评情况附绩效自评表及自评报告。</w:t>
      </w:r>
    </w:p>
    <w:p>
      <w:pPr>
        <w:ind w:firstLine="640" w:firstLineChars="200"/>
        <w:jc w:val="left"/>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十二、其他需说明的事项</w:t>
      </w:r>
    </w:p>
    <w:p>
      <w:pPr>
        <w:ind w:firstLine="640" w:firstLineChars="200"/>
        <w:jc w:val="left"/>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无其他需说明事项</w:t>
      </w:r>
    </w:p>
    <w:p>
      <w:pPr>
        <w:jc w:val="center"/>
        <w:outlineLvl w:val="0"/>
        <w:rPr>
          <w:rFonts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第三部分 专业名词解释</w:t>
      </w:r>
      <w:bookmarkEnd w:id="30"/>
      <w:bookmarkEnd w:id="31"/>
    </w:p>
    <w:p>
      <w:pPr>
        <w:autoSpaceDE w:val="0"/>
        <w:autoSpaceDN w:val="0"/>
        <w:ind w:firstLine="643" w:firstLineChars="200"/>
        <w:jc w:val="left"/>
        <w:rPr>
          <w:rFonts w:ascii="仿宋_GB2312" w:eastAsia="仿宋_GB2312"/>
          <w:color w:val="auto"/>
          <w:sz w:val="32"/>
          <w:szCs w:val="32"/>
          <w:highlight w:val="none"/>
        </w:rPr>
      </w:pPr>
      <w:r>
        <w:rPr>
          <w:rFonts w:hint="eastAsia" w:ascii="仿宋_GB2312" w:eastAsia="仿宋_GB2312"/>
          <w:b/>
          <w:bCs/>
          <w:color w:val="auto"/>
          <w:sz w:val="32"/>
          <w:szCs w:val="32"/>
          <w:highlight w:val="none"/>
        </w:rPr>
        <w:t>一、财政拨款收入：</w:t>
      </w:r>
      <w:r>
        <w:rPr>
          <w:rFonts w:hint="eastAsia" w:ascii="仿宋_GB2312" w:eastAsia="仿宋_GB2312"/>
          <w:color w:val="auto"/>
          <w:sz w:val="32"/>
          <w:szCs w:val="32"/>
          <w:highlight w:val="none"/>
        </w:rPr>
        <w:t>指同级财政当年拨付的资金。</w:t>
      </w:r>
    </w:p>
    <w:p>
      <w:pPr>
        <w:autoSpaceDE w:val="0"/>
        <w:autoSpaceDN w:val="0"/>
        <w:ind w:firstLine="643" w:firstLineChars="200"/>
        <w:jc w:val="left"/>
        <w:rPr>
          <w:rFonts w:ascii="仿宋_GB2312" w:eastAsia="仿宋_GB2312"/>
          <w:color w:val="auto"/>
          <w:sz w:val="32"/>
          <w:szCs w:val="32"/>
          <w:highlight w:val="none"/>
        </w:rPr>
      </w:pPr>
      <w:r>
        <w:rPr>
          <w:rFonts w:hint="eastAsia" w:ascii="仿宋_GB2312" w:eastAsia="仿宋_GB2312"/>
          <w:b/>
          <w:bCs/>
          <w:color w:val="auto"/>
          <w:sz w:val="32"/>
          <w:szCs w:val="32"/>
          <w:highlight w:val="none"/>
        </w:rPr>
        <w:t>二、上级补助收入：</w:t>
      </w:r>
      <w:r>
        <w:rPr>
          <w:rFonts w:hint="eastAsia" w:ascii="仿宋_GB2312" w:eastAsia="仿宋_GB2312"/>
          <w:color w:val="auto"/>
          <w:sz w:val="32"/>
          <w:szCs w:val="32"/>
          <w:highlight w:val="none"/>
        </w:rPr>
        <w:t>指事业单位从主管部门和上级单位取得的非财政补助收入。</w:t>
      </w:r>
    </w:p>
    <w:p>
      <w:pPr>
        <w:autoSpaceDE w:val="0"/>
        <w:autoSpaceDN w:val="0"/>
        <w:ind w:firstLine="643" w:firstLineChars="200"/>
        <w:jc w:val="left"/>
        <w:rPr>
          <w:rFonts w:ascii="仿宋_GB2312" w:eastAsia="仿宋_GB2312"/>
          <w:color w:val="auto"/>
          <w:sz w:val="32"/>
          <w:szCs w:val="32"/>
          <w:highlight w:val="none"/>
        </w:rPr>
      </w:pPr>
      <w:r>
        <w:rPr>
          <w:rFonts w:hint="eastAsia" w:ascii="仿宋_GB2312" w:eastAsia="仿宋_GB2312"/>
          <w:b/>
          <w:bCs/>
          <w:color w:val="auto"/>
          <w:sz w:val="32"/>
          <w:szCs w:val="32"/>
          <w:highlight w:val="none"/>
        </w:rPr>
        <w:t>三、事业收入：</w:t>
      </w:r>
      <w:r>
        <w:rPr>
          <w:rFonts w:hint="eastAsia" w:ascii="仿宋_GB2312" w:eastAsia="仿宋_GB2312"/>
          <w:color w:val="auto"/>
          <w:sz w:val="32"/>
          <w:szCs w:val="32"/>
          <w:highlight w:val="none"/>
        </w:rPr>
        <w:t>指事业单位开展专业业务活动及其辅助活动所取得的收入。</w:t>
      </w:r>
    </w:p>
    <w:p>
      <w:pPr>
        <w:autoSpaceDE w:val="0"/>
        <w:autoSpaceDN w:val="0"/>
        <w:ind w:firstLine="643" w:firstLineChars="200"/>
        <w:jc w:val="left"/>
        <w:rPr>
          <w:rFonts w:ascii="仿宋_GB2312" w:eastAsia="仿宋_GB2312"/>
          <w:color w:val="auto"/>
          <w:sz w:val="32"/>
          <w:szCs w:val="32"/>
          <w:highlight w:val="none"/>
        </w:rPr>
      </w:pPr>
      <w:r>
        <w:rPr>
          <w:rFonts w:hint="eastAsia" w:ascii="仿宋_GB2312" w:eastAsia="仿宋_GB2312"/>
          <w:b/>
          <w:bCs/>
          <w:color w:val="auto"/>
          <w:sz w:val="32"/>
          <w:szCs w:val="32"/>
          <w:highlight w:val="none"/>
        </w:rPr>
        <w:t>四、经营收入：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autoSpaceDE w:val="0"/>
        <w:autoSpaceDN w:val="0"/>
        <w:ind w:firstLine="643" w:firstLineChars="200"/>
        <w:jc w:val="left"/>
        <w:rPr>
          <w:rFonts w:ascii="仿宋_GB2312" w:eastAsia="仿宋_GB2312"/>
          <w:color w:val="auto"/>
          <w:sz w:val="32"/>
          <w:szCs w:val="32"/>
          <w:highlight w:val="none"/>
        </w:rPr>
      </w:pPr>
      <w:r>
        <w:rPr>
          <w:rFonts w:hint="eastAsia" w:ascii="仿宋_GB2312" w:eastAsia="仿宋_GB2312"/>
          <w:b/>
          <w:bCs/>
          <w:color w:val="auto"/>
          <w:sz w:val="32"/>
          <w:szCs w:val="32"/>
          <w:highlight w:val="none"/>
        </w:rPr>
        <w:t>五、附属单位上缴收入：</w:t>
      </w:r>
      <w:r>
        <w:rPr>
          <w:rFonts w:hint="eastAsia" w:ascii="仿宋_GB2312" w:eastAsia="仿宋_GB2312"/>
          <w:color w:val="auto"/>
          <w:sz w:val="32"/>
          <w:szCs w:val="32"/>
          <w:highlight w:val="none"/>
        </w:rPr>
        <w:t>指事业单位附属的独立核算单位按有关规定上缴的收入。</w:t>
      </w:r>
    </w:p>
    <w:p>
      <w:pPr>
        <w:autoSpaceDE w:val="0"/>
        <w:autoSpaceDN w:val="0"/>
        <w:ind w:firstLine="643" w:firstLineChars="200"/>
        <w:jc w:val="left"/>
        <w:rPr>
          <w:rFonts w:ascii="仿宋_GB2312" w:eastAsia="仿宋_GB2312"/>
          <w:color w:val="auto"/>
          <w:sz w:val="32"/>
          <w:szCs w:val="32"/>
          <w:highlight w:val="none"/>
        </w:rPr>
      </w:pPr>
      <w:r>
        <w:rPr>
          <w:rFonts w:hint="eastAsia" w:ascii="仿宋_GB2312" w:eastAsia="仿宋_GB2312"/>
          <w:b/>
          <w:bCs/>
          <w:color w:val="auto"/>
          <w:sz w:val="32"/>
          <w:szCs w:val="32"/>
          <w:highlight w:val="none"/>
        </w:rPr>
        <w:t>六、其他收入：</w:t>
      </w:r>
      <w:r>
        <w:rPr>
          <w:rFonts w:hint="eastAsia" w:ascii="仿宋_GB2312" w:eastAsia="仿宋_GB2312"/>
          <w:color w:val="auto"/>
          <w:sz w:val="32"/>
          <w:szCs w:val="32"/>
          <w:highlight w:val="none"/>
        </w:rPr>
        <w:t>指除上述“财政拨款收入”、“事业收入”、“经营收入”、“附属单位上缴收入”等之外取得的收入。</w:t>
      </w:r>
    </w:p>
    <w:p>
      <w:pPr>
        <w:autoSpaceDE w:val="0"/>
        <w:autoSpaceDN w:val="0"/>
        <w:ind w:firstLine="643" w:firstLineChars="200"/>
        <w:jc w:val="left"/>
        <w:rPr>
          <w:rFonts w:ascii="仿宋_GB2312" w:eastAsia="仿宋_GB2312"/>
          <w:color w:val="auto"/>
          <w:sz w:val="32"/>
          <w:szCs w:val="32"/>
          <w:highlight w:val="none"/>
        </w:rPr>
      </w:pPr>
      <w:r>
        <w:rPr>
          <w:rFonts w:hint="eastAsia" w:ascii="仿宋_GB2312" w:eastAsia="仿宋_GB2312"/>
          <w:b/>
          <w:bCs/>
          <w:color w:val="auto"/>
          <w:sz w:val="32"/>
          <w:szCs w:val="32"/>
          <w:highlight w:val="none"/>
        </w:rPr>
        <w:t>七、年初结转和结余：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color w:val="auto"/>
          <w:sz w:val="32"/>
          <w:szCs w:val="32"/>
          <w:highlight w:val="none"/>
        </w:rPr>
      </w:pPr>
      <w:r>
        <w:rPr>
          <w:rFonts w:hint="eastAsia" w:ascii="仿宋_GB2312" w:eastAsia="仿宋_GB2312"/>
          <w:b/>
          <w:bCs/>
          <w:color w:val="auto"/>
          <w:sz w:val="32"/>
          <w:szCs w:val="32"/>
          <w:highlight w:val="none"/>
        </w:rPr>
        <w:t>八、年末结转和结余：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color w:val="auto"/>
          <w:sz w:val="32"/>
          <w:szCs w:val="32"/>
          <w:highlight w:val="none"/>
        </w:rPr>
      </w:pPr>
      <w:r>
        <w:rPr>
          <w:rFonts w:hint="eastAsia" w:ascii="仿宋_GB2312" w:eastAsia="仿宋_GB2312"/>
          <w:b/>
          <w:bCs/>
          <w:color w:val="auto"/>
          <w:sz w:val="32"/>
          <w:szCs w:val="32"/>
          <w:highlight w:val="none"/>
        </w:rPr>
        <w:t>九、基本支出：</w:t>
      </w:r>
      <w:r>
        <w:rPr>
          <w:rFonts w:hint="eastAsia" w:ascii="仿宋_GB2312" w:eastAsia="仿宋_GB2312"/>
          <w:color w:val="auto"/>
          <w:sz w:val="32"/>
          <w:szCs w:val="32"/>
          <w:highlight w:val="none"/>
        </w:rPr>
        <w:t>指为保障机构正常运转、完成日常工作任务而发生的人员支出和公用支出。</w:t>
      </w:r>
    </w:p>
    <w:p>
      <w:pPr>
        <w:autoSpaceDE w:val="0"/>
        <w:autoSpaceDN w:val="0"/>
        <w:ind w:firstLine="643" w:firstLineChars="200"/>
        <w:jc w:val="left"/>
        <w:rPr>
          <w:rFonts w:ascii="仿宋_GB2312" w:eastAsia="仿宋_GB2312"/>
          <w:color w:val="auto"/>
          <w:sz w:val="32"/>
          <w:szCs w:val="32"/>
          <w:highlight w:val="none"/>
        </w:rPr>
      </w:pPr>
      <w:r>
        <w:rPr>
          <w:rFonts w:hint="eastAsia" w:ascii="仿宋_GB2312" w:eastAsia="仿宋_GB2312"/>
          <w:b/>
          <w:bCs/>
          <w:color w:val="auto"/>
          <w:sz w:val="32"/>
          <w:szCs w:val="32"/>
          <w:highlight w:val="none"/>
        </w:rPr>
        <w:t>十、项目支出：</w:t>
      </w:r>
      <w:r>
        <w:rPr>
          <w:rFonts w:hint="eastAsia" w:ascii="仿宋_GB2312" w:eastAsia="仿宋_GB2312"/>
          <w:color w:val="auto"/>
          <w:sz w:val="32"/>
          <w:szCs w:val="32"/>
          <w:highlight w:val="none"/>
        </w:rPr>
        <w:t>指在基本支出之外为完成特定行政任务和事业发展目标所发生的支出。</w:t>
      </w:r>
    </w:p>
    <w:p>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十一、经营支出：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十二、对附属单位补助支出：</w:t>
      </w:r>
      <w:r>
        <w:rPr>
          <w:rFonts w:hint="eastAsia" w:ascii="仿宋_GB2312" w:eastAsia="仿宋_GB2312"/>
          <w:color w:val="auto"/>
          <w:sz w:val="32"/>
          <w:szCs w:val="32"/>
          <w:highlight w:val="none"/>
        </w:rPr>
        <w:t>指事业单位发生的用非财政预算资金对附属单位的补助支出。</w:t>
      </w:r>
    </w:p>
    <w:p>
      <w:pPr>
        <w:autoSpaceDE w:val="0"/>
        <w:autoSpaceDN w:val="0"/>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十三、“三公”经费：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十四、机关运行经费：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ind w:firstLine="640" w:firstLineChars="200"/>
        <w:jc w:val="center"/>
        <w:outlineLvl w:val="0"/>
        <w:rPr>
          <w:rFonts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ind w:firstLine="640" w:firstLineChars="200"/>
        <w:outlineLvl w:val="1"/>
        <w:rPr>
          <w:rFonts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ind w:firstLine="640" w:firstLineChars="200"/>
        <w:outlineLvl w:val="1"/>
        <w:rPr>
          <w:rFonts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ind w:firstLine="640" w:firstLineChars="200"/>
        <w:outlineLvl w:val="1"/>
        <w:rPr>
          <w:rFonts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ind w:firstLine="640" w:firstLineChars="200"/>
        <w:outlineLvl w:val="1"/>
        <w:rPr>
          <w:rFonts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ind w:firstLine="640" w:firstLineChars="200"/>
        <w:outlineLvl w:val="1"/>
        <w:rPr>
          <w:rFonts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ind w:firstLine="640" w:firstLineChars="200"/>
        <w:outlineLvl w:val="1"/>
        <w:rPr>
          <w:rFonts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ind w:firstLine="640" w:firstLineChars="200"/>
        <w:outlineLvl w:val="1"/>
        <w:rPr>
          <w:rFonts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ind w:firstLine="640" w:firstLineChars="200"/>
        <w:outlineLvl w:val="1"/>
        <w:rPr>
          <w:rFonts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ind w:firstLine="640" w:firstLineChars="200"/>
        <w:outlineLvl w:val="1"/>
        <w:rPr>
          <w:color w:val="auto"/>
          <w:highlight w:val="none"/>
        </w:rPr>
      </w:pPr>
      <w:r>
        <w:rPr>
          <w:rFonts w:hint="eastAsia" w:ascii="黑体" w:hAnsi="黑体" w:eastAsia="仿宋_GB2312" w:cs="宋体"/>
          <w:bCs/>
          <w:color w:val="auto"/>
          <w:kern w:val="0"/>
          <w:sz w:val="32"/>
          <w:szCs w:val="32"/>
          <w:highlight w:val="none"/>
        </w:rPr>
        <w:t>九、《国有资本经营预算财政拨款收入支出决算表》</w:t>
      </w:r>
    </w:p>
    <w:p>
      <w:pPr>
        <w:rPr>
          <w:rFonts w:hint="eastAsia" w:eastAsia="宋体"/>
          <w:color w:val="auto"/>
          <w:highlight w:val="none"/>
          <w:lang w:eastAsia="zh-CN"/>
        </w:rPr>
      </w:pPr>
    </w:p>
    <w:p>
      <w:pPr>
        <w:pStyle w:val="2"/>
        <w:rPr>
          <w:rFonts w:hint="eastAsia"/>
          <w:highlight w:val="none"/>
          <w:lang w:eastAsia="zh-CN"/>
        </w:rPr>
      </w:pPr>
    </w:p>
    <w:p>
      <w:pPr>
        <w:rPr>
          <w:rFonts w:hint="eastAsia"/>
          <w:highlight w:val="none"/>
          <w:lang w:eastAsia="zh-CN"/>
        </w:rPr>
      </w:pPr>
    </w:p>
    <w:p>
      <w:pPr>
        <w:pStyle w:val="2"/>
        <w:rPr>
          <w:rFonts w:hint="eastAsia"/>
          <w:highlight w:val="none"/>
          <w:lang w:eastAsia="zh-CN"/>
        </w:rPr>
      </w:pPr>
    </w:p>
    <w:p>
      <w:pPr>
        <w:rPr>
          <w:rFonts w:hint="eastAsia"/>
          <w:highlight w:val="none"/>
          <w:lang w:eastAsia="zh-CN"/>
        </w:rPr>
      </w:pPr>
    </w:p>
    <w:p>
      <w:pPr>
        <w:pStyle w:val="2"/>
        <w:rPr>
          <w:rFonts w:hint="eastAsia"/>
          <w:highlight w:val="none"/>
          <w:lang w:eastAsia="zh-CN"/>
        </w:rPr>
      </w:pPr>
    </w:p>
    <w:p>
      <w:pPr>
        <w:rPr>
          <w:rFonts w:hint="eastAsia"/>
          <w:highlight w:val="none"/>
          <w:lang w:eastAsia="zh-CN"/>
        </w:rPr>
      </w:pPr>
    </w:p>
    <w:p>
      <w:pPr>
        <w:pStyle w:val="2"/>
        <w:rPr>
          <w:rFonts w:hint="eastAsia"/>
          <w:highlight w:val="none"/>
          <w:lang w:eastAsia="zh-CN"/>
        </w:rPr>
      </w:pPr>
    </w:p>
    <w:p>
      <w:pPr>
        <w:rPr>
          <w:rFonts w:hint="eastAsia"/>
          <w:highlight w:val="none"/>
          <w:lang w:eastAsia="zh-CN"/>
        </w:rPr>
      </w:pPr>
    </w:p>
    <w:p>
      <w:pPr>
        <w:pStyle w:val="2"/>
        <w:rPr>
          <w:rFonts w:hint="eastAsia"/>
          <w:highlight w:val="none"/>
          <w:lang w:eastAsia="zh-CN"/>
        </w:rPr>
      </w:pPr>
    </w:p>
    <w:p>
      <w:pPr>
        <w:rPr>
          <w:rFonts w:hint="eastAsia"/>
          <w:highlight w:val="none"/>
          <w:lang w:eastAsia="zh-CN"/>
        </w:rPr>
      </w:pPr>
    </w:p>
    <w:p>
      <w:pPr>
        <w:pStyle w:val="2"/>
        <w:rPr>
          <w:rFonts w:hint="eastAsia"/>
          <w:highlight w:val="none"/>
          <w:lang w:eastAsia="zh-CN"/>
        </w:rPr>
      </w:pPr>
    </w:p>
    <w:p>
      <w:pPr>
        <w:rPr>
          <w:rFonts w:hint="eastAsia"/>
          <w:highlight w:val="none"/>
          <w:lang w:eastAsia="zh-CN"/>
        </w:rPr>
      </w:pPr>
    </w:p>
    <w:p>
      <w:pPr>
        <w:pStyle w:val="2"/>
        <w:rPr>
          <w:rFonts w:hint="eastAsia"/>
          <w:highlight w:val="none"/>
          <w:lang w:eastAsia="zh-CN"/>
        </w:rPr>
      </w:pPr>
    </w:p>
    <w:p>
      <w:pPr>
        <w:rPr>
          <w:rFonts w:hint="eastAsia"/>
          <w:highlight w:val="none"/>
          <w:lang w:eastAsia="zh-CN"/>
        </w:rPr>
      </w:pPr>
    </w:p>
    <w:p>
      <w:pPr>
        <w:pStyle w:val="2"/>
        <w:rPr>
          <w:rFonts w:hint="eastAsia"/>
          <w:highlight w:val="none"/>
          <w:lang w:eastAsia="zh-CN"/>
        </w:rPr>
      </w:pPr>
    </w:p>
    <w:p>
      <w:pPr>
        <w:jc w:val="center"/>
        <w:rPr>
          <w:rFonts w:hint="eastAsia"/>
          <w:highlight w:val="none"/>
          <w:lang w:eastAsia="zh-CN"/>
        </w:rPr>
      </w:pPr>
      <w:r>
        <w:rPr>
          <w:highlight w:val="none"/>
        </w:rPr>
        <w:drawing>
          <wp:anchor distT="0" distB="0" distL="114300" distR="114300" simplePos="0" relativeHeight="251660288" behindDoc="0" locked="0" layoutInCell="1" allowOverlap="1">
            <wp:simplePos x="0" y="0"/>
            <wp:positionH relativeFrom="column">
              <wp:posOffset>-384810</wp:posOffset>
            </wp:positionH>
            <wp:positionV relativeFrom="paragraph">
              <wp:posOffset>52705</wp:posOffset>
            </wp:positionV>
            <wp:extent cx="6029960" cy="7602855"/>
            <wp:effectExtent l="0" t="0" r="5080" b="1905"/>
            <wp:wrapSquare wrapText="bothSides"/>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pic:cNvPicPr>
                      <a:picLocks noChangeAspect="1"/>
                    </pic:cNvPicPr>
                  </pic:nvPicPr>
                  <pic:blipFill>
                    <a:blip r:embed="rId5"/>
                    <a:stretch>
                      <a:fillRect/>
                    </a:stretch>
                  </pic:blipFill>
                  <pic:spPr>
                    <a:xfrm>
                      <a:off x="0" y="0"/>
                      <a:ext cx="6029960" cy="7602855"/>
                    </a:xfrm>
                    <a:prstGeom prst="rect">
                      <a:avLst/>
                    </a:prstGeom>
                    <a:noFill/>
                    <a:ln cap="flat" cmpd="sng">
                      <a:noFill/>
                      <a:prstDash val="solid"/>
                      <a:round/>
                    </a:ln>
                  </pic:spPr>
                </pic:pic>
              </a:graphicData>
            </a:graphic>
          </wp:anchor>
        </w:drawing>
      </w:r>
    </w:p>
    <w:p>
      <w:pPr>
        <w:rPr>
          <w:highlight w:val="none"/>
        </w:rPr>
      </w:pPr>
    </w:p>
    <w:p>
      <w:pPr>
        <w:rPr>
          <w:highlight w:val="none"/>
        </w:rPr>
      </w:pPr>
    </w:p>
    <w:p>
      <w:pPr>
        <w:jc w:val="left"/>
        <w:rPr>
          <w:color w:val="auto"/>
          <w:highlight w:val="none"/>
        </w:rPr>
      </w:pPr>
    </w:p>
    <w:p>
      <w:pPr>
        <w:jc w:val="left"/>
        <w:rPr>
          <w:color w:val="auto"/>
          <w:highlight w:val="none"/>
        </w:rPr>
      </w:pPr>
      <w:r>
        <w:rPr>
          <w:highlight w:val="none"/>
        </w:rPr>
        <w:drawing>
          <wp:anchor distT="0" distB="0" distL="114300" distR="114300" simplePos="0" relativeHeight="251666432" behindDoc="1" locked="0" layoutInCell="1" allowOverlap="1">
            <wp:simplePos x="0" y="0"/>
            <wp:positionH relativeFrom="column">
              <wp:posOffset>-340995</wp:posOffset>
            </wp:positionH>
            <wp:positionV relativeFrom="paragraph">
              <wp:posOffset>24130</wp:posOffset>
            </wp:positionV>
            <wp:extent cx="5935980" cy="7677785"/>
            <wp:effectExtent l="0" t="0" r="0" b="0"/>
            <wp:wrapTight wrapText="bothSides">
              <wp:wrapPolygon>
                <wp:start x="9594" y="386"/>
                <wp:lineTo x="9317" y="472"/>
                <wp:lineTo x="9427" y="1072"/>
                <wp:lineTo x="10814" y="1072"/>
                <wp:lineTo x="20241" y="1758"/>
                <wp:lineTo x="0" y="2144"/>
                <wp:lineTo x="0" y="21523"/>
                <wp:lineTo x="8263" y="21523"/>
                <wp:lineTo x="10814" y="20966"/>
                <wp:lineTo x="21572" y="20966"/>
                <wp:lineTo x="21572" y="1501"/>
                <wp:lineTo x="20685" y="1415"/>
                <wp:lineTo x="10814" y="1072"/>
                <wp:lineTo x="12256" y="1072"/>
                <wp:lineTo x="12311" y="429"/>
                <wp:lineTo x="11535" y="386"/>
                <wp:lineTo x="9594" y="386"/>
              </wp:wrapPolygon>
            </wp:wrapTight>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6"/>
                    <a:stretch>
                      <a:fillRect/>
                    </a:stretch>
                  </pic:blipFill>
                  <pic:spPr>
                    <a:xfrm>
                      <a:off x="0" y="0"/>
                      <a:ext cx="5935980" cy="7677785"/>
                    </a:xfrm>
                    <a:prstGeom prst="rect">
                      <a:avLst/>
                    </a:prstGeom>
                    <a:noFill/>
                    <a:ln>
                      <a:noFill/>
                    </a:ln>
                  </pic:spPr>
                </pic:pic>
              </a:graphicData>
            </a:graphic>
          </wp:anchor>
        </w:drawing>
      </w:r>
    </w:p>
    <w:p>
      <w:pPr>
        <w:jc w:val="left"/>
        <w:rPr>
          <w:color w:val="auto"/>
          <w:highlight w:val="none"/>
        </w:rPr>
      </w:pPr>
    </w:p>
    <w:p>
      <w:pPr>
        <w:jc w:val="left"/>
        <w:rPr>
          <w:color w:val="auto"/>
          <w:highlight w:val="none"/>
        </w:rPr>
      </w:pPr>
    </w:p>
    <w:p>
      <w:pPr>
        <w:jc w:val="left"/>
        <w:rPr>
          <w:color w:val="auto"/>
          <w:highlight w:val="none"/>
        </w:rPr>
      </w:pPr>
    </w:p>
    <w:p>
      <w:pPr>
        <w:jc w:val="left"/>
        <w:rPr>
          <w:color w:val="auto"/>
          <w:highlight w:val="none"/>
        </w:rPr>
      </w:pPr>
    </w:p>
    <w:p>
      <w:pPr>
        <w:pStyle w:val="2"/>
        <w:rPr>
          <w:color w:val="auto"/>
          <w:highlight w:val="none"/>
        </w:rPr>
      </w:pPr>
      <w:r>
        <w:rPr>
          <w:highlight w:val="none"/>
        </w:rPr>
        <w:drawing>
          <wp:anchor distT="0" distB="0" distL="114300" distR="114300" simplePos="0" relativeHeight="251659264" behindDoc="1" locked="0" layoutInCell="1" allowOverlap="1">
            <wp:simplePos x="0" y="0"/>
            <wp:positionH relativeFrom="column">
              <wp:posOffset>-232410</wp:posOffset>
            </wp:positionH>
            <wp:positionV relativeFrom="paragraph">
              <wp:posOffset>332105</wp:posOffset>
            </wp:positionV>
            <wp:extent cx="5808980" cy="7066280"/>
            <wp:effectExtent l="0" t="0" r="12700" b="0"/>
            <wp:wrapTight wrapText="bothSides">
              <wp:wrapPolygon>
                <wp:start x="9294" y="373"/>
                <wp:lineTo x="9010" y="606"/>
                <wp:lineTo x="9067" y="1025"/>
                <wp:lineTo x="10767" y="1118"/>
                <wp:lineTo x="10824" y="1863"/>
                <wp:lineTo x="0" y="2003"/>
                <wp:lineTo x="0" y="21569"/>
                <wp:lineTo x="8840" y="21569"/>
                <wp:lineTo x="9010" y="21429"/>
                <wp:lineTo x="9010" y="21289"/>
                <wp:lineTo x="8840" y="21243"/>
                <wp:lineTo x="21534" y="21010"/>
                <wp:lineTo x="21534" y="1351"/>
                <wp:lineTo x="10767" y="1118"/>
                <wp:lineTo x="12410" y="978"/>
                <wp:lineTo x="12580" y="512"/>
                <wp:lineTo x="12240" y="373"/>
                <wp:lineTo x="9294" y="373"/>
              </wp:wrapPolygon>
            </wp:wrapTight>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8"/>
                    <pic:cNvPicPr>
                      <a:picLocks noChangeAspect="1"/>
                    </pic:cNvPicPr>
                  </pic:nvPicPr>
                  <pic:blipFill>
                    <a:blip r:embed="rId7"/>
                    <a:stretch>
                      <a:fillRect/>
                    </a:stretch>
                  </pic:blipFill>
                  <pic:spPr>
                    <a:xfrm>
                      <a:off x="0" y="0"/>
                      <a:ext cx="5808980" cy="7066280"/>
                    </a:xfrm>
                    <a:prstGeom prst="rect">
                      <a:avLst/>
                    </a:prstGeom>
                    <a:noFill/>
                    <a:ln cap="flat" cmpd="sng">
                      <a:noFill/>
                      <a:prstDash val="solid"/>
                      <a:round/>
                    </a:ln>
                  </pic:spPr>
                </pic:pic>
              </a:graphicData>
            </a:graphic>
          </wp:anchor>
        </w:drawing>
      </w:r>
    </w:p>
    <w:p>
      <w:pPr>
        <w:rPr>
          <w:color w:val="auto"/>
          <w:highlight w:val="none"/>
        </w:rPr>
      </w:pPr>
    </w:p>
    <w:p>
      <w:pPr>
        <w:pStyle w:val="2"/>
        <w:rPr>
          <w:rFonts w:hint="eastAsia" w:eastAsia="宋体"/>
          <w:color w:val="auto"/>
          <w:highlight w:val="none"/>
          <w:lang w:eastAsia="zh-CN"/>
        </w:rPr>
      </w:pPr>
    </w:p>
    <w:p>
      <w:pPr>
        <w:rPr>
          <w:rFonts w:hint="eastAsia" w:eastAsia="宋体"/>
          <w:color w:val="auto"/>
          <w:highlight w:val="none"/>
          <w:lang w:eastAsia="zh-CN"/>
        </w:rPr>
      </w:pPr>
    </w:p>
    <w:p>
      <w:pPr>
        <w:pStyle w:val="2"/>
        <w:rPr>
          <w:rFonts w:hint="eastAsia" w:eastAsia="宋体"/>
          <w:color w:val="auto"/>
          <w:highlight w:val="none"/>
          <w:lang w:eastAsia="zh-CN"/>
        </w:rPr>
      </w:pPr>
    </w:p>
    <w:p>
      <w:pPr>
        <w:pStyle w:val="2"/>
        <w:rPr>
          <w:color w:val="auto"/>
          <w:highlight w:val="none"/>
        </w:rPr>
      </w:pPr>
      <w:r>
        <w:rPr>
          <w:highlight w:val="none"/>
        </w:rPr>
        <w:drawing>
          <wp:anchor distT="0" distB="0" distL="114300" distR="114300" simplePos="0" relativeHeight="251661312" behindDoc="0" locked="0" layoutInCell="1" allowOverlap="1">
            <wp:simplePos x="0" y="0"/>
            <wp:positionH relativeFrom="column">
              <wp:posOffset>-291465</wp:posOffset>
            </wp:positionH>
            <wp:positionV relativeFrom="paragraph">
              <wp:posOffset>330835</wp:posOffset>
            </wp:positionV>
            <wp:extent cx="5947410" cy="7371715"/>
            <wp:effectExtent l="0" t="0" r="11430" b="4445"/>
            <wp:wrapSquare wrapText="bothSides"/>
            <wp:docPr id="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9"/>
                    <pic:cNvPicPr>
                      <a:picLocks noChangeAspect="1"/>
                    </pic:cNvPicPr>
                  </pic:nvPicPr>
                  <pic:blipFill>
                    <a:blip r:embed="rId8"/>
                    <a:stretch>
                      <a:fillRect/>
                    </a:stretch>
                  </pic:blipFill>
                  <pic:spPr>
                    <a:xfrm>
                      <a:off x="0" y="0"/>
                      <a:ext cx="5947410" cy="7371715"/>
                    </a:xfrm>
                    <a:prstGeom prst="rect">
                      <a:avLst/>
                    </a:prstGeom>
                    <a:noFill/>
                    <a:ln cap="flat" cmpd="sng">
                      <a:noFill/>
                      <a:prstDash val="solid"/>
                      <a:round/>
                    </a:ln>
                  </pic:spPr>
                </pic:pic>
              </a:graphicData>
            </a:graphic>
          </wp:anchor>
        </w:drawing>
      </w:r>
    </w:p>
    <w:p>
      <w:pPr>
        <w:pStyle w:val="2"/>
        <w:rPr>
          <w:color w:val="auto"/>
          <w:highlight w:val="none"/>
        </w:rPr>
      </w:pPr>
    </w:p>
    <w:p>
      <w:pPr>
        <w:rPr>
          <w:color w:val="auto"/>
          <w:highlight w:val="none"/>
        </w:rPr>
      </w:pPr>
      <w:r>
        <w:rPr>
          <w:highlight w:val="none"/>
        </w:rPr>
        <w:drawing>
          <wp:anchor distT="0" distB="0" distL="114300" distR="114300" simplePos="0" relativeHeight="251664384" behindDoc="1" locked="0" layoutInCell="1" allowOverlap="1">
            <wp:simplePos x="0" y="0"/>
            <wp:positionH relativeFrom="column">
              <wp:posOffset>-375285</wp:posOffset>
            </wp:positionH>
            <wp:positionV relativeFrom="paragraph">
              <wp:posOffset>83820</wp:posOffset>
            </wp:positionV>
            <wp:extent cx="6025515" cy="7674610"/>
            <wp:effectExtent l="0" t="0" r="9525" b="0"/>
            <wp:wrapTight wrapText="bothSides">
              <wp:wrapPolygon>
                <wp:start x="6119" y="386"/>
                <wp:lineTo x="5299" y="643"/>
                <wp:lineTo x="5518" y="987"/>
                <wp:lineTo x="10762" y="1072"/>
                <wp:lineTo x="19722" y="1759"/>
                <wp:lineTo x="0" y="1973"/>
                <wp:lineTo x="0" y="21489"/>
                <wp:lineTo x="983" y="21575"/>
                <wp:lineTo x="10435" y="21575"/>
                <wp:lineTo x="21525" y="21017"/>
                <wp:lineTo x="21525" y="1373"/>
                <wp:lineTo x="20979" y="1373"/>
                <wp:lineTo x="10762" y="1072"/>
                <wp:lineTo x="16226" y="987"/>
                <wp:lineTo x="16444" y="472"/>
                <wp:lineTo x="16007" y="386"/>
                <wp:lineTo x="6119" y="386"/>
              </wp:wrapPolygon>
            </wp:wrapTight>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9"/>
                    <a:stretch>
                      <a:fillRect/>
                    </a:stretch>
                  </pic:blipFill>
                  <pic:spPr>
                    <a:xfrm>
                      <a:off x="0" y="0"/>
                      <a:ext cx="6025515" cy="7674610"/>
                    </a:xfrm>
                    <a:prstGeom prst="rect">
                      <a:avLst/>
                    </a:prstGeom>
                    <a:noFill/>
                    <a:ln>
                      <a:noFill/>
                    </a:ln>
                  </pic:spPr>
                </pic:pic>
              </a:graphicData>
            </a:graphic>
          </wp:anchor>
        </w:drawing>
      </w:r>
    </w:p>
    <w:p>
      <w:pPr>
        <w:rPr>
          <w:color w:val="auto"/>
          <w:highlight w:val="none"/>
        </w:rPr>
      </w:pPr>
    </w:p>
    <w:p>
      <w:pPr>
        <w:pStyle w:val="2"/>
        <w:rPr>
          <w:rFonts w:hint="eastAsia" w:eastAsia="宋体"/>
          <w:color w:val="auto"/>
          <w:highlight w:val="none"/>
          <w:lang w:eastAsia="zh-CN"/>
        </w:rPr>
      </w:pPr>
    </w:p>
    <w:p>
      <w:pPr>
        <w:rPr>
          <w:color w:val="auto"/>
          <w:highlight w:val="none"/>
        </w:rPr>
      </w:pPr>
    </w:p>
    <w:p>
      <w:pPr>
        <w:pStyle w:val="2"/>
        <w:rPr>
          <w:highlight w:val="none"/>
        </w:rPr>
      </w:pPr>
    </w:p>
    <w:p>
      <w:pPr>
        <w:jc w:val="center"/>
        <w:rPr>
          <w:rFonts w:hint="eastAsia"/>
          <w:highlight w:val="none"/>
          <w:lang w:eastAsia="zh-CN"/>
        </w:rPr>
      </w:pPr>
      <w:r>
        <w:rPr>
          <w:highlight w:val="none"/>
        </w:rPr>
        <w:drawing>
          <wp:inline distT="0" distB="0" distL="114300" distR="114300">
            <wp:extent cx="5211445" cy="8385175"/>
            <wp:effectExtent l="0" t="0" r="635" b="1206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5211445" cy="8385175"/>
                    </a:xfrm>
                    <a:prstGeom prst="rect">
                      <a:avLst/>
                    </a:prstGeom>
                    <a:noFill/>
                    <a:ln>
                      <a:noFill/>
                    </a:ln>
                  </pic:spPr>
                </pic:pic>
              </a:graphicData>
            </a:graphic>
          </wp:inline>
        </w:drawing>
      </w:r>
    </w:p>
    <w:p>
      <w:pPr>
        <w:rPr>
          <w:rFonts w:hint="eastAsia"/>
          <w:highlight w:val="none"/>
          <w:lang w:eastAsia="zh-CN"/>
        </w:rPr>
      </w:pPr>
    </w:p>
    <w:p>
      <w:pPr>
        <w:pStyle w:val="2"/>
        <w:rPr>
          <w:rFonts w:hint="eastAsia"/>
          <w:highlight w:val="none"/>
          <w:lang w:eastAsia="zh-CN"/>
        </w:rPr>
      </w:pPr>
    </w:p>
    <w:p>
      <w:pPr>
        <w:rPr>
          <w:rFonts w:hint="eastAsia"/>
          <w:highlight w:val="none"/>
          <w:lang w:eastAsia="zh-CN"/>
        </w:rPr>
      </w:pPr>
      <w:r>
        <w:rPr>
          <w:highlight w:val="none"/>
        </w:rPr>
        <w:drawing>
          <wp:anchor distT="0" distB="0" distL="114300" distR="114300" simplePos="0" relativeHeight="251662336" behindDoc="0" locked="0" layoutInCell="1" allowOverlap="1">
            <wp:simplePos x="0" y="0"/>
            <wp:positionH relativeFrom="column">
              <wp:posOffset>-300355</wp:posOffset>
            </wp:positionH>
            <wp:positionV relativeFrom="paragraph">
              <wp:posOffset>1270</wp:posOffset>
            </wp:positionV>
            <wp:extent cx="5916295" cy="6971665"/>
            <wp:effectExtent l="0" t="0" r="12065" b="0"/>
            <wp:wrapSquare wrapText="bothSides"/>
            <wp:docPr id="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6"/>
                    <pic:cNvPicPr>
                      <a:picLocks noChangeAspect="1"/>
                    </pic:cNvPicPr>
                  </pic:nvPicPr>
                  <pic:blipFill>
                    <a:blip r:embed="rId11"/>
                    <a:stretch>
                      <a:fillRect/>
                    </a:stretch>
                  </pic:blipFill>
                  <pic:spPr>
                    <a:xfrm>
                      <a:off x="0" y="0"/>
                      <a:ext cx="5916295" cy="6971665"/>
                    </a:xfrm>
                    <a:prstGeom prst="rect">
                      <a:avLst/>
                    </a:prstGeom>
                    <a:noFill/>
                    <a:ln cap="flat" cmpd="sng">
                      <a:noFill/>
                      <a:prstDash val="solid"/>
                      <a:round/>
                    </a:ln>
                  </pic:spPr>
                </pic:pic>
              </a:graphicData>
            </a:graphic>
          </wp:anchor>
        </w:drawing>
      </w:r>
    </w:p>
    <w:p>
      <w:pPr>
        <w:rPr>
          <w:highlight w:val="none"/>
        </w:rPr>
        <w:sectPr>
          <w:footerReference r:id="rId3" w:type="default"/>
          <w:pgSz w:w="11906" w:h="16838"/>
          <w:pgMar w:top="1440" w:right="1800" w:bottom="1440" w:left="1800" w:header="851" w:footer="992" w:gutter="0"/>
          <w:cols w:space="720" w:num="1"/>
          <w:docGrid w:type="lines" w:linePitch="312" w:charSpace="0"/>
        </w:sectPr>
      </w:pPr>
    </w:p>
    <w:p>
      <w:pPr>
        <w:rPr>
          <w:color w:val="auto"/>
          <w:highlight w:val="none"/>
        </w:rPr>
      </w:pPr>
      <w:r>
        <w:rPr>
          <w:highlight w:val="none"/>
        </w:rPr>
        <w:drawing>
          <wp:anchor distT="0" distB="0" distL="114300" distR="114300" simplePos="0" relativeHeight="251663360" behindDoc="1" locked="0" layoutInCell="1" allowOverlap="1">
            <wp:simplePos x="0" y="0"/>
            <wp:positionH relativeFrom="column">
              <wp:posOffset>-362585</wp:posOffset>
            </wp:positionH>
            <wp:positionV relativeFrom="paragraph">
              <wp:posOffset>-19685</wp:posOffset>
            </wp:positionV>
            <wp:extent cx="6068695" cy="5878830"/>
            <wp:effectExtent l="0" t="0" r="12065" b="0"/>
            <wp:wrapTight wrapText="bothSides">
              <wp:wrapPolygon>
                <wp:start x="6021" y="504"/>
                <wp:lineTo x="5696" y="672"/>
                <wp:lineTo x="5750" y="1400"/>
                <wp:lineTo x="10794" y="1400"/>
                <wp:lineTo x="20124" y="2296"/>
                <wp:lineTo x="10849" y="3192"/>
                <wp:lineTo x="0" y="3248"/>
                <wp:lineTo x="0" y="3864"/>
                <wp:lineTo x="10794" y="4088"/>
                <wp:lineTo x="0" y="4368"/>
                <wp:lineTo x="0" y="19038"/>
                <wp:lineTo x="10794" y="19318"/>
                <wp:lineTo x="0" y="19990"/>
                <wp:lineTo x="0" y="21110"/>
                <wp:lineTo x="54" y="21502"/>
                <wp:lineTo x="19365" y="21502"/>
                <wp:lineTo x="19473" y="20886"/>
                <wp:lineTo x="11066" y="20214"/>
                <wp:lineTo x="10794" y="19318"/>
                <wp:lineTo x="21534" y="19038"/>
                <wp:lineTo x="21534" y="4368"/>
                <wp:lineTo x="10794" y="4088"/>
                <wp:lineTo x="21534" y="3864"/>
                <wp:lineTo x="21534" y="3248"/>
                <wp:lineTo x="12476" y="3192"/>
                <wp:lineTo x="21534" y="2464"/>
                <wp:lineTo x="21534" y="1904"/>
                <wp:lineTo x="20667" y="1792"/>
                <wp:lineTo x="10794" y="1400"/>
                <wp:lineTo x="15730" y="1344"/>
                <wp:lineTo x="15947" y="560"/>
                <wp:lineTo x="15568" y="504"/>
                <wp:lineTo x="6021" y="504"/>
              </wp:wrapPolygon>
            </wp:wrapTight>
            <wp:docPr id="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7"/>
                    <pic:cNvPicPr>
                      <a:picLocks noChangeAspect="1"/>
                    </pic:cNvPicPr>
                  </pic:nvPicPr>
                  <pic:blipFill>
                    <a:blip r:embed="rId12"/>
                    <a:stretch>
                      <a:fillRect/>
                    </a:stretch>
                  </pic:blipFill>
                  <pic:spPr>
                    <a:xfrm>
                      <a:off x="0" y="0"/>
                      <a:ext cx="6068695" cy="5878830"/>
                    </a:xfrm>
                    <a:prstGeom prst="rect">
                      <a:avLst/>
                    </a:prstGeom>
                    <a:noFill/>
                    <a:ln cap="flat" cmpd="sng">
                      <a:noFill/>
                      <a:prstDash val="solid"/>
                      <a:round/>
                    </a:ln>
                  </pic:spPr>
                </pic:pic>
              </a:graphicData>
            </a:graphic>
          </wp:anchor>
        </w:drawing>
      </w:r>
    </w:p>
    <w:p>
      <w:pPr>
        <w:pStyle w:val="2"/>
        <w:rPr>
          <w:color w:val="auto"/>
          <w:highlight w:val="none"/>
        </w:rPr>
      </w:pPr>
    </w:p>
    <w:p>
      <w:pPr>
        <w:rPr>
          <w:highlight w:val="none"/>
        </w:rPr>
      </w:pPr>
    </w:p>
    <w:p>
      <w:pPr>
        <w:rPr>
          <w:color w:val="auto"/>
          <w:highlight w:val="none"/>
        </w:rPr>
      </w:pPr>
    </w:p>
    <w:p>
      <w:pPr>
        <w:pStyle w:val="2"/>
        <w:rPr>
          <w:color w:val="auto"/>
          <w:highlight w:val="none"/>
        </w:rPr>
      </w:pPr>
    </w:p>
    <w:p>
      <w:pPr>
        <w:rPr>
          <w:color w:val="auto"/>
          <w:highlight w:val="none"/>
        </w:rPr>
      </w:pPr>
    </w:p>
    <w:p>
      <w:pPr>
        <w:pStyle w:val="2"/>
        <w:rPr>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r>
        <w:rPr>
          <w:highlight w:val="none"/>
        </w:rPr>
        <w:drawing>
          <wp:anchor distT="0" distB="0" distL="114300" distR="114300" simplePos="0" relativeHeight="251665408" behindDoc="1" locked="0" layoutInCell="1" allowOverlap="1">
            <wp:simplePos x="0" y="0"/>
            <wp:positionH relativeFrom="column">
              <wp:posOffset>-587375</wp:posOffset>
            </wp:positionH>
            <wp:positionV relativeFrom="paragraph">
              <wp:posOffset>30480</wp:posOffset>
            </wp:positionV>
            <wp:extent cx="6449695" cy="5269865"/>
            <wp:effectExtent l="0" t="0" r="12065" b="0"/>
            <wp:wrapTight wrapText="bothSides">
              <wp:wrapPolygon>
                <wp:start x="6380" y="500"/>
                <wp:lineTo x="5665" y="500"/>
                <wp:lineTo x="5716" y="1374"/>
                <wp:lineTo x="10769" y="1499"/>
                <wp:lineTo x="10820" y="2499"/>
                <wp:lineTo x="0" y="2748"/>
                <wp:lineTo x="0" y="18989"/>
                <wp:lineTo x="10769" y="19489"/>
                <wp:lineTo x="664" y="19989"/>
                <wp:lineTo x="0" y="19989"/>
                <wp:lineTo x="0" y="21551"/>
                <wp:lineTo x="18527" y="21551"/>
                <wp:lineTo x="18782" y="21301"/>
                <wp:lineTo x="18578" y="20863"/>
                <wp:lineTo x="8626" y="20489"/>
                <wp:lineTo x="10769" y="19489"/>
                <wp:lineTo x="21538" y="18989"/>
                <wp:lineTo x="21538" y="2811"/>
                <wp:lineTo x="10769" y="2499"/>
                <wp:lineTo x="21538" y="2499"/>
                <wp:lineTo x="21538" y="1874"/>
                <wp:lineTo x="10769" y="1499"/>
                <wp:lineTo x="15873" y="1374"/>
                <wp:lineTo x="16026" y="562"/>
                <wp:lineTo x="15210" y="500"/>
                <wp:lineTo x="6380" y="500"/>
              </wp:wrapPolygon>
            </wp:wrapTight>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3"/>
                    <a:stretch>
                      <a:fillRect/>
                    </a:stretch>
                  </pic:blipFill>
                  <pic:spPr>
                    <a:xfrm>
                      <a:off x="0" y="0"/>
                      <a:ext cx="6449695" cy="5269865"/>
                    </a:xfrm>
                    <a:prstGeom prst="rect">
                      <a:avLst/>
                    </a:prstGeom>
                    <a:noFill/>
                    <a:ln>
                      <a:noFill/>
                    </a:ln>
                  </pic:spPr>
                </pic:pic>
              </a:graphicData>
            </a:graphic>
          </wp:anchor>
        </w:drawing>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兰亭黑_GBK">
    <w:altName w:val="微软雅黑"/>
    <w:panose1 w:val="02000000000000000000"/>
    <w:charset w:val="86"/>
    <w:family w:val="script"/>
    <w:pitch w:val="default"/>
    <w:sig w:usb0="00000000" w:usb1="00000000" w:usb2="0008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45415" cy="133350"/>
              <wp:effectExtent l="0" t="0" r="0" b="0"/>
              <wp:wrapNone/>
              <wp:docPr id="1" name="文本框 1"/>
              <wp:cNvGraphicFramePr/>
              <a:graphic xmlns:a="http://schemas.openxmlformats.org/drawingml/2006/main">
                <a:graphicData uri="http://schemas.microsoft.com/office/word/2010/wordprocessingShape">
                  <wps:wsp>
                    <wps:cNvSpPr/>
                    <wps:spPr>
                      <a:xfrm>
                        <a:off x="0" y="0"/>
                        <a:ext cx="145442" cy="133052"/>
                      </a:xfrm>
                      <a:prstGeom prst="rect">
                        <a:avLst/>
                      </a:prstGeom>
                      <a:noFill/>
                      <a:ln cap="flat" cmpd="sng">
                        <a:noFill/>
                        <a:prstDash val="solid"/>
                        <a:round/>
                      </a:ln>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vert="horz" wrap="none" lIns="0" tIns="0" rIns="0" bIns="0" anchor="t" anchorCtr="0" upright="0">
                      <a:spAutoFit/>
                    </wps:bodyPr>
                  </wps:wsp>
                </a:graphicData>
              </a:graphic>
            </wp:anchor>
          </w:drawing>
        </mc:Choice>
        <mc:Fallback>
          <w:pict>
            <v:rect id="文本框 1" o:spid="_x0000_s1026" o:spt="1" style="position:absolute;left:0pt;margin-top:0pt;height:10.5pt;width:11.45pt;mso-position-horizontal:center;mso-position-horizontal-relative:margin;mso-wrap-style:none;z-index:251659264;mso-width-relative:page;mso-height-relative:page;" filled="f" stroked="f" coordsize="21600,21600" o:gfxdata="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2gxYTRAAAAAwEAAA8AAAAAAAAAAQAgAAAAIgAAAGRycy9kb3ducmV2LnhtbFBL&#10;AQIUABQAAAAIAIdO4kBoEs4P/QEAAOsDAAAOAAAAAAAAAAEAIAAAACABAABkcnMvZTJvRG9jLnht&#10;bFBLBQYAAAAABgAGAFkBAACPBQAAAAA=&#10;">
              <v:fill on="f" focussize="0,0"/>
              <v:stroke on="f" joinstyle="round"/>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
  <w:docVars>
    <w:docVar w:name="commondata" w:val="eyJoZGlkIjoiNjAyOGZmZWJiZjkzMTc5MjUxM2FlYjUzNmFjOTJhZmYifQ=="/>
    <w:docVar w:name="KSO_WPS_MARK_KEY" w:val="41ee2a61-2d54-4f93-83be-afdb9a40d732"/>
  </w:docVars>
  <w:rsids>
    <w:rsidRoot w:val="00000000"/>
    <w:rsid w:val="07F41FC1"/>
    <w:rsid w:val="0ABE376F"/>
    <w:rsid w:val="0C684D51"/>
    <w:rsid w:val="10F677E1"/>
    <w:rsid w:val="15803DA8"/>
    <w:rsid w:val="1B400281"/>
    <w:rsid w:val="1E017C94"/>
    <w:rsid w:val="1EDF23CC"/>
    <w:rsid w:val="23B00964"/>
    <w:rsid w:val="24FC2E00"/>
    <w:rsid w:val="2B90424B"/>
    <w:rsid w:val="2CB4213E"/>
    <w:rsid w:val="2D464572"/>
    <w:rsid w:val="2D875A1E"/>
    <w:rsid w:val="2DBE45D6"/>
    <w:rsid w:val="344B0359"/>
    <w:rsid w:val="3C3E795A"/>
    <w:rsid w:val="3F7C3702"/>
    <w:rsid w:val="409A4A0D"/>
    <w:rsid w:val="4E347ADB"/>
    <w:rsid w:val="502427D9"/>
    <w:rsid w:val="5634166B"/>
    <w:rsid w:val="66C30563"/>
    <w:rsid w:val="6AC60946"/>
    <w:rsid w:val="71C9545B"/>
    <w:rsid w:val="774940D2"/>
    <w:rsid w:val="7A282AD0"/>
    <w:rsid w:val="7FF63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7"/>
    <w:qFormat/>
    <w:uiPriority w:val="0"/>
    <w:pPr>
      <w:keepNext/>
      <w:keepLines/>
      <w:spacing w:before="260" w:after="260" w:line="415" w:lineRule="auto"/>
      <w:outlineLvl w:val="1"/>
    </w:pPr>
    <w:rPr>
      <w:rFonts w:ascii="方正兰亭黑_GBK" w:hAnsi="方正兰亭黑_GBK" w:eastAsia="黑体"/>
      <w:b/>
      <w:bCs/>
      <w:sz w:val="32"/>
      <w:szCs w:val="32"/>
    </w:rPr>
  </w:style>
  <w:style w:type="paragraph" w:styleId="2">
    <w:name w:val="heading 3"/>
    <w:basedOn w:val="1"/>
    <w:next w:val="1"/>
    <w:link w:val="18"/>
    <w:qFormat/>
    <w:uiPriority w:val="0"/>
    <w:pPr>
      <w:keepNext/>
      <w:keepLines/>
      <w:spacing w:line="560" w:lineRule="exact"/>
      <w:outlineLvl w:val="2"/>
    </w:pPr>
    <w:rPr>
      <w:b/>
      <w:bCs/>
      <w:sz w:val="32"/>
      <w:szCs w:val="32"/>
    </w:rPr>
  </w:style>
  <w:style w:type="character" w:default="1" w:styleId="14">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toc 3"/>
    <w:basedOn w:val="1"/>
    <w:next w:val="1"/>
    <w:qFormat/>
    <w:uiPriority w:val="0"/>
    <w:pPr>
      <w:ind w:left="40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paragraph" w:styleId="10">
    <w:name w:val="toc 1"/>
    <w:basedOn w:val="1"/>
    <w:next w:val="1"/>
    <w:qFormat/>
    <w:uiPriority w:val="0"/>
  </w:style>
  <w:style w:type="paragraph" w:styleId="11">
    <w:name w:val="toc 2"/>
    <w:basedOn w:val="1"/>
    <w:next w:val="1"/>
    <w:qFormat/>
    <w:uiPriority w:val="0"/>
    <w:pPr>
      <w:ind w:left="200" w:leftChars="200"/>
    </w:pPr>
  </w:style>
  <w:style w:type="paragraph" w:styleId="12">
    <w:name w:val="Normal (Web)"/>
    <w:basedOn w:val="1"/>
    <w:qFormat/>
    <w:uiPriority w:val="0"/>
    <w:pPr>
      <w:spacing w:before="100" w:beforeAutospacing="1" w:after="100" w:afterAutospacing="1"/>
      <w:jc w:val="left"/>
    </w:pPr>
    <w:rPr>
      <w:kern w:val="0"/>
      <w:sz w:val="24"/>
    </w:rPr>
  </w:style>
  <w:style w:type="character" w:styleId="15">
    <w:name w:val="Strong"/>
    <w:basedOn w:val="14"/>
    <w:qFormat/>
    <w:uiPriority w:val="0"/>
    <w:rPr>
      <w:b/>
    </w:rPr>
  </w:style>
  <w:style w:type="character" w:customStyle="1" w:styleId="16">
    <w:name w:val="heading 1 Char"/>
    <w:basedOn w:val="14"/>
    <w:link w:val="3"/>
    <w:qFormat/>
    <w:uiPriority w:val="0"/>
    <w:rPr>
      <w:rFonts w:ascii="Times New Roman" w:hAnsi="Times New Roman" w:eastAsia="宋体" w:cs="Times New Roman"/>
      <w:b/>
      <w:bCs/>
      <w:kern w:val="44"/>
      <w:sz w:val="44"/>
      <w:szCs w:val="44"/>
      <w:lang w:val="en-US" w:eastAsia="zh-CN" w:bidi="ar-SA"/>
    </w:rPr>
  </w:style>
  <w:style w:type="character" w:customStyle="1" w:styleId="17">
    <w:name w:val="heading 2 Char"/>
    <w:basedOn w:val="14"/>
    <w:link w:val="4"/>
    <w:qFormat/>
    <w:uiPriority w:val="0"/>
    <w:rPr>
      <w:rFonts w:ascii="方正兰亭黑_GBK" w:hAnsi="Times New Roman" w:eastAsia="黑体" w:cs="Times New Roman"/>
      <w:b/>
      <w:bCs/>
      <w:kern w:val="2"/>
      <w:sz w:val="32"/>
      <w:szCs w:val="32"/>
      <w:lang w:val="en-US" w:eastAsia="zh-CN" w:bidi="ar-SA"/>
    </w:rPr>
  </w:style>
  <w:style w:type="character" w:customStyle="1" w:styleId="18">
    <w:name w:val="heading 3 Char"/>
    <w:basedOn w:val="14"/>
    <w:link w:val="2"/>
    <w:qFormat/>
    <w:uiPriority w:val="0"/>
    <w:rPr>
      <w:rFonts w:ascii="Times New Roman" w:hAnsi="Times New Roman" w:eastAsia="宋体" w:cs="Times New Roman"/>
      <w:b/>
      <w:bCs/>
      <w:kern w:val="2"/>
      <w:sz w:val="32"/>
      <w:szCs w:val="32"/>
      <w:lang w:val="en-US" w:eastAsia="zh-CN" w:bidi="ar-SA"/>
    </w:rPr>
  </w:style>
  <w:style w:type="paragraph" w:customStyle="1" w:styleId="19">
    <w:name w:val="WPSOffice手动目录 3"/>
    <w:qFormat/>
    <w:uiPriority w:val="0"/>
    <w:pPr>
      <w:ind w:left="400" w:leftChars="400"/>
    </w:pPr>
    <w:rPr>
      <w:rFonts w:ascii="Times New Roman" w:hAnsi="Times New Roman" w:eastAsia="宋体" w:cs="Times New Roman"/>
      <w:sz w:val="20"/>
      <w:szCs w:val="20"/>
      <w:lang w:val="en-US" w:eastAsia="zh-CN" w:bidi="ar-SA"/>
    </w:rPr>
  </w:style>
  <w:style w:type="paragraph" w:customStyle="1" w:styleId="20">
    <w:name w:val="WPSOffice手动目录 2"/>
    <w:qFormat/>
    <w:uiPriority w:val="0"/>
    <w:pPr>
      <w:ind w:left="200" w:leftChars="200"/>
    </w:pPr>
    <w:rPr>
      <w:rFonts w:ascii="Times New Roman" w:hAnsi="Times New Roman" w:eastAsia="宋体" w:cs="Times New Roman"/>
      <w:sz w:val="20"/>
      <w:szCs w:val="20"/>
      <w:lang w:val="en-US" w:eastAsia="zh-CN" w:bidi="ar-SA"/>
    </w:rPr>
  </w:style>
  <w:style w:type="paragraph" w:customStyle="1" w:styleId="21">
    <w:name w:val="WPSOffice手动目录 1"/>
    <w:qFormat/>
    <w:uiPriority w:val="0"/>
    <w:rPr>
      <w:rFonts w:ascii="Times New Roman" w:hAnsi="Times New Roman" w:eastAsia="宋体" w:cs="Times New Roman"/>
      <w:sz w:val="20"/>
      <w:szCs w:val="20"/>
      <w:lang w:val="en-US" w:eastAsia="zh-CN" w:bidi="ar-SA"/>
    </w:rPr>
  </w:style>
  <w:style w:type="paragraph" w:styleId="22">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ustomData xmlns="http://www.yozosoft.com.cn/officeDocument/2016/customData">
  <customProps>
    <docPr revisions="3 0 5 0 0 0 1 0 0 0 3000 0 1 1 1 1"/>
    <sectPr/>
    <sectPr/>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2BB91F-11DE-445A-A6CB-7B640A3B1828}">
  <ds:schemaRefs/>
</ds:datastoreItem>
</file>

<file path=docProps/app.xml><?xml version="1.0" encoding="utf-8"?>
<Properties xmlns="http://schemas.openxmlformats.org/officeDocument/2006/extended-properties" xmlns:vt="http://schemas.openxmlformats.org/officeDocument/2006/docPropsVTypes">
  <Template>Normal.eit</Template>
  <Pages>28</Pages>
  <Words>0</Words>
  <Characters>7348</Characters>
  <Lines>0</Lines>
  <Paragraphs>195</Paragraphs>
  <TotalTime>7</TotalTime>
  <ScaleCrop>false</ScaleCrop>
  <LinksUpToDate>false</LinksUpToDate>
  <CharactersWithSpaces>9798</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dcterms:modified xsi:type="dcterms:W3CDTF">2024-11-19T03:50:54Z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