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库尔勒市妇女联合会2023年度部门决算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rPr>
          <w:rFonts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 xml:space="preserve">第一部分 </w:t>
      </w:r>
      <w:r>
        <w:rPr>
          <w:rFonts w:hint="eastAsia" w:ascii="仿宋_GB2312" w:hAnsi="仿宋_GB2312" w:eastAsia="仿宋_GB2312" w:cs="仿宋_GB2312"/>
          <w:b/>
          <w:bCs/>
          <w:sz w:val="32"/>
          <w:szCs w:val="32"/>
          <w:lang w:val="en-US" w:eastAsia="zh-CN"/>
        </w:rPr>
        <w:t>部门</w:t>
      </w:r>
      <w:r>
        <w:rPr>
          <w:rFonts w:hint="eastAsia" w:ascii="仿宋_GB2312" w:hAnsi="仿宋_GB2312" w:eastAsia="仿宋_GB2312" w:cs="仿宋_GB2312"/>
          <w:b/>
          <w:bCs/>
          <w:sz w:val="32"/>
          <w:szCs w:val="32"/>
        </w:rPr>
        <w:t>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ascii="黑体" w:hAnsi="黑体" w:eastAsia="黑体"/>
          <w:sz w:val="32"/>
          <w:szCs w:val="32"/>
        </w:rPr>
      </w:pPr>
      <w:bookmarkStart w:id="0" w:name="_Toc24028"/>
      <w:bookmarkStart w:id="1" w:name="_Toc32314"/>
      <w:r>
        <w:rPr>
          <w:rFonts w:hint="eastAsia" w:ascii="黑体" w:hAnsi="黑体" w:eastAsia="黑体"/>
          <w:sz w:val="32"/>
          <w:szCs w:val="32"/>
        </w:rPr>
        <w:t xml:space="preserve">第一部分 </w:t>
      </w:r>
      <w:r>
        <w:rPr>
          <w:rFonts w:hint="eastAsia" w:ascii="黑体" w:hAnsi="黑体" w:eastAsia="黑体"/>
          <w:sz w:val="32"/>
          <w:szCs w:val="32"/>
          <w:lang w:val="en-US" w:eastAsia="zh-CN"/>
        </w:rPr>
        <w:t>部门</w:t>
      </w:r>
      <w:r>
        <w:rPr>
          <w:rFonts w:hint="eastAsia" w:ascii="黑体" w:hAnsi="黑体" w:eastAsia="黑体"/>
          <w:sz w:val="32"/>
          <w:szCs w:val="32"/>
        </w:rPr>
        <w:t>概况</w:t>
      </w:r>
      <w:bookmarkEnd w:id="0"/>
      <w:bookmarkEnd w:id="1"/>
    </w:p>
    <w:p>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ind w:firstLine="640" w:firstLineChars="200"/>
        <w:rPr>
          <w:rFonts w:ascii="仿宋_GB2312" w:eastAsia="仿宋_GB2312"/>
          <w:sz w:val="32"/>
          <w:szCs w:val="32"/>
        </w:rPr>
      </w:pPr>
      <w:bookmarkStart w:id="4" w:name="_Toc31238"/>
      <w:bookmarkStart w:id="5" w:name="_Toc2151"/>
      <w:r>
        <w:rPr>
          <w:rFonts w:hint="eastAsia" w:ascii="仿宋_GB2312" w:eastAsia="仿宋_GB2312"/>
          <w:sz w:val="32"/>
          <w:szCs w:val="32"/>
        </w:rPr>
        <w:t xml:space="preserve">1、坚持正确的政治方向，团结、教育全市各族妇女以及各类妇女组织同党中央在思想上、政治上、行动上保持高度一致，维护祖国统一，反对民族分裂。 </w:t>
      </w:r>
    </w:p>
    <w:p>
      <w:pPr>
        <w:ind w:firstLine="640" w:firstLineChars="200"/>
        <w:rPr>
          <w:rFonts w:ascii="仿宋_GB2312" w:eastAsia="仿宋_GB2312"/>
          <w:sz w:val="32"/>
          <w:szCs w:val="32"/>
        </w:rPr>
      </w:pPr>
      <w:r>
        <w:rPr>
          <w:rFonts w:hint="eastAsia" w:ascii="仿宋_GB2312" w:eastAsia="仿宋_GB2312"/>
          <w:sz w:val="32"/>
          <w:szCs w:val="32"/>
        </w:rPr>
        <w:t xml:space="preserve">2、紧密围绕党和政府的中心任务开展工作，团结、动员、组织妇女群众投身改革开放和社会主义精神文明、物质文明建设，积极促进经济发展和社会全面进步，为维护改革开放稳定的大局服务。 </w:t>
      </w:r>
    </w:p>
    <w:p>
      <w:pPr>
        <w:ind w:firstLine="640" w:firstLineChars="200"/>
        <w:rPr>
          <w:rFonts w:ascii="仿宋_GB2312" w:eastAsia="仿宋_GB2312"/>
          <w:sz w:val="32"/>
          <w:szCs w:val="32"/>
        </w:rPr>
      </w:pPr>
      <w:r>
        <w:rPr>
          <w:rFonts w:hint="eastAsia" w:ascii="仿宋_GB2312" w:eastAsia="仿宋_GB2312"/>
          <w:sz w:val="32"/>
          <w:szCs w:val="32"/>
        </w:rPr>
        <w:t xml:space="preserve">3、宣传马克思主义妇女观和男女平等思想，教育、引导妇女 群众树立正确的世界观、人生观、价值观，弘扬“自尊、自信、自 立、自强”精神，积极推动和开展对妇女的科技文化及生产劳动技能教育，全面提高妇女素质。 </w:t>
      </w:r>
    </w:p>
    <w:p>
      <w:pPr>
        <w:ind w:firstLine="640" w:firstLineChars="200"/>
        <w:rPr>
          <w:rFonts w:ascii="仿宋_GB2312" w:eastAsia="仿宋_GB2312"/>
          <w:sz w:val="32"/>
          <w:szCs w:val="32"/>
        </w:rPr>
      </w:pPr>
      <w:r>
        <w:rPr>
          <w:rFonts w:hint="eastAsia" w:ascii="仿宋_GB2312" w:eastAsia="仿宋_GB2312"/>
          <w:sz w:val="32"/>
          <w:szCs w:val="32"/>
        </w:rPr>
        <w:t xml:space="preserve">4、代表各族妇女参与国家社会事务的民主监督，关注并加强研究涉及妇女切身利益的“热点、难点”问题，及时向市委、市人民政府反映社情民意，提出对策建议；参与有关妇女儿童法律、法规、 规章的制定，从源头上强化维护妇女儿童合法权益工作。 </w:t>
      </w:r>
    </w:p>
    <w:p>
      <w:pPr>
        <w:ind w:firstLine="640" w:firstLineChars="200"/>
        <w:rPr>
          <w:rFonts w:ascii="仿宋_GB2312" w:eastAsia="仿宋_GB2312"/>
          <w:sz w:val="32"/>
          <w:szCs w:val="32"/>
        </w:rPr>
      </w:pPr>
      <w:r>
        <w:rPr>
          <w:rFonts w:hint="eastAsia" w:ascii="仿宋_GB2312" w:eastAsia="仿宋_GB2312"/>
          <w:sz w:val="32"/>
          <w:szCs w:val="32"/>
        </w:rPr>
        <w:t xml:space="preserve">5、坚持为妇女儿童服务、为基层服务，加强与社会各界的联系，协调和推动社会各界为妇女儿童办实事、办好事。 </w:t>
      </w:r>
    </w:p>
    <w:p>
      <w:pPr>
        <w:ind w:firstLine="640" w:firstLineChars="200"/>
        <w:rPr>
          <w:rFonts w:ascii="仿宋_GB2312" w:eastAsia="仿宋_GB2312"/>
          <w:sz w:val="32"/>
          <w:szCs w:val="32"/>
        </w:rPr>
      </w:pPr>
      <w:r>
        <w:rPr>
          <w:rFonts w:hint="eastAsia" w:ascii="仿宋_GB2312" w:eastAsia="仿宋_GB2312"/>
          <w:sz w:val="32"/>
          <w:szCs w:val="32"/>
        </w:rPr>
        <w:t>6、负责指导市属各乡（镇、场、街道）妇联、各库尔勒市妇女联合会妇委会（女工委）的工作，促进妇女儿童事业的健康发展。</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ascii="仿宋_GB2312" w:eastAsia="仿宋_GB2312"/>
          <w:sz w:val="32"/>
          <w:szCs w:val="32"/>
        </w:rPr>
      </w:pPr>
      <w:r>
        <w:rPr>
          <w:rFonts w:hint="eastAsia" w:ascii="仿宋_GB2312" w:eastAsia="仿宋_GB2312"/>
          <w:sz w:val="32"/>
          <w:szCs w:val="32"/>
        </w:rPr>
        <w:t>库尔勒市妇女联合会2023年度，实有人数</w:t>
      </w:r>
      <w:r>
        <w:rPr>
          <w:rFonts w:hint="eastAsia" w:ascii="仿宋_GB2312" w:eastAsia="仿宋_GB2312"/>
          <w:sz w:val="32"/>
          <w:szCs w:val="32"/>
          <w:lang w:val="zh-CN"/>
        </w:rPr>
        <w:t>22</w:t>
      </w:r>
      <w:r>
        <w:rPr>
          <w:rFonts w:hint="eastAsia" w:ascii="仿宋_GB2312" w:eastAsia="仿宋_GB2312"/>
          <w:sz w:val="32"/>
          <w:szCs w:val="32"/>
        </w:rPr>
        <w:t>人，其中：在职人员</w:t>
      </w:r>
      <w:r>
        <w:rPr>
          <w:rFonts w:hint="eastAsia" w:ascii="仿宋_GB2312" w:eastAsia="仿宋_GB2312"/>
          <w:sz w:val="32"/>
          <w:szCs w:val="32"/>
          <w:lang w:val="zh-CN"/>
        </w:rPr>
        <w:t>9</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13</w:t>
      </w:r>
      <w:r>
        <w:rPr>
          <w:rFonts w:hint="eastAsia" w:ascii="仿宋_GB2312" w:eastAsia="仿宋_GB2312"/>
          <w:sz w:val="32"/>
          <w:szCs w:val="32"/>
        </w:rPr>
        <w:t>人。</w:t>
      </w:r>
    </w:p>
    <w:p>
      <w:pPr>
        <w:ind w:firstLine="640" w:firstLineChars="200"/>
        <w:rPr>
          <w:rFonts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bookmarkStart w:id="6" w:name="_Toc29374"/>
      <w:bookmarkStart w:id="7" w:name="_Toc3092"/>
      <w:r>
        <w:rPr>
          <w:rFonts w:hint="eastAsia" w:ascii="仿宋_GB2312" w:hAnsi="黑体" w:eastAsia="仿宋_GB2312" w:cs="宋体"/>
          <w:bCs/>
          <w:kern w:val="0"/>
          <w:sz w:val="32"/>
          <w:szCs w:val="32"/>
        </w:rPr>
        <w:t>单位无下属预算单位，下设3个处室，分别是：综合室、妇女发展维权室、妇儿工委办公室</w:t>
      </w:r>
      <w:r>
        <w:rPr>
          <w:rFonts w:hint="eastAsia" w:ascii="仿宋_GB2312" w:hAnsi="宋体" w:eastAsia="仿宋_GB2312" w:cs="宋体"/>
          <w:kern w:val="0"/>
          <w:sz w:val="32"/>
          <w:szCs w:val="32"/>
        </w:rPr>
        <w:t>。</w:t>
      </w:r>
    </w:p>
    <w:p>
      <w:pPr>
        <w:jc w:val="center"/>
        <w:outlineLvl w:val="0"/>
        <w:rPr>
          <w:rFonts w:ascii="黑体" w:hAnsi="黑体" w:eastAsia="黑体"/>
          <w:sz w:val="32"/>
          <w:szCs w:val="32"/>
        </w:rPr>
      </w:pPr>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2023年度收入总计174.79万元，其中：本年收入合计174.79万元，使用非财政拨款结余0.00万元，年初结转和结余0.00万元。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2023年度支出总计174.79万元，其中：本年支出合计174.79万元，结余分配0.00万元，年末结转和结余0.00万元。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减少0.96万元</w:t>
      </w:r>
      <w:r>
        <w:rPr>
          <w:rFonts w:hint="eastAsia" w:ascii="仿宋_GB2312" w:eastAsia="仿宋_GB2312"/>
          <w:sz w:val="32"/>
          <w:szCs w:val="32"/>
        </w:rPr>
        <w:t>，下降0.54%，主要原因是：单位在正常运行下，</w:t>
      </w:r>
      <w:bookmarkStart w:id="48" w:name="_GoBack"/>
      <w:bookmarkEnd w:id="48"/>
      <w:r>
        <w:rPr>
          <w:rFonts w:hint="eastAsia" w:ascii="仿宋_GB2312" w:eastAsia="仿宋_GB2312"/>
          <w:sz w:val="32"/>
          <w:szCs w:val="32"/>
          <w:lang w:eastAsia="zh-CN"/>
        </w:rPr>
        <w:t>厉行节约</w:t>
      </w:r>
      <w:r>
        <w:rPr>
          <w:rFonts w:hint="eastAsia" w:ascii="仿宋_GB2312" w:eastAsia="仿宋_GB2312"/>
          <w:sz w:val="32"/>
          <w:szCs w:val="32"/>
        </w:rPr>
        <w:t>精简支出，财政按需拨款，支出减少相应收入减少。</w:t>
      </w:r>
    </w:p>
    <w:p>
      <w:pPr>
        <w:ind w:firstLine="640" w:firstLineChars="200"/>
        <w:jc w:val="left"/>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本年收入174.79万元，其中：财政拨款收入</w:t>
      </w:r>
      <w:r>
        <w:rPr>
          <w:rFonts w:hint="eastAsia" w:ascii="仿宋_GB2312" w:eastAsia="仿宋_GB2312"/>
          <w:sz w:val="32"/>
          <w:szCs w:val="32"/>
          <w:lang w:val="zh-CN"/>
        </w:rPr>
        <w:t>174.79</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jc w:val="left"/>
        <w:rPr>
          <w:rFonts w:eastAsia="仿宋_GB2312" w:cs="仿宋_GB2312"/>
          <w:sz w:val="30"/>
          <w:szCs w:val="30"/>
          <w:lang w:val="zh-CN"/>
        </w:rPr>
      </w:pPr>
      <w:r>
        <w:rPr>
          <w:rFonts w:hint="eastAsia" w:eastAsia="仿宋_GB2312" w:cs="仿宋_GB2312"/>
          <w:sz w:val="32"/>
          <w:szCs w:val="32"/>
          <w:lang w:val="zh-CN"/>
        </w:rPr>
        <w:t>本年支出174.79万元，其中：基本支出168.56万元，占96.43%；项目支出6.23万元，占3.57%；上缴上级支出0.00万元，占0.00%；经营支出0.00万元，占0.00%；对附属单位补助支出0.00万元，占0.00%。</w:t>
      </w:r>
    </w:p>
    <w:p>
      <w:pPr>
        <w:ind w:firstLine="640" w:firstLineChars="200"/>
        <w:jc w:val="left"/>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174.79</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174.79</w:t>
      </w:r>
      <w:r>
        <w:rPr>
          <w:rFonts w:hint="eastAsia" w:ascii="仿宋_GB2312" w:eastAsia="仿宋_GB2312"/>
          <w:sz w:val="32"/>
          <w:szCs w:val="32"/>
        </w:rPr>
        <w:t>万元。财政拨款支出总计</w:t>
      </w:r>
      <w:r>
        <w:rPr>
          <w:rFonts w:hint="eastAsia" w:ascii="仿宋_GB2312" w:eastAsia="仿宋_GB2312"/>
          <w:sz w:val="32"/>
          <w:szCs w:val="32"/>
          <w:lang w:val="zh-CN"/>
        </w:rPr>
        <w:t>174.79</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174.79</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减少0.96万元</w:t>
      </w:r>
      <w:r>
        <w:rPr>
          <w:rFonts w:hint="eastAsia" w:ascii="仿宋_GB2312" w:eastAsia="仿宋_GB2312"/>
          <w:sz w:val="32"/>
          <w:szCs w:val="32"/>
        </w:rPr>
        <w:t>，下降0.54%,主要原因是：单位在正常运行下，</w:t>
      </w:r>
      <w:r>
        <w:rPr>
          <w:rFonts w:hint="eastAsia" w:ascii="仿宋_GB2312" w:eastAsia="仿宋_GB2312"/>
          <w:sz w:val="32"/>
          <w:szCs w:val="32"/>
          <w:lang w:eastAsia="zh-CN"/>
        </w:rPr>
        <w:t>厉行节约</w:t>
      </w:r>
      <w:r>
        <w:rPr>
          <w:rFonts w:hint="eastAsia" w:ascii="仿宋_GB2312" w:eastAsia="仿宋_GB2312"/>
          <w:sz w:val="32"/>
          <w:szCs w:val="32"/>
        </w:rPr>
        <w:t>精简支出，财政按需拨款，支出减少相应收入减少。与年初预算相比，年初预算数</w:t>
      </w:r>
      <w:r>
        <w:rPr>
          <w:rFonts w:hint="eastAsia" w:ascii="仿宋_GB2312" w:eastAsia="仿宋_GB2312"/>
          <w:sz w:val="32"/>
          <w:szCs w:val="32"/>
          <w:lang w:val="zh-CN"/>
        </w:rPr>
        <w:t>182.61</w:t>
      </w:r>
      <w:r>
        <w:rPr>
          <w:rFonts w:hint="eastAsia" w:ascii="仿宋_GB2312" w:eastAsia="仿宋_GB2312"/>
          <w:sz w:val="32"/>
          <w:szCs w:val="32"/>
        </w:rPr>
        <w:t>万元，决算数</w:t>
      </w:r>
      <w:r>
        <w:rPr>
          <w:rFonts w:hint="eastAsia" w:ascii="仿宋_GB2312" w:eastAsia="仿宋_GB2312"/>
          <w:sz w:val="32"/>
          <w:szCs w:val="32"/>
          <w:lang w:val="zh-CN"/>
        </w:rPr>
        <w:t>174.79</w:t>
      </w:r>
      <w:r>
        <w:rPr>
          <w:rFonts w:hint="eastAsia" w:ascii="仿宋_GB2312" w:eastAsia="仿宋_GB2312"/>
          <w:sz w:val="32"/>
          <w:szCs w:val="32"/>
        </w:rPr>
        <w:t>万元，预决算差异率-4.28%，主要原因是：单位在正常运行下，</w:t>
      </w:r>
      <w:r>
        <w:rPr>
          <w:rFonts w:hint="eastAsia" w:ascii="仿宋_GB2312" w:eastAsia="仿宋_GB2312"/>
          <w:sz w:val="32"/>
          <w:szCs w:val="32"/>
          <w:lang w:eastAsia="zh-CN"/>
        </w:rPr>
        <w:t>厉行节约</w:t>
      </w:r>
      <w:r>
        <w:rPr>
          <w:rFonts w:hint="eastAsia" w:ascii="仿宋_GB2312" w:eastAsia="仿宋_GB2312"/>
          <w:sz w:val="32"/>
          <w:szCs w:val="32"/>
        </w:rPr>
        <w:t>精简支出，财政按需拨款，支出减少导致预决算差异。</w:t>
      </w:r>
    </w:p>
    <w:p>
      <w:pPr>
        <w:ind w:firstLine="640" w:firstLineChars="200"/>
        <w:jc w:val="left"/>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2023年度一般公共预算财政拨款支出174.79万元，占本年支出合计的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减少0.96万元</w:t>
      </w:r>
      <w:r>
        <w:rPr>
          <w:rFonts w:hint="eastAsia" w:ascii="仿宋_GB2312" w:eastAsia="仿宋_GB2312"/>
          <w:sz w:val="32"/>
          <w:szCs w:val="32"/>
        </w:rPr>
        <w:t>，下降0.54%,主要原因是：单位在正常运行下，</w:t>
      </w:r>
      <w:r>
        <w:rPr>
          <w:rFonts w:hint="eastAsia" w:ascii="仿宋_GB2312" w:eastAsia="仿宋_GB2312"/>
          <w:sz w:val="32"/>
          <w:szCs w:val="32"/>
          <w:lang w:eastAsia="zh-CN"/>
        </w:rPr>
        <w:t>厉行节约</w:t>
      </w:r>
      <w:r>
        <w:rPr>
          <w:rFonts w:hint="eastAsia" w:ascii="仿宋_GB2312" w:eastAsia="仿宋_GB2312"/>
          <w:sz w:val="32"/>
          <w:szCs w:val="32"/>
        </w:rPr>
        <w:t>精简支出，财政按需拨款，支出减少相应收入减少。与年初预算相比，年初预算数</w:t>
      </w:r>
      <w:r>
        <w:rPr>
          <w:rFonts w:hint="eastAsia" w:ascii="仿宋_GB2312" w:eastAsia="仿宋_GB2312"/>
          <w:sz w:val="32"/>
          <w:szCs w:val="32"/>
          <w:lang w:val="zh-CN"/>
        </w:rPr>
        <w:t>182.61</w:t>
      </w:r>
      <w:r>
        <w:rPr>
          <w:rFonts w:hint="eastAsia" w:ascii="仿宋_GB2312" w:eastAsia="仿宋_GB2312"/>
          <w:sz w:val="32"/>
          <w:szCs w:val="32"/>
        </w:rPr>
        <w:t>万元，决算数</w:t>
      </w:r>
      <w:r>
        <w:rPr>
          <w:rFonts w:hint="eastAsia" w:ascii="仿宋_GB2312" w:eastAsia="仿宋_GB2312"/>
          <w:sz w:val="32"/>
          <w:szCs w:val="32"/>
          <w:lang w:val="zh-CN"/>
        </w:rPr>
        <w:t>174.79</w:t>
      </w:r>
      <w:r>
        <w:rPr>
          <w:rFonts w:hint="eastAsia" w:ascii="仿宋_GB2312" w:eastAsia="仿宋_GB2312"/>
          <w:sz w:val="32"/>
          <w:szCs w:val="32"/>
        </w:rPr>
        <w:t>万元，预决算差异率</w:t>
      </w:r>
      <w:r>
        <w:rPr>
          <w:rFonts w:hint="eastAsia" w:ascii="仿宋_GB2312" w:eastAsia="仿宋_GB2312"/>
          <w:sz w:val="32"/>
          <w:szCs w:val="32"/>
          <w:lang w:val="zh-CN"/>
        </w:rPr>
        <w:t>-4.28%</w:t>
      </w:r>
      <w:r>
        <w:rPr>
          <w:rFonts w:hint="eastAsia" w:ascii="仿宋_GB2312" w:eastAsia="仿宋_GB2312"/>
          <w:sz w:val="32"/>
          <w:szCs w:val="32"/>
        </w:rPr>
        <w:t>，主要原因是：单位在正常运行下，</w:t>
      </w:r>
      <w:r>
        <w:rPr>
          <w:rFonts w:hint="eastAsia" w:ascii="仿宋_GB2312" w:eastAsia="仿宋_GB2312"/>
          <w:sz w:val="32"/>
          <w:szCs w:val="32"/>
          <w:lang w:eastAsia="zh-CN"/>
        </w:rPr>
        <w:t>厉行节约</w:t>
      </w:r>
      <w:r>
        <w:rPr>
          <w:rFonts w:hint="eastAsia" w:ascii="仿宋_GB2312" w:eastAsia="仿宋_GB2312"/>
          <w:sz w:val="32"/>
          <w:szCs w:val="32"/>
        </w:rPr>
        <w:t>精简支出，财政按需拨款，支出减少导致预决算差异。</w:t>
      </w:r>
    </w:p>
    <w:p>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118.74</w:t>
      </w:r>
      <w:r>
        <w:rPr>
          <w:rFonts w:ascii="仿宋_GB2312" w:eastAsia="仿宋_GB2312"/>
          <w:kern w:val="2"/>
          <w:sz w:val="32"/>
          <w:szCs w:val="32"/>
          <w:lang w:val="zh-CN"/>
        </w:rPr>
        <w:t>万元，占</w:t>
      </w:r>
      <w:r>
        <w:rPr>
          <w:rFonts w:hint="eastAsia" w:ascii="仿宋_GB2312" w:eastAsia="仿宋_GB2312"/>
          <w:kern w:val="2"/>
          <w:sz w:val="32"/>
          <w:szCs w:val="32"/>
          <w:lang w:val="zh-CN"/>
        </w:rPr>
        <w:t>67.93</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2</w:t>
      </w:r>
      <w:r>
        <w:rPr>
          <w:rFonts w:ascii="仿宋_GB2312" w:eastAsia="仿宋_GB2312"/>
          <w:kern w:val="2"/>
          <w:sz w:val="32"/>
          <w:szCs w:val="32"/>
          <w:lang w:val="zh-CN"/>
        </w:rPr>
        <w:t>.教育支出（类）</w:t>
      </w:r>
      <w:r>
        <w:rPr>
          <w:rFonts w:hint="eastAsia" w:ascii="仿宋_GB2312" w:eastAsia="仿宋_GB2312"/>
          <w:kern w:val="2"/>
          <w:sz w:val="32"/>
          <w:szCs w:val="32"/>
          <w:lang w:val="zh-CN"/>
        </w:rPr>
        <w:t>0.27</w:t>
      </w:r>
      <w:r>
        <w:rPr>
          <w:rFonts w:ascii="仿宋_GB2312" w:eastAsia="仿宋_GB2312"/>
          <w:kern w:val="2"/>
          <w:sz w:val="32"/>
          <w:szCs w:val="32"/>
          <w:lang w:val="zh-CN"/>
        </w:rPr>
        <w:t>万元，占</w:t>
      </w:r>
      <w:r>
        <w:rPr>
          <w:rFonts w:hint="eastAsia" w:ascii="仿宋_GB2312" w:eastAsia="仿宋_GB2312"/>
          <w:kern w:val="2"/>
          <w:sz w:val="32"/>
          <w:szCs w:val="32"/>
          <w:lang w:val="zh-CN"/>
        </w:rPr>
        <w:t>0.15</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3</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27.49</w:t>
      </w:r>
      <w:r>
        <w:rPr>
          <w:rFonts w:ascii="仿宋_GB2312" w:eastAsia="仿宋_GB2312"/>
          <w:kern w:val="2"/>
          <w:sz w:val="32"/>
          <w:szCs w:val="32"/>
          <w:lang w:val="zh-CN"/>
        </w:rPr>
        <w:t>万元，占</w:t>
      </w:r>
      <w:r>
        <w:rPr>
          <w:rFonts w:hint="eastAsia" w:ascii="仿宋_GB2312" w:eastAsia="仿宋_GB2312"/>
          <w:kern w:val="2"/>
          <w:sz w:val="32"/>
          <w:szCs w:val="32"/>
          <w:lang w:val="zh-CN"/>
        </w:rPr>
        <w:t>15.73</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4</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17.85</w:t>
      </w:r>
      <w:r>
        <w:rPr>
          <w:rFonts w:ascii="仿宋_GB2312" w:eastAsia="仿宋_GB2312"/>
          <w:kern w:val="2"/>
          <w:sz w:val="32"/>
          <w:szCs w:val="32"/>
          <w:lang w:val="zh-CN"/>
        </w:rPr>
        <w:t>万元，占</w:t>
      </w:r>
      <w:r>
        <w:rPr>
          <w:rFonts w:hint="eastAsia" w:ascii="仿宋_GB2312" w:eastAsia="仿宋_GB2312"/>
          <w:kern w:val="2"/>
          <w:sz w:val="32"/>
          <w:szCs w:val="32"/>
          <w:lang w:val="zh-CN"/>
        </w:rPr>
        <w:t>10.21</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5</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10.44</w:t>
      </w:r>
      <w:r>
        <w:rPr>
          <w:rFonts w:ascii="仿宋_GB2312" w:eastAsia="仿宋_GB2312"/>
          <w:kern w:val="2"/>
          <w:sz w:val="32"/>
          <w:szCs w:val="32"/>
          <w:lang w:val="zh-CN"/>
        </w:rPr>
        <w:t>万元，占</w:t>
      </w:r>
      <w:r>
        <w:rPr>
          <w:rFonts w:hint="eastAsia" w:ascii="仿宋_GB2312" w:eastAsia="仿宋_GB2312"/>
          <w:kern w:val="2"/>
          <w:sz w:val="32"/>
          <w:szCs w:val="32"/>
          <w:lang w:val="zh-CN"/>
        </w:rPr>
        <w:t>5.97</w:t>
      </w:r>
      <w:r>
        <w:rPr>
          <w:rFonts w:ascii="仿宋_GB2312" w:eastAsia="仿宋_GB2312"/>
          <w:kern w:val="2"/>
          <w:sz w:val="32"/>
          <w:szCs w:val="32"/>
          <w:lang w:val="zh-CN"/>
        </w:rPr>
        <w:t>%；</w:t>
      </w:r>
    </w:p>
    <w:p>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eastAsia="仿宋_GB2312"/>
          <w:color w:val="auto"/>
          <w:sz w:val="32"/>
          <w:szCs w:val="32"/>
          <w:highlight w:val="none"/>
          <w:lang w:val="zh-CN"/>
        </w:rPr>
      </w:pPr>
      <w:r>
        <w:rPr>
          <w:rFonts w:hint="eastAsia" w:eastAsia="仿宋_GB2312"/>
          <w:color w:val="auto"/>
          <w:sz w:val="32"/>
          <w:szCs w:val="32"/>
          <w:highlight w:val="none"/>
          <w:lang w:val="en-US" w:eastAsia="zh-CN"/>
        </w:rPr>
        <w:t>1</w:t>
      </w:r>
      <w:r>
        <w:rPr>
          <w:rFonts w:hint="eastAsia" w:eastAsia="仿宋_GB2312"/>
          <w:color w:val="auto"/>
          <w:sz w:val="32"/>
          <w:szCs w:val="32"/>
          <w:highlight w:val="none"/>
        </w:rPr>
        <w:t>.一般公共服务支出（类）群众团体事务（款）行政运行（项）:支出决算数为112.50万元，比上年决算减少1.07万元，下降0.94%，主要原因是：</w:t>
      </w:r>
      <w:r>
        <w:rPr>
          <w:rFonts w:hint="eastAsia" w:eastAsia="仿宋_GB2312"/>
          <w:color w:val="auto"/>
          <w:sz w:val="32"/>
          <w:szCs w:val="32"/>
          <w:highlight w:val="none"/>
          <w:lang w:val="zh-CN"/>
        </w:rPr>
        <w:t>单位在正常运行下，厉行节约精简支出，财政按需拨款，支出减少。</w:t>
      </w:r>
    </w:p>
    <w:p>
      <w:pPr>
        <w:ind w:firstLine="640" w:firstLineChars="200"/>
        <w:rPr>
          <w:rFonts w:eastAsia="仿宋_GB2312"/>
          <w:color w:val="auto"/>
          <w:sz w:val="32"/>
          <w:szCs w:val="32"/>
          <w:highlight w:val="none"/>
        </w:rPr>
      </w:pPr>
      <w:r>
        <w:rPr>
          <w:rFonts w:hint="eastAsia" w:eastAsia="仿宋_GB2312"/>
          <w:color w:val="auto"/>
          <w:sz w:val="32"/>
          <w:szCs w:val="32"/>
          <w:highlight w:val="none"/>
          <w:lang w:val="en-US" w:eastAsia="zh-CN"/>
        </w:rPr>
        <w:t>2</w:t>
      </w:r>
      <w:r>
        <w:rPr>
          <w:rFonts w:hint="eastAsia" w:eastAsia="仿宋_GB2312"/>
          <w:color w:val="auto"/>
          <w:sz w:val="32"/>
          <w:szCs w:val="32"/>
          <w:highlight w:val="none"/>
        </w:rPr>
        <w:t>.一般公共服务支出（类）群众团体事务（款）其他群众团体事务支出（项）:支出决算数为6.23万元，比上年决算减少7.32万元，下降</w:t>
      </w:r>
      <w:r>
        <w:rPr>
          <w:rFonts w:hint="eastAsia" w:eastAsia="仿宋_GB2312"/>
          <w:color w:val="auto"/>
          <w:sz w:val="32"/>
          <w:szCs w:val="32"/>
          <w:highlight w:val="none"/>
          <w:lang w:val="en-US" w:eastAsia="zh-CN"/>
        </w:rPr>
        <w:t>54.02</w:t>
      </w:r>
      <w:r>
        <w:rPr>
          <w:rFonts w:hint="eastAsia" w:eastAsia="仿宋_GB2312"/>
          <w:color w:val="auto"/>
          <w:sz w:val="32"/>
          <w:szCs w:val="32"/>
          <w:highlight w:val="none"/>
        </w:rPr>
        <w:t>%，主要原因是：</w:t>
      </w:r>
      <w:r>
        <w:rPr>
          <w:rFonts w:hint="eastAsia" w:eastAsia="仿宋_GB2312"/>
          <w:color w:val="auto"/>
          <w:sz w:val="32"/>
          <w:szCs w:val="32"/>
          <w:highlight w:val="none"/>
          <w:lang w:val="zh-CN"/>
        </w:rPr>
        <w:t>单位在正常运行下，厉行节约精简支出，财政按需拨款，支出减少。</w:t>
      </w:r>
    </w:p>
    <w:p>
      <w:pPr>
        <w:ind w:firstLine="640" w:firstLineChars="200"/>
        <w:rPr>
          <w:rFonts w:eastAsia="仿宋_GB2312"/>
          <w:color w:val="auto"/>
          <w:sz w:val="32"/>
          <w:szCs w:val="32"/>
          <w:highlight w:val="none"/>
          <w:lang w:val="zh-CN"/>
        </w:rPr>
      </w:pPr>
      <w:r>
        <w:rPr>
          <w:rFonts w:hint="eastAsia" w:eastAsia="仿宋_GB2312"/>
          <w:color w:val="auto"/>
          <w:sz w:val="32"/>
          <w:szCs w:val="32"/>
          <w:highlight w:val="none"/>
          <w:lang w:val="en-US" w:eastAsia="zh-CN"/>
        </w:rPr>
        <w:t>3</w:t>
      </w:r>
      <w:r>
        <w:rPr>
          <w:rFonts w:hint="eastAsia" w:eastAsia="仿宋_GB2312"/>
          <w:color w:val="auto"/>
          <w:sz w:val="32"/>
          <w:szCs w:val="32"/>
          <w:highlight w:val="none"/>
        </w:rPr>
        <w:t>.教育支出（类）进修及培训（款）培训支出（项）:支出决算数为0.27万元，比上年决算增加0.19万元，增长237.53%，主要原因是：</w:t>
      </w:r>
      <w:r>
        <w:rPr>
          <w:rFonts w:hint="eastAsia" w:eastAsia="仿宋_GB2312"/>
          <w:color w:val="auto"/>
          <w:sz w:val="32"/>
          <w:szCs w:val="32"/>
          <w:highlight w:val="none"/>
          <w:lang w:val="zh-CN"/>
        </w:rPr>
        <w:t>单位为更好开展妇女儿童工作，外出培训学习职工较上年有增加，相应费用增加。</w:t>
      </w:r>
    </w:p>
    <w:p>
      <w:pPr>
        <w:ind w:firstLine="640" w:firstLineChars="200"/>
        <w:rPr>
          <w:rFonts w:eastAsia="仿宋_GB2312"/>
          <w:sz w:val="32"/>
          <w:szCs w:val="32"/>
          <w:lang w:val="zh-CN"/>
        </w:rPr>
      </w:pPr>
      <w:r>
        <w:rPr>
          <w:rFonts w:hint="eastAsia" w:eastAsia="仿宋_GB2312"/>
          <w:sz w:val="32"/>
          <w:szCs w:val="32"/>
          <w:lang w:val="en-US" w:eastAsia="zh-CN"/>
        </w:rPr>
        <w:t>4</w:t>
      </w:r>
      <w:r>
        <w:rPr>
          <w:rFonts w:hint="eastAsia" w:eastAsia="仿宋_GB2312"/>
          <w:sz w:val="32"/>
          <w:szCs w:val="32"/>
        </w:rPr>
        <w:t>.社会保障和就业支出（类）行政事业单位养老支出（款）行政单位离退休（项）:支出决算数为8.06万元，比上年决算增加2.87万元，增长55.3</w:t>
      </w:r>
      <w:r>
        <w:rPr>
          <w:rFonts w:hint="eastAsia" w:eastAsia="仿宋_GB2312"/>
          <w:sz w:val="32"/>
          <w:szCs w:val="32"/>
          <w:lang w:val="en-US" w:eastAsia="zh-CN"/>
        </w:rPr>
        <w:t>0</w:t>
      </w:r>
      <w:r>
        <w:rPr>
          <w:rFonts w:hint="eastAsia" w:eastAsia="仿宋_GB2312"/>
          <w:sz w:val="32"/>
          <w:szCs w:val="32"/>
        </w:rPr>
        <w:t>%，主要原因是：</w:t>
      </w:r>
      <w:r>
        <w:rPr>
          <w:rFonts w:hint="eastAsia" w:eastAsia="仿宋_GB2312"/>
          <w:sz w:val="32"/>
          <w:szCs w:val="32"/>
          <w:lang w:val="zh-CN"/>
        </w:rPr>
        <w:t>2023年单位退休</w:t>
      </w:r>
      <w:r>
        <w:rPr>
          <w:rFonts w:hint="eastAsia" w:eastAsia="仿宋_GB2312"/>
          <w:sz w:val="32"/>
          <w:szCs w:val="32"/>
          <w:lang w:val="en-US" w:eastAsia="zh-CN"/>
        </w:rPr>
        <w:t>人数增加，导致较上年增加</w:t>
      </w:r>
      <w:r>
        <w:rPr>
          <w:rFonts w:hint="eastAsia" w:eastAsia="仿宋_GB2312"/>
          <w:sz w:val="32"/>
          <w:szCs w:val="32"/>
          <w:lang w:val="zh-CN"/>
        </w:rPr>
        <w:t>。</w:t>
      </w:r>
    </w:p>
    <w:p>
      <w:pPr>
        <w:ind w:firstLine="640" w:firstLineChars="200"/>
        <w:rPr>
          <w:rFonts w:hint="eastAsia" w:eastAsia="仿宋_GB2312"/>
          <w:sz w:val="32"/>
          <w:szCs w:val="32"/>
        </w:rPr>
      </w:pPr>
    </w:p>
    <w:p>
      <w:pPr>
        <w:ind w:firstLine="640" w:firstLineChars="200"/>
        <w:rPr>
          <w:rFonts w:eastAsia="仿宋_GB2312"/>
          <w:sz w:val="32"/>
          <w:szCs w:val="32"/>
          <w:lang w:val="zh-CN"/>
        </w:rPr>
      </w:pPr>
      <w:r>
        <w:rPr>
          <w:rFonts w:hint="eastAsia" w:eastAsia="仿宋_GB2312"/>
          <w:sz w:val="32"/>
          <w:szCs w:val="32"/>
          <w:lang w:val="en-US" w:eastAsia="zh-CN"/>
        </w:rPr>
        <w:t>5</w:t>
      </w:r>
      <w:r>
        <w:rPr>
          <w:rFonts w:hint="eastAsia" w:eastAsia="仿宋_GB2312"/>
          <w:sz w:val="32"/>
          <w:szCs w:val="32"/>
        </w:rPr>
        <w:t>.社会保障和就业支出（类）行政事业单位养老支出（款）机关事业单位基本养老保险缴费支出（项）:支出决算数为13.30万元，比上年决算增加0.56万元，增长</w:t>
      </w:r>
      <w:r>
        <w:rPr>
          <w:rFonts w:hint="eastAsia" w:eastAsia="仿宋_GB2312"/>
          <w:sz w:val="32"/>
          <w:szCs w:val="32"/>
          <w:lang w:val="en-US" w:eastAsia="zh-CN"/>
        </w:rPr>
        <w:t>4.40</w:t>
      </w:r>
      <w:r>
        <w:rPr>
          <w:rFonts w:hint="eastAsia" w:eastAsia="仿宋_GB2312"/>
          <w:sz w:val="32"/>
          <w:szCs w:val="32"/>
        </w:rPr>
        <w:t>%，主要原因是：</w:t>
      </w:r>
      <w:r>
        <w:rPr>
          <w:rFonts w:hint="eastAsia" w:eastAsia="仿宋_GB2312"/>
          <w:sz w:val="32"/>
          <w:szCs w:val="32"/>
          <w:lang w:val="zh-CN"/>
        </w:rPr>
        <w:t>调入2人，实有在职人数增加1人，人员增加，相应经费支出增加。</w:t>
      </w:r>
    </w:p>
    <w:p>
      <w:pPr>
        <w:ind w:firstLine="640" w:firstLineChars="200"/>
        <w:rPr>
          <w:rFonts w:eastAsia="仿宋_GB2312"/>
          <w:sz w:val="32"/>
          <w:szCs w:val="32"/>
          <w:lang w:val="zh-CN"/>
        </w:rPr>
      </w:pPr>
      <w:r>
        <w:rPr>
          <w:rFonts w:hint="eastAsia" w:eastAsia="仿宋_GB2312"/>
          <w:sz w:val="32"/>
          <w:szCs w:val="32"/>
          <w:lang w:val="en-US" w:eastAsia="zh-CN"/>
        </w:rPr>
        <w:t>6</w:t>
      </w:r>
      <w:r>
        <w:rPr>
          <w:rFonts w:hint="eastAsia" w:eastAsia="仿宋_GB2312"/>
          <w:sz w:val="32"/>
          <w:szCs w:val="32"/>
        </w:rPr>
        <w:t>.社会保障和就业支出（类）行政事业单位养老支出（款）机关事业单位职业年金缴费支出（项）:支出决算数为6.13万元，比上年决算增加1.03万元，增长</w:t>
      </w:r>
      <w:r>
        <w:rPr>
          <w:rFonts w:hint="eastAsia" w:eastAsia="仿宋_GB2312"/>
          <w:sz w:val="32"/>
          <w:szCs w:val="32"/>
          <w:lang w:val="en-US" w:eastAsia="zh-CN"/>
        </w:rPr>
        <w:t>20.20</w:t>
      </w:r>
      <w:r>
        <w:rPr>
          <w:rFonts w:hint="eastAsia" w:eastAsia="仿宋_GB2312"/>
          <w:sz w:val="32"/>
          <w:szCs w:val="32"/>
        </w:rPr>
        <w:t>%，主要原因是：</w:t>
      </w:r>
      <w:r>
        <w:rPr>
          <w:rFonts w:hint="eastAsia" w:eastAsia="仿宋_GB2312"/>
          <w:sz w:val="32"/>
          <w:szCs w:val="32"/>
          <w:lang w:val="zh-CN"/>
        </w:rPr>
        <w:t>2023年单位退休</w:t>
      </w:r>
      <w:r>
        <w:rPr>
          <w:rFonts w:hint="eastAsia" w:eastAsia="仿宋_GB2312"/>
          <w:sz w:val="32"/>
          <w:szCs w:val="32"/>
          <w:lang w:val="en-US" w:eastAsia="zh-CN"/>
        </w:rPr>
        <w:t>人数增加，导致较上年增加</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lang w:val="en-US" w:eastAsia="zh-CN"/>
        </w:rPr>
        <w:t>7</w:t>
      </w:r>
      <w:r>
        <w:rPr>
          <w:rFonts w:hint="eastAsia" w:eastAsia="仿宋_GB2312"/>
          <w:sz w:val="32"/>
          <w:szCs w:val="32"/>
        </w:rPr>
        <w:t>.卫生健康支出（类）行政事业单位医疗（款）行政单位医疗（项）:支出决算数为15.57万元，比上年决算增加4.44万元，增长39.8</w:t>
      </w:r>
      <w:r>
        <w:rPr>
          <w:rFonts w:hint="eastAsia" w:eastAsia="仿宋_GB2312"/>
          <w:sz w:val="32"/>
          <w:szCs w:val="32"/>
          <w:lang w:val="en-US" w:eastAsia="zh-CN"/>
        </w:rPr>
        <w:t>9</w:t>
      </w:r>
      <w:r>
        <w:rPr>
          <w:rFonts w:hint="eastAsia" w:eastAsia="仿宋_GB2312"/>
          <w:sz w:val="32"/>
          <w:szCs w:val="32"/>
        </w:rPr>
        <w:t>%，主要原因是：</w:t>
      </w:r>
      <w:r>
        <w:rPr>
          <w:rFonts w:hint="eastAsia" w:eastAsia="仿宋_GB2312"/>
          <w:sz w:val="32"/>
          <w:szCs w:val="32"/>
          <w:lang w:val="zh-CN"/>
        </w:rPr>
        <w:t>调入2人，实有在职人数增加1人，人员增加，相应经费支出增加。</w:t>
      </w:r>
    </w:p>
    <w:p>
      <w:pPr>
        <w:ind w:firstLine="640" w:firstLineChars="200"/>
        <w:rPr>
          <w:rFonts w:hint="eastAsia" w:eastAsia="仿宋_GB2312"/>
          <w:sz w:val="32"/>
          <w:szCs w:val="32"/>
          <w:lang w:val="zh-CN"/>
        </w:rPr>
      </w:pPr>
      <w:r>
        <w:rPr>
          <w:rFonts w:hint="eastAsia" w:eastAsia="仿宋_GB2312"/>
          <w:sz w:val="32"/>
          <w:szCs w:val="32"/>
          <w:lang w:val="en-US" w:eastAsia="zh-CN"/>
        </w:rPr>
        <w:t>8</w:t>
      </w:r>
      <w:r>
        <w:rPr>
          <w:rFonts w:hint="eastAsia" w:eastAsia="仿宋_GB2312"/>
          <w:sz w:val="32"/>
          <w:szCs w:val="32"/>
        </w:rPr>
        <w:t>.卫生健康支出（类）行政事业单位医疗（款）公务员医疗补助（项）:支出决算数为2.28万元，比上年决算减少2.22万元，下降</w:t>
      </w:r>
      <w:r>
        <w:rPr>
          <w:rFonts w:hint="eastAsia" w:eastAsia="仿宋_GB2312"/>
          <w:sz w:val="32"/>
          <w:szCs w:val="32"/>
          <w:lang w:val="en-US" w:eastAsia="zh-CN"/>
        </w:rPr>
        <w:t>49.33</w:t>
      </w:r>
      <w:r>
        <w:rPr>
          <w:rFonts w:hint="eastAsia" w:eastAsia="仿宋_GB2312"/>
          <w:sz w:val="32"/>
          <w:szCs w:val="32"/>
        </w:rPr>
        <w:t>%，主要原因是：</w:t>
      </w:r>
      <w:r>
        <w:rPr>
          <w:rFonts w:hint="eastAsia" w:eastAsia="仿宋_GB2312"/>
          <w:sz w:val="32"/>
          <w:szCs w:val="32"/>
          <w:lang w:val="zh-CN"/>
        </w:rPr>
        <w:t>2023年单位退休</w:t>
      </w:r>
      <w:r>
        <w:rPr>
          <w:rFonts w:hint="eastAsia" w:eastAsia="仿宋_GB2312"/>
          <w:sz w:val="32"/>
          <w:szCs w:val="32"/>
          <w:lang w:val="en-US" w:eastAsia="zh-CN"/>
        </w:rPr>
        <w:t>人数增加，导致较上年减少</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lang w:val="en-US" w:eastAsia="zh-CN"/>
        </w:rPr>
        <w:t>9</w:t>
      </w:r>
      <w:r>
        <w:rPr>
          <w:rFonts w:hint="eastAsia" w:eastAsia="仿宋_GB2312"/>
          <w:sz w:val="32"/>
          <w:szCs w:val="32"/>
        </w:rPr>
        <w:t>.住房保障支出（类）住房改革支出（款）住房公积金（项）:支出决算数为10.44万元，比上年决算增加0.55万元，增长5.5</w:t>
      </w:r>
      <w:r>
        <w:rPr>
          <w:rFonts w:hint="eastAsia" w:eastAsia="仿宋_GB2312"/>
          <w:sz w:val="32"/>
          <w:szCs w:val="32"/>
          <w:lang w:val="en-US" w:eastAsia="zh-CN"/>
        </w:rPr>
        <w:t>6</w:t>
      </w:r>
      <w:r>
        <w:rPr>
          <w:rFonts w:hint="eastAsia" w:eastAsia="仿宋_GB2312"/>
          <w:sz w:val="32"/>
          <w:szCs w:val="32"/>
        </w:rPr>
        <w:t>%，主要原因是：</w:t>
      </w:r>
      <w:r>
        <w:rPr>
          <w:rFonts w:hint="eastAsia" w:eastAsia="仿宋_GB2312"/>
          <w:sz w:val="32"/>
          <w:szCs w:val="32"/>
          <w:lang w:val="zh-CN"/>
        </w:rPr>
        <w:t>调入2人，实有在职人数增加1人，人员增加，相应经费支出增加。</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168.56万元，其中：人员经费166.31万元，包括：基本工资、津贴补贴、奖金、机关事业单位基本养老保险缴费、职业年金缴费、职工基本医疗保险缴费、公务员医疗补助缴费、其他社会保障缴费、住房公积金、其他工资福利支出、退休费、医疗费补助。</w:t>
      </w:r>
    </w:p>
    <w:p>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公用经费2.24万元，包括：办公费、邮电费、差旅费、培训费、工会经费、公务用车运行维护费。</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“三公”经费支出1.01万元，</w:t>
      </w:r>
      <w:r>
        <w:rPr>
          <w:rFonts w:hint="eastAsia" w:ascii="仿宋_GB2312" w:eastAsia="仿宋_GB2312"/>
          <w:sz w:val="32"/>
          <w:szCs w:val="32"/>
        </w:rPr>
        <w:t>比上年</w:t>
      </w:r>
      <w:r>
        <w:rPr>
          <w:rFonts w:hint="eastAsia" w:ascii="仿宋_GB2312" w:eastAsia="仿宋_GB2312"/>
          <w:sz w:val="32"/>
          <w:szCs w:val="32"/>
          <w:lang w:val="zh-CN"/>
        </w:rPr>
        <w:t>增加1.01万元，</w:t>
      </w:r>
      <w:r>
        <w:rPr>
          <w:rFonts w:hint="eastAsia" w:ascii="仿宋_GB2312" w:eastAsia="仿宋_GB2312"/>
          <w:sz w:val="32"/>
          <w:szCs w:val="32"/>
        </w:rPr>
        <w:t>增长100.00%,</w:t>
      </w:r>
      <w:r>
        <w:rPr>
          <w:rFonts w:hint="eastAsia" w:ascii="仿宋_GB2312" w:eastAsia="仿宋_GB2312"/>
          <w:sz w:val="32"/>
          <w:szCs w:val="32"/>
          <w:lang w:val="zh-CN"/>
        </w:rPr>
        <w:t>主要原因是：上年因疫情车辆运行维护费未支出，今年车辆运行维护费正常使用，致使公用经费增加。其中：因公出国（境）费支出0.00万元，占0.00%，比上年增加0.00万元，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主要原因是：我单位无因公出国（境）费支出；公务用车购置及运行维护费支出1.01万元，占100.00%，比上年增加1.01万元，</w:t>
      </w:r>
      <w:r>
        <w:rPr>
          <w:rFonts w:hint="eastAsia" w:ascii="仿宋_GB2312" w:eastAsia="仿宋_GB2312"/>
          <w:sz w:val="32"/>
          <w:szCs w:val="32"/>
        </w:rPr>
        <w:t>增长100.00%,</w:t>
      </w:r>
      <w:r>
        <w:rPr>
          <w:rFonts w:hint="eastAsia" w:ascii="仿宋_GB2312" w:eastAsia="仿宋_GB2312"/>
          <w:sz w:val="32"/>
          <w:szCs w:val="32"/>
          <w:lang w:val="zh-CN"/>
        </w:rPr>
        <w:t>主要原因是：上年因疫情车辆运行维护费未支出，今年车辆运行维护费正常使用；公务接待费支出0.00万元，占0.00%，比上年增加0.00万元，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主要原因是：我单位无公务接待费支出。</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ascii="仿宋_GB2312" w:eastAsia="仿宋_GB2312"/>
          <w:sz w:val="32"/>
          <w:szCs w:val="32"/>
          <w:lang w:val="zh-CN"/>
        </w:rPr>
      </w:pPr>
      <w:r>
        <w:rPr>
          <w:rFonts w:hint="eastAsia" w:ascii="仿宋_GB2312" w:eastAsia="仿宋_GB2312"/>
          <w:color w:val="auto"/>
          <w:sz w:val="32"/>
          <w:szCs w:val="32"/>
          <w:highlight w:val="none"/>
          <w:lang w:val="zh-CN" w:eastAsia="zh-CN"/>
        </w:rPr>
        <w:t>因公出国（境）费支出0.00万元，开支内容包括本年度未安排因公出国（境）费支出，无开支内容。单位全年安排的因公出国（境）团组0个，因公出国（境）0人次。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公务用车购置及运行维护费1.01万元，其中：公务用车购置费0.00万元，公务用车运行维护费1.01万元。公务用车运行维护费开支内容包括</w:t>
      </w:r>
      <w:r>
        <w:rPr>
          <w:rFonts w:hint="eastAsia" w:ascii="仿宋_GB2312" w:eastAsia="仿宋_GB2312"/>
          <w:sz w:val="32"/>
          <w:szCs w:val="32"/>
        </w:rPr>
        <w:t>车辆保险，燃油费支出</w:t>
      </w:r>
      <w:r>
        <w:rPr>
          <w:rFonts w:hint="eastAsia" w:ascii="仿宋_GB2312" w:eastAsia="仿宋_GB2312"/>
          <w:sz w:val="32"/>
          <w:szCs w:val="32"/>
          <w:lang w:val="zh-CN"/>
        </w:rPr>
        <w:t>。公务用车购置数0辆，公务用车保有量1辆。国有资产占用情况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原因是：国有资产占用情况中固定资产车辆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保有量一致，无差异</w:t>
      </w:r>
      <w:r>
        <w:rPr>
          <w:rFonts w:hint="eastAsia" w:ascii="仿宋_GB2312" w:eastAsia="仿宋_GB2312"/>
          <w:color w:val="auto"/>
          <w:sz w:val="32"/>
          <w:szCs w:val="32"/>
          <w:highlight w:val="none"/>
          <w:lang w:val="zh-CN" w:eastAsia="zh-CN"/>
        </w:rPr>
        <w:t>。</w:t>
      </w:r>
    </w:p>
    <w:p>
      <w:pPr>
        <w:ind w:firstLine="640" w:firstLineChars="200"/>
        <w:jc w:val="left"/>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公务接待费0.00万元，开支内容包括本年度未安排公务接待费支出，无开支内容。单位全年安排的国内公务接待0批次，0人次。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预算数1.01万元，决算数1.01万元，预决算差异率0.00%，主要原因是：厉行节约精简支出，</w:t>
      </w:r>
      <w:r>
        <w:rPr>
          <w:rFonts w:hint="eastAsia" w:ascii="仿宋_GB2312" w:eastAsia="仿宋_GB2312"/>
          <w:sz w:val="32"/>
          <w:szCs w:val="32"/>
        </w:rPr>
        <w:t>预决算保持一致</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0.00万元，决算数0.00万元，预决算差异率0.00%，主要原因是：我单位无因公出国（境）费支出；公务用车购置费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预算数0.00万元，决算数0.00万元，预决算差异率0.00%，主要原因是：我单位无</w:t>
      </w:r>
      <w:r>
        <w:rPr>
          <w:rFonts w:hint="eastAsia" w:ascii="仿宋_GB2312" w:eastAsia="仿宋_GB2312"/>
          <w:sz w:val="32"/>
          <w:szCs w:val="32"/>
        </w:rPr>
        <w:t>公务用车购置费支出</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预算数1.01万元，决算数1.01万元，预决算差异率0.00%，主要原因是：厉行节约精简支出，</w:t>
      </w:r>
      <w:r>
        <w:rPr>
          <w:rFonts w:hint="eastAsia" w:ascii="仿宋_GB2312" w:eastAsia="仿宋_GB2312"/>
          <w:sz w:val="32"/>
          <w:szCs w:val="32"/>
        </w:rPr>
        <w:t>预决算保持一致</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预算数0.00万元，决算数0.00万元，预决算差异率0.00%，主要原因是：我单位无公务接待费支出。</w:t>
      </w:r>
    </w:p>
    <w:p>
      <w:pPr>
        <w:ind w:firstLine="640" w:firstLineChars="200"/>
        <w:jc w:val="left"/>
        <w:outlineLvl w:val="1"/>
        <w:rPr>
          <w:rFonts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我</w:t>
      </w:r>
      <w:r>
        <w:rPr>
          <w:rFonts w:hint="eastAsia" w:ascii="仿宋_GB2312" w:eastAsia="仿宋_GB2312"/>
          <w:sz w:val="32"/>
          <w:szCs w:val="32"/>
          <w:lang w:val="en-US" w:eastAsia="zh-CN"/>
        </w:rPr>
        <w:t>部门</w:t>
      </w:r>
      <w:r>
        <w:rPr>
          <w:rFonts w:hint="eastAsia" w:ascii="仿宋_GB2312" w:eastAsia="仿宋_GB2312"/>
          <w:sz w:val="32"/>
          <w:szCs w:val="32"/>
        </w:rPr>
        <w:t>本年度无政府性基金预算财政拨款收入、支出及结转和结余，政府性基金预算财政拨款收入支出决算表为空表。</w:t>
      </w:r>
    </w:p>
    <w:p>
      <w:pPr>
        <w:ind w:firstLine="640" w:firstLineChars="200"/>
        <w:jc w:val="left"/>
        <w:outlineLvl w:val="1"/>
        <w:rPr>
          <w:rFonts w:ascii="仿宋_GB2312" w:eastAsia="仿宋_GB2312"/>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w:t>
      </w:r>
      <w:r>
        <w:rPr>
          <w:rFonts w:hint="eastAsia" w:ascii="仿宋_GB2312" w:eastAsia="仿宋_GB2312"/>
          <w:sz w:val="32"/>
          <w:szCs w:val="32"/>
          <w:lang w:val="en-US" w:eastAsia="zh-CN"/>
        </w:rPr>
        <w:t>部门</w:t>
      </w:r>
      <w:r>
        <w:rPr>
          <w:rFonts w:hint="eastAsia" w:ascii="仿宋_GB2312" w:eastAsia="仿宋_GB2312"/>
          <w:sz w:val="32"/>
          <w:szCs w:val="32"/>
        </w:rPr>
        <w:t>本年度无国有资本经营预算财政拨款收入、支出及结转和结余，国有资本经营预算财政拨款收入支出决算表为空表。</w:t>
      </w:r>
    </w:p>
    <w:p>
      <w:pPr>
        <w:ind w:firstLine="640" w:firstLineChars="200"/>
        <w:jc w:val="left"/>
        <w:outlineLvl w:val="1"/>
        <w:rPr>
          <w:rFonts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pPr>
        <w:ind w:firstLine="640" w:firstLineChars="200"/>
        <w:jc w:val="left"/>
        <w:rPr>
          <w:rFonts w:eastAsia="仿宋_GB2312"/>
          <w:sz w:val="32"/>
          <w:szCs w:val="32"/>
        </w:rPr>
      </w:pPr>
      <w:bookmarkStart w:id="24" w:name="_Toc227"/>
      <w:bookmarkStart w:id="25" w:name="_Toc26704"/>
      <w:r>
        <w:rPr>
          <w:rFonts w:hint="eastAsia" w:eastAsia="仿宋_GB2312"/>
          <w:sz w:val="32"/>
          <w:szCs w:val="32"/>
          <w:lang w:val="zh-CN"/>
        </w:rPr>
        <w:t>2023年度</w:t>
      </w:r>
      <w:r>
        <w:rPr>
          <w:rFonts w:hint="eastAsia" w:eastAsia="仿宋_GB2312"/>
          <w:sz w:val="32"/>
          <w:szCs w:val="32"/>
        </w:rPr>
        <w:t>库尔勒市妇女联合会（行政单位和参照公务员法管理事业单位）机关运行经费支出2.24万元，</w:t>
      </w:r>
      <w:r>
        <w:rPr>
          <w:rFonts w:hint="eastAsia" w:eastAsia="仿宋_GB2312"/>
          <w:sz w:val="32"/>
          <w:szCs w:val="32"/>
          <w:lang w:val="zh-CN"/>
        </w:rPr>
        <w:t>比上年增加1.50万元，增长</w:t>
      </w:r>
      <w:r>
        <w:rPr>
          <w:rFonts w:hint="eastAsia" w:eastAsia="仿宋_GB2312"/>
          <w:sz w:val="32"/>
          <w:szCs w:val="32"/>
          <w:lang w:val="en-US" w:eastAsia="zh-CN"/>
        </w:rPr>
        <w:t>202.70</w:t>
      </w:r>
      <w:r>
        <w:rPr>
          <w:rFonts w:hint="eastAsia" w:eastAsia="仿宋_GB2312"/>
          <w:sz w:val="32"/>
          <w:szCs w:val="32"/>
          <w:lang w:val="zh-CN"/>
        </w:rPr>
        <w:t>%，主要原因是：上年因疫情车辆运行维护费未支出，今年车辆运行维护费正常使用</w:t>
      </w:r>
      <w:r>
        <w:rPr>
          <w:rFonts w:hint="eastAsia" w:eastAsia="仿宋_GB2312"/>
          <w:sz w:val="32"/>
          <w:szCs w:val="32"/>
          <w:lang w:val="en-US" w:eastAsia="zh-CN"/>
        </w:rPr>
        <w:t>导致</w:t>
      </w:r>
      <w:r>
        <w:rPr>
          <w:rFonts w:hint="eastAsia" w:eastAsia="仿宋_GB2312"/>
          <w:sz w:val="32"/>
          <w:szCs w:val="32"/>
          <w:lang w:val="zh-CN"/>
        </w:rPr>
        <w:t>机关运行经费</w:t>
      </w:r>
      <w:r>
        <w:rPr>
          <w:rFonts w:hint="eastAsia" w:eastAsia="仿宋_GB2312"/>
          <w:sz w:val="32"/>
          <w:szCs w:val="32"/>
          <w:lang w:val="en-US" w:eastAsia="zh-CN"/>
        </w:rPr>
        <w:t>增加</w:t>
      </w:r>
      <w:r>
        <w:rPr>
          <w:rFonts w:hint="eastAsia" w:eastAsia="仿宋_GB2312"/>
          <w:sz w:val="32"/>
          <w:szCs w:val="32"/>
        </w:rPr>
        <w:t>。</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eastAsia="仿宋_GB2312"/>
          <w:sz w:val="32"/>
          <w:szCs w:val="32"/>
          <w:lang w:val="zh-CN"/>
        </w:rPr>
      </w:pPr>
      <w:r>
        <w:rPr>
          <w:rFonts w:hint="eastAsia" w:eastAsia="仿宋_GB2312"/>
          <w:sz w:val="32"/>
          <w:szCs w:val="32"/>
          <w:lang w:val="zh-CN"/>
        </w:rPr>
        <w:t>2023年度政府采购支出总额0.51万元，其中：政府采购货物支出0.00万元、政府采购工程支出0.00万元、政府采购服务支出0.51万元。</w:t>
      </w:r>
    </w:p>
    <w:p>
      <w:pPr>
        <w:ind w:firstLine="640" w:firstLineChars="200"/>
        <w:jc w:val="left"/>
        <w:rPr>
          <w:rFonts w:eastAsia="仿宋_GB2312"/>
          <w:sz w:val="32"/>
          <w:szCs w:val="32"/>
        </w:rPr>
      </w:pPr>
      <w:r>
        <w:rPr>
          <w:rFonts w:hint="eastAsia" w:eastAsia="仿宋_GB2312"/>
          <w:sz w:val="32"/>
          <w:szCs w:val="32"/>
          <w:lang w:val="zh-CN"/>
        </w:rPr>
        <w:t>授予中小企业合同金额0.51万元，占政府采购支出总额的100.00</w:t>
      </w:r>
      <w:r>
        <w:rPr>
          <w:rFonts w:eastAsia="仿宋_GB2312"/>
          <w:sz w:val="32"/>
          <w:szCs w:val="32"/>
          <w:lang w:val="zh-CN"/>
        </w:rPr>
        <w:t>%</w:t>
      </w:r>
      <w:r>
        <w:rPr>
          <w:rFonts w:hint="eastAsia" w:eastAsia="仿宋_GB2312"/>
          <w:sz w:val="32"/>
          <w:szCs w:val="32"/>
          <w:lang w:val="zh-CN"/>
        </w:rPr>
        <w:t>，其中：授予小微企业合同金额0.33万元，占政府采购支出总额的</w:t>
      </w:r>
      <w:r>
        <w:rPr>
          <w:rFonts w:hint="eastAsia" w:eastAsia="仿宋_GB2312"/>
          <w:sz w:val="32"/>
          <w:szCs w:val="32"/>
          <w:lang w:val="en-US" w:eastAsia="zh-CN"/>
        </w:rPr>
        <w:t>64.71</w:t>
      </w:r>
      <w:r>
        <w:rPr>
          <w:rFonts w:eastAsia="仿宋_GB2312"/>
          <w:sz w:val="32"/>
          <w:szCs w:val="32"/>
          <w:lang w:val="zh-CN"/>
        </w:rPr>
        <w:t>%</w:t>
      </w:r>
      <w:r>
        <w:rPr>
          <w:rFonts w:hint="eastAsia" w:eastAsia="仿宋_GB2312"/>
          <w:sz w:val="32"/>
          <w:szCs w:val="32"/>
        </w:rPr>
        <w:t>。</w:t>
      </w:r>
    </w:p>
    <w:p>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pPr>
        <w:ind w:firstLine="640" w:firstLineChars="200"/>
        <w:jc w:val="left"/>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24.95</w:t>
      </w:r>
      <w:r>
        <w:rPr>
          <w:rFonts w:hint="eastAsia" w:eastAsia="仿宋_GB2312"/>
          <w:sz w:val="32"/>
          <w:szCs w:val="32"/>
        </w:rPr>
        <w:t>万元，房</w:t>
      </w:r>
      <w:r>
        <w:rPr>
          <w:rFonts w:hint="eastAsia" w:eastAsia="仿宋_GB2312"/>
          <w:sz w:val="32"/>
          <w:szCs w:val="32"/>
          <w:lang w:val="zh-CN"/>
        </w:rPr>
        <w:t>屋0.00平方米，价值0.00万元。车辆1辆，价值11.16万元，其中：副部（省）级及以上领导用车0辆、主要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用车0辆、机要通信用车0辆、应急保障用车0辆、执法执勤用车0辆、特种专业技术用车0辆、离退休干部</w:t>
      </w:r>
      <w:r>
        <w:rPr>
          <w:rFonts w:hint="eastAsia" w:eastAsia="仿宋_GB2312"/>
          <w:sz w:val="32"/>
          <w:szCs w:val="32"/>
        </w:rPr>
        <w:t>服务</w:t>
      </w:r>
      <w:r>
        <w:rPr>
          <w:rFonts w:hint="eastAsia" w:eastAsia="仿宋_GB2312"/>
          <w:sz w:val="32"/>
          <w:szCs w:val="32"/>
          <w:lang w:val="zh-CN"/>
        </w:rPr>
        <w:t>用车0辆、其他用车1辆，其他用车主要是：</w:t>
      </w:r>
      <w:r>
        <w:rPr>
          <w:rFonts w:hint="eastAsia" w:eastAsia="仿宋_GB2312"/>
          <w:sz w:val="32"/>
          <w:szCs w:val="32"/>
        </w:rPr>
        <w:t>单位公务用车</w:t>
      </w:r>
      <w:r>
        <w:rPr>
          <w:rFonts w:hint="eastAsia" w:eastAsia="仿宋_GB2312"/>
          <w:sz w:val="32"/>
          <w:szCs w:val="32"/>
          <w:lang w:val="zh-CN"/>
        </w:rPr>
        <w:t>；单价100万元（含）以上设备（不含车辆）0</w:t>
      </w:r>
      <w:r>
        <w:rPr>
          <w:rFonts w:hint="eastAsia" w:eastAsia="仿宋_GB2312"/>
          <w:sz w:val="32"/>
          <w:szCs w:val="32"/>
        </w:rPr>
        <w:t>台（</w:t>
      </w:r>
      <w:r>
        <w:rPr>
          <w:rFonts w:hint="eastAsia" w:eastAsia="仿宋_GB2312"/>
          <w:sz w:val="32"/>
          <w:szCs w:val="32"/>
          <w:lang w:val="zh-CN"/>
        </w:rPr>
        <w:t>套）。</w:t>
      </w:r>
    </w:p>
    <w:p>
      <w:pPr>
        <w:ind w:firstLine="640" w:firstLineChars="200"/>
        <w:jc w:val="left"/>
        <w:outlineLvl w:val="1"/>
        <w:rPr>
          <w:rFonts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w:t>
      </w:r>
      <w:r>
        <w:rPr>
          <w:rFonts w:hint="eastAsia" w:ascii="仿宋_GB2312" w:eastAsia="仿宋_GB2312"/>
          <w:sz w:val="32"/>
          <w:szCs w:val="32"/>
          <w:lang w:val="en-US" w:eastAsia="zh-CN"/>
        </w:rPr>
        <w:t>部门</w:t>
      </w:r>
      <w:r>
        <w:rPr>
          <w:rFonts w:hint="eastAsia" w:ascii="仿宋_GB2312" w:eastAsia="仿宋_GB2312"/>
          <w:sz w:val="32"/>
          <w:szCs w:val="32"/>
        </w:rPr>
        <w:t>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预算总额1</w:t>
      </w:r>
      <w:r>
        <w:rPr>
          <w:rFonts w:ascii="仿宋_GB2312" w:eastAsia="仿宋_GB2312"/>
          <w:sz w:val="32"/>
          <w:szCs w:val="32"/>
        </w:rPr>
        <w:t>74.79</w:t>
      </w:r>
      <w:r>
        <w:rPr>
          <w:rFonts w:hint="eastAsia" w:ascii="仿宋_GB2312" w:eastAsia="仿宋_GB2312"/>
          <w:sz w:val="32"/>
          <w:szCs w:val="32"/>
        </w:rPr>
        <w:t>万元，实际执行总额1</w:t>
      </w:r>
      <w:r>
        <w:rPr>
          <w:rFonts w:ascii="仿宋_GB2312" w:eastAsia="仿宋_GB2312"/>
          <w:sz w:val="32"/>
          <w:szCs w:val="32"/>
        </w:rPr>
        <w:t>74.79</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w:t>
      </w:r>
      <w:r>
        <w:rPr>
          <w:rFonts w:ascii="仿宋_GB2312" w:eastAsia="仿宋_GB2312"/>
          <w:sz w:val="32"/>
          <w:szCs w:val="32"/>
        </w:rPr>
        <w:t>2</w:t>
      </w:r>
      <w:r>
        <w:rPr>
          <w:rFonts w:hint="eastAsia" w:ascii="仿宋_GB2312" w:eastAsia="仿宋_GB2312"/>
          <w:sz w:val="32"/>
          <w:szCs w:val="32"/>
        </w:rPr>
        <w:t>个，全年预算数</w:t>
      </w:r>
      <w:r>
        <w:rPr>
          <w:rFonts w:hint="eastAsia" w:ascii="仿宋_GB2312" w:eastAsia="仿宋_GB2312"/>
          <w:sz w:val="32"/>
          <w:szCs w:val="32"/>
          <w:lang w:val="en-US" w:eastAsia="zh-CN"/>
        </w:rPr>
        <w:t>7.00</w:t>
      </w:r>
      <w:r>
        <w:rPr>
          <w:rFonts w:hint="eastAsia" w:ascii="仿宋_GB2312" w:eastAsia="仿宋_GB2312"/>
          <w:sz w:val="32"/>
          <w:szCs w:val="32"/>
        </w:rPr>
        <w:t>万元，全年执行数6</w:t>
      </w:r>
      <w:r>
        <w:rPr>
          <w:rFonts w:ascii="仿宋_GB2312" w:eastAsia="仿宋_GB2312"/>
          <w:sz w:val="32"/>
          <w:szCs w:val="32"/>
        </w:rPr>
        <w:t>.23</w:t>
      </w:r>
      <w:r>
        <w:rPr>
          <w:rFonts w:hint="eastAsia" w:ascii="仿宋_GB2312" w:eastAsia="仿宋_GB2312"/>
          <w:sz w:val="32"/>
          <w:szCs w:val="32"/>
        </w:rPr>
        <w:t>万元。预算绩效管理取得的成效：一是通过绩效评价分析部门整体支出对单位基本运转及单位职能履职的保障作用，总结经验做法，找出资金使用和管理中的薄弱环节，进一步加强预算管理，提高财政资金使用效益。发现的问题及原因：（1）预算绩效观念不深入。在日常绩效工作中存在着一定程度的“重分配、轻管理、重支出、轻绩效”的情况，造成该问题的主要原因是自身绩效理念较薄弱，单位绩效目标编制仍有缺失，需要进一步加强对资金绩效管理的重视程度。（2）预算绩效规范管理有盲点。财务人员面对当前绩效管理工作既没有现成的经验可供借鉴，又缺乏专业性很强的技能储备，只能是边工作、边学习、边积累，短期内部分工作只能停留在表面，难以做到程序规范、管理科学，难以满足当前绩效管理要求。下一步改进措施：一是建立健全的预算绩效管理体制，加强对预算绩效相关知识的了解和掌握，促进绩效管理工作向广度和深度延伸，切实提高部门预算收支管理水平；二是加强财务管理，严格财务审核，在费用报账支付时，按照预算规定费用项目和用途进行资金使用审核、列报支付、财务核算，杜绝超支现象发生。具体项目自评情况附绩效自评表及自评报告。</w:t>
      </w:r>
    </w:p>
    <w:p>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w:t>
      </w:r>
      <w:r>
        <w:rPr>
          <w:rFonts w:hint="eastAsia" w:ascii="仿宋_GB2312" w:hAnsi="仿宋_GB2312" w:eastAsia="仿宋_GB2312" w:cs="仿宋_GB2312"/>
          <w:kern w:val="0"/>
          <w:sz w:val="32"/>
          <w:szCs w:val="32"/>
          <w:lang w:val="en-US" w:eastAsia="zh-CN"/>
        </w:rPr>
        <w:t>部门</w:t>
      </w:r>
      <w:r>
        <w:rPr>
          <w:rFonts w:hint="eastAsia" w:ascii="仿宋_GB2312" w:hAnsi="仿宋_GB2312" w:eastAsia="仿宋_GB2312" w:cs="仿宋_GB2312"/>
          <w:kern w:val="0"/>
          <w:sz w:val="32"/>
          <w:szCs w:val="32"/>
        </w:rPr>
        <w:t>无其他需说明事项</w:t>
      </w:r>
    </w:p>
    <w:p>
      <w:pPr>
        <w:jc w:val="center"/>
        <w:outlineLvl w:val="0"/>
        <w:rPr>
          <w:rFonts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pPr>
        <w:ind w:firstLine="576" w:firstLineChars="200"/>
        <w:outlineLvl w:val="1"/>
        <w:rPr>
          <w:rFonts w:ascii="黑体" w:hAnsi="黑体" w:eastAsia="仿宋_GB2312" w:cs="宋体"/>
          <w:bCs/>
          <w:w w:val="90"/>
          <w:kern w:val="0"/>
          <w:sz w:val="32"/>
          <w:szCs w:val="32"/>
        </w:rPr>
      </w:pPr>
      <w:bookmarkStart w:id="46" w:name="_Toc7643"/>
      <w:bookmarkStart w:id="47" w:name="_Toc5453"/>
      <w:r>
        <w:rPr>
          <w:rFonts w:hint="eastAsia" w:ascii="黑体" w:hAnsi="黑体" w:eastAsia="仿宋_GB2312" w:cs="宋体"/>
          <w:bCs/>
          <w:w w:val="90"/>
          <w:kern w:val="0"/>
          <w:sz w:val="32"/>
          <w:szCs w:val="32"/>
        </w:rPr>
        <w:t>八、《政府性基金预算财政拨款收入支出决算表》</w:t>
      </w:r>
      <w:bookmarkEnd w:id="46"/>
      <w:bookmarkEnd w:id="47"/>
      <w:r>
        <w:rPr>
          <w:rFonts w:hint="eastAsia" w:ascii="黑体" w:hAnsi="黑体" w:eastAsia="仿宋_GB2312" w:cs="宋体"/>
          <w:bCs/>
          <w:w w:val="90"/>
          <w:kern w:val="0"/>
          <w:sz w:val="32"/>
          <w:szCs w:val="32"/>
        </w:rPr>
        <w:t>（空表）</w:t>
      </w:r>
    </w:p>
    <w:p>
      <w:pPr>
        <w:ind w:firstLine="576" w:firstLineChars="200"/>
        <w:outlineLvl w:val="1"/>
        <w:rPr>
          <w:rFonts w:ascii="黑体" w:hAnsi="黑体" w:eastAsia="仿宋_GB2312" w:cs="宋体"/>
          <w:bCs/>
          <w:w w:val="90"/>
          <w:kern w:val="0"/>
          <w:sz w:val="32"/>
          <w:szCs w:val="32"/>
        </w:rPr>
      </w:pPr>
      <w:r>
        <w:rPr>
          <w:rFonts w:hint="eastAsia" w:ascii="黑体" w:hAnsi="黑体" w:eastAsia="仿宋_GB2312" w:cs="宋体"/>
          <w:bCs/>
          <w:w w:val="90"/>
          <w:kern w:val="0"/>
          <w:sz w:val="32"/>
          <w:szCs w:val="32"/>
        </w:rPr>
        <w:t>九、《国有资本经营预算财政拨款收入支出决算表》（空表）</w:t>
      </w:r>
    </w:p>
    <w:p>
      <w:pPr>
        <w:outlineLvl w:val="1"/>
        <w:rPr>
          <w:rFonts w:ascii="黑体" w:hAnsi="黑体" w:eastAsia="黑体" w:cs="宋体"/>
          <w:bCs/>
          <w:w w:val="90"/>
          <w:kern w:val="0"/>
          <w:sz w:val="32"/>
          <w:szCs w:val="32"/>
        </w:rPr>
        <w:sectPr>
          <w:footerReference r:id="rId4" w:type="default"/>
          <w:pgSz w:w="11906" w:h="16838"/>
          <w:pgMar w:top="1440" w:right="1800" w:bottom="1440" w:left="1800" w:header="851" w:footer="992" w:gutter="0"/>
          <w:cols w:space="720" w:num="1"/>
          <w:docGrid w:type="lines" w:linePitch="312" w:charSpace="0"/>
        </w:sectPr>
      </w:pPr>
    </w:p>
    <w:p>
      <w:pPr>
        <w:ind w:firstLine="420" w:firstLineChars="200"/>
        <w:outlineLvl w:val="1"/>
        <w:rPr>
          <w:rFonts w:ascii="黑体" w:hAnsi="黑体" w:eastAsia="黑体" w:cs="宋体"/>
          <w:bCs/>
          <w:kern w:val="0"/>
          <w:sz w:val="32"/>
          <w:szCs w:val="32"/>
        </w:rPr>
        <w:sectPr>
          <w:pgSz w:w="11906" w:h="16838"/>
          <w:pgMar w:top="1440" w:right="1800" w:bottom="1440" w:left="1800" w:header="851" w:footer="992" w:gutter="0"/>
          <w:cols w:space="720" w:num="1"/>
          <w:docGrid w:type="lines" w:linePitch="312" w:charSpace="0"/>
        </w:sectPr>
      </w:pPr>
      <w:r>
        <w:drawing>
          <wp:anchor distT="0" distB="0" distL="114300" distR="114300" simplePos="0" relativeHeight="251661312" behindDoc="0" locked="0" layoutInCell="1" allowOverlap="1">
            <wp:simplePos x="0" y="0"/>
            <wp:positionH relativeFrom="column">
              <wp:posOffset>-781050</wp:posOffset>
            </wp:positionH>
            <wp:positionV relativeFrom="paragraph">
              <wp:posOffset>331470</wp:posOffset>
            </wp:positionV>
            <wp:extent cx="6889750" cy="6957695"/>
            <wp:effectExtent l="0" t="0" r="6350" b="14605"/>
            <wp:wrapSquare wrapText="bothSides"/>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6"/>
                    <a:stretch>
                      <a:fillRect/>
                    </a:stretch>
                  </pic:blipFill>
                  <pic:spPr>
                    <a:xfrm>
                      <a:off x="0" y="0"/>
                      <a:ext cx="6889750" cy="6957695"/>
                    </a:xfrm>
                    <a:prstGeom prst="rect">
                      <a:avLst/>
                    </a:prstGeom>
                    <a:noFill/>
                    <a:ln>
                      <a:noFill/>
                    </a:ln>
                  </pic:spPr>
                </pic:pic>
              </a:graphicData>
            </a:graphic>
          </wp:anchor>
        </w:drawing>
      </w:r>
    </w:p>
    <w:p>
      <w:pPr>
        <w:ind w:firstLine="420" w:firstLineChars="200"/>
        <w:outlineLvl w:val="1"/>
        <w:rPr>
          <w:rFonts w:ascii="黑体" w:hAnsi="黑体" w:eastAsia="黑体" w:cs="宋体"/>
          <w:bCs/>
          <w:kern w:val="0"/>
          <w:sz w:val="32"/>
          <w:szCs w:val="32"/>
        </w:rPr>
        <w:sectPr>
          <w:pgSz w:w="11906" w:h="16838"/>
          <w:pgMar w:top="1440" w:right="1800" w:bottom="1440" w:left="1800" w:header="851" w:footer="992" w:gutter="0"/>
          <w:cols w:space="720" w:num="1"/>
          <w:docGrid w:type="lines" w:linePitch="312" w:charSpace="0"/>
        </w:sectPr>
      </w:pPr>
      <w:r>
        <w:drawing>
          <wp:anchor distT="0" distB="0" distL="114300" distR="114300" simplePos="0" relativeHeight="251662336" behindDoc="0" locked="0" layoutInCell="1" allowOverlap="1">
            <wp:simplePos x="0" y="0"/>
            <wp:positionH relativeFrom="column">
              <wp:posOffset>-904240</wp:posOffset>
            </wp:positionH>
            <wp:positionV relativeFrom="paragraph">
              <wp:posOffset>400050</wp:posOffset>
            </wp:positionV>
            <wp:extent cx="7155815" cy="5551170"/>
            <wp:effectExtent l="0" t="0" r="6985" b="11430"/>
            <wp:wrapSquare wrapText="bothSides"/>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7"/>
                    <a:stretch>
                      <a:fillRect/>
                    </a:stretch>
                  </pic:blipFill>
                  <pic:spPr>
                    <a:xfrm>
                      <a:off x="0" y="0"/>
                      <a:ext cx="7155815" cy="5551170"/>
                    </a:xfrm>
                    <a:prstGeom prst="rect">
                      <a:avLst/>
                    </a:prstGeom>
                    <a:noFill/>
                    <a:ln>
                      <a:noFill/>
                    </a:ln>
                  </pic:spPr>
                </pic:pic>
              </a:graphicData>
            </a:graphic>
          </wp:anchor>
        </w:drawing>
      </w:r>
    </w:p>
    <w:p>
      <w:pPr>
        <w:ind w:firstLine="420" w:firstLineChars="200"/>
        <w:outlineLvl w:val="1"/>
        <w:rPr>
          <w:rFonts w:ascii="黑体" w:hAnsi="黑体" w:eastAsia="黑体" w:cs="宋体"/>
          <w:bCs/>
          <w:kern w:val="0"/>
          <w:sz w:val="32"/>
          <w:szCs w:val="32"/>
        </w:rPr>
        <w:sectPr>
          <w:pgSz w:w="11906" w:h="16838"/>
          <w:pgMar w:top="1440" w:right="1800" w:bottom="1440" w:left="1800" w:header="851" w:footer="992" w:gutter="0"/>
          <w:cols w:space="720" w:num="1"/>
          <w:docGrid w:type="lines" w:linePitch="312" w:charSpace="0"/>
        </w:sectPr>
      </w:pPr>
      <w:r>
        <w:drawing>
          <wp:anchor distT="0" distB="0" distL="114300" distR="114300" simplePos="0" relativeHeight="251663360" behindDoc="0" locked="0" layoutInCell="1" allowOverlap="1">
            <wp:simplePos x="0" y="0"/>
            <wp:positionH relativeFrom="column">
              <wp:posOffset>-1024255</wp:posOffset>
            </wp:positionH>
            <wp:positionV relativeFrom="paragraph">
              <wp:posOffset>569595</wp:posOffset>
            </wp:positionV>
            <wp:extent cx="7403465" cy="6025515"/>
            <wp:effectExtent l="0" t="0" r="6985" b="13335"/>
            <wp:wrapSquare wrapText="bothSides"/>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8"/>
                    <a:stretch>
                      <a:fillRect/>
                    </a:stretch>
                  </pic:blipFill>
                  <pic:spPr>
                    <a:xfrm>
                      <a:off x="0" y="0"/>
                      <a:ext cx="7403465" cy="6025515"/>
                    </a:xfrm>
                    <a:prstGeom prst="rect">
                      <a:avLst/>
                    </a:prstGeom>
                    <a:noFill/>
                    <a:ln>
                      <a:noFill/>
                    </a:ln>
                  </pic:spPr>
                </pic:pic>
              </a:graphicData>
            </a:graphic>
          </wp:anchor>
        </w:drawing>
      </w:r>
    </w:p>
    <w:p>
      <w:pPr>
        <w:ind w:firstLine="420" w:firstLineChars="200"/>
        <w:outlineLvl w:val="1"/>
        <w:rPr>
          <w:rFonts w:ascii="黑体" w:hAnsi="黑体" w:eastAsia="黑体" w:cs="宋体"/>
          <w:bCs/>
          <w:kern w:val="0"/>
          <w:sz w:val="32"/>
          <w:szCs w:val="32"/>
        </w:rPr>
        <w:sectPr>
          <w:pgSz w:w="11906" w:h="16838"/>
          <w:pgMar w:top="1440" w:right="1800" w:bottom="1440" w:left="1800" w:header="851" w:footer="992" w:gutter="0"/>
          <w:cols w:space="720" w:num="1"/>
          <w:docGrid w:type="lines" w:linePitch="312" w:charSpace="0"/>
        </w:sectPr>
      </w:pPr>
      <w:r>
        <w:drawing>
          <wp:anchor distT="0" distB="0" distL="114300" distR="114300" simplePos="0" relativeHeight="251664384" behindDoc="0" locked="0" layoutInCell="1" allowOverlap="1">
            <wp:simplePos x="0" y="0"/>
            <wp:positionH relativeFrom="column">
              <wp:posOffset>-961390</wp:posOffset>
            </wp:positionH>
            <wp:positionV relativeFrom="paragraph">
              <wp:posOffset>415290</wp:posOffset>
            </wp:positionV>
            <wp:extent cx="7199630" cy="6953250"/>
            <wp:effectExtent l="0" t="0" r="1270" b="0"/>
            <wp:wrapSquare wrapText="bothSides"/>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9"/>
                    <a:stretch>
                      <a:fillRect/>
                    </a:stretch>
                  </pic:blipFill>
                  <pic:spPr>
                    <a:xfrm>
                      <a:off x="0" y="0"/>
                      <a:ext cx="7199630" cy="6953250"/>
                    </a:xfrm>
                    <a:prstGeom prst="rect">
                      <a:avLst/>
                    </a:prstGeom>
                    <a:noFill/>
                    <a:ln>
                      <a:noFill/>
                    </a:ln>
                  </pic:spPr>
                </pic:pic>
              </a:graphicData>
            </a:graphic>
          </wp:anchor>
        </w:drawing>
      </w:r>
    </w:p>
    <w:p>
      <w:pPr>
        <w:ind w:firstLine="420" w:firstLineChars="200"/>
        <w:outlineLvl w:val="1"/>
        <w:rPr>
          <w:rFonts w:ascii="黑体" w:hAnsi="黑体" w:eastAsia="黑体" w:cs="宋体"/>
          <w:bCs/>
          <w:kern w:val="0"/>
          <w:sz w:val="32"/>
          <w:szCs w:val="32"/>
        </w:rPr>
        <w:sectPr>
          <w:pgSz w:w="11906" w:h="16838"/>
          <w:pgMar w:top="1440" w:right="1800" w:bottom="1440" w:left="1800" w:header="851" w:footer="992" w:gutter="0"/>
          <w:cols w:space="720" w:num="1"/>
          <w:docGrid w:type="lines" w:linePitch="312" w:charSpace="0"/>
        </w:sectPr>
      </w:pPr>
      <w:r>
        <w:drawing>
          <wp:anchor distT="0" distB="0" distL="114300" distR="114300" simplePos="0" relativeHeight="251665408" behindDoc="0" locked="0" layoutInCell="1" allowOverlap="1">
            <wp:simplePos x="0" y="0"/>
            <wp:positionH relativeFrom="column">
              <wp:posOffset>-800100</wp:posOffset>
            </wp:positionH>
            <wp:positionV relativeFrom="paragraph">
              <wp:posOffset>539115</wp:posOffset>
            </wp:positionV>
            <wp:extent cx="7035165" cy="6156960"/>
            <wp:effectExtent l="0" t="0" r="13335" b="15240"/>
            <wp:wrapSquare wrapText="bothSides"/>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0"/>
                    <a:stretch>
                      <a:fillRect/>
                    </a:stretch>
                  </pic:blipFill>
                  <pic:spPr>
                    <a:xfrm>
                      <a:off x="0" y="0"/>
                      <a:ext cx="7035165" cy="6156960"/>
                    </a:xfrm>
                    <a:prstGeom prst="rect">
                      <a:avLst/>
                    </a:prstGeom>
                    <a:noFill/>
                    <a:ln>
                      <a:noFill/>
                    </a:ln>
                  </pic:spPr>
                </pic:pic>
              </a:graphicData>
            </a:graphic>
          </wp:anchor>
        </w:drawing>
      </w:r>
    </w:p>
    <w:p>
      <w:pPr>
        <w:ind w:firstLine="420" w:firstLineChars="200"/>
        <w:outlineLvl w:val="1"/>
        <w:rPr>
          <w:rFonts w:ascii="黑体" w:hAnsi="黑体" w:eastAsia="黑体" w:cs="宋体"/>
          <w:bCs/>
          <w:kern w:val="0"/>
          <w:sz w:val="32"/>
          <w:szCs w:val="32"/>
        </w:rPr>
        <w:sectPr>
          <w:pgSz w:w="11906" w:h="16838"/>
          <w:pgMar w:top="1440" w:right="1800" w:bottom="1440" w:left="1800" w:header="851" w:footer="992" w:gutter="0"/>
          <w:cols w:space="720" w:num="1"/>
          <w:docGrid w:type="lines" w:linePitch="312" w:charSpace="0"/>
        </w:sectPr>
      </w:pPr>
      <w:r>
        <w:drawing>
          <wp:anchor distT="0" distB="0" distL="114300" distR="114300" simplePos="0" relativeHeight="251669504" behindDoc="0" locked="0" layoutInCell="1" allowOverlap="1">
            <wp:simplePos x="0" y="0"/>
            <wp:positionH relativeFrom="column">
              <wp:posOffset>-808990</wp:posOffset>
            </wp:positionH>
            <wp:positionV relativeFrom="paragraph">
              <wp:posOffset>73025</wp:posOffset>
            </wp:positionV>
            <wp:extent cx="6932295" cy="8721725"/>
            <wp:effectExtent l="0" t="0" r="1905" b="3175"/>
            <wp:wrapSquare wrapText="bothSides"/>
            <wp:docPr id="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pic:cNvPicPr>
                      <a:picLocks noChangeAspect="1"/>
                    </pic:cNvPicPr>
                  </pic:nvPicPr>
                  <pic:blipFill>
                    <a:blip r:embed="rId11"/>
                    <a:stretch>
                      <a:fillRect/>
                    </a:stretch>
                  </pic:blipFill>
                  <pic:spPr>
                    <a:xfrm>
                      <a:off x="0" y="0"/>
                      <a:ext cx="6932295" cy="8721725"/>
                    </a:xfrm>
                    <a:prstGeom prst="rect">
                      <a:avLst/>
                    </a:prstGeom>
                    <a:noFill/>
                    <a:ln>
                      <a:noFill/>
                    </a:ln>
                  </pic:spPr>
                </pic:pic>
              </a:graphicData>
            </a:graphic>
          </wp:anchor>
        </w:drawing>
      </w:r>
    </w:p>
    <w:p>
      <w:pPr>
        <w:ind w:firstLine="420" w:firstLineChars="200"/>
        <w:outlineLvl w:val="1"/>
        <w:rPr>
          <w:rFonts w:ascii="黑体" w:hAnsi="黑体" w:eastAsia="黑体" w:cs="宋体"/>
          <w:bCs/>
          <w:kern w:val="0"/>
          <w:sz w:val="32"/>
          <w:szCs w:val="32"/>
        </w:rPr>
        <w:sectPr>
          <w:pgSz w:w="11906" w:h="16838"/>
          <w:pgMar w:top="1440" w:right="1800" w:bottom="1440" w:left="1800" w:header="851" w:footer="992" w:gutter="0"/>
          <w:cols w:space="720" w:num="1"/>
          <w:docGrid w:type="lines" w:linePitch="312" w:charSpace="0"/>
        </w:sectPr>
      </w:pPr>
      <w:r>
        <w:drawing>
          <wp:anchor distT="0" distB="0" distL="114300" distR="114300" simplePos="0" relativeHeight="251666432" behindDoc="0" locked="0" layoutInCell="1" allowOverlap="1">
            <wp:simplePos x="0" y="0"/>
            <wp:positionH relativeFrom="column">
              <wp:posOffset>-1068705</wp:posOffset>
            </wp:positionH>
            <wp:positionV relativeFrom="paragraph">
              <wp:posOffset>393065</wp:posOffset>
            </wp:positionV>
            <wp:extent cx="7413625" cy="3449955"/>
            <wp:effectExtent l="0" t="0" r="0" b="0"/>
            <wp:wrapSquare wrapText="bothSides"/>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12"/>
                    <a:stretch>
                      <a:fillRect/>
                    </a:stretch>
                  </pic:blipFill>
                  <pic:spPr>
                    <a:xfrm>
                      <a:off x="0" y="0"/>
                      <a:ext cx="7413625" cy="3449955"/>
                    </a:xfrm>
                    <a:prstGeom prst="rect">
                      <a:avLst/>
                    </a:prstGeom>
                    <a:noFill/>
                    <a:ln>
                      <a:noFill/>
                    </a:ln>
                  </pic:spPr>
                </pic:pic>
              </a:graphicData>
            </a:graphic>
          </wp:anchor>
        </w:drawing>
      </w:r>
    </w:p>
    <w:p>
      <w:pPr>
        <w:ind w:firstLine="420" w:firstLineChars="200"/>
        <w:outlineLvl w:val="1"/>
        <w:rPr>
          <w:rFonts w:ascii="黑体" w:hAnsi="黑体" w:eastAsia="黑体" w:cs="宋体"/>
          <w:bCs/>
          <w:kern w:val="0"/>
          <w:sz w:val="32"/>
          <w:szCs w:val="32"/>
        </w:rPr>
        <w:sectPr>
          <w:pgSz w:w="11906" w:h="16838"/>
          <w:pgMar w:top="1440" w:right="1800" w:bottom="1440" w:left="1800" w:header="851" w:footer="992" w:gutter="0"/>
          <w:cols w:space="720" w:num="1"/>
          <w:docGrid w:type="lines" w:linePitch="312" w:charSpace="0"/>
        </w:sectPr>
      </w:pPr>
      <w:r>
        <w:drawing>
          <wp:anchor distT="0" distB="0" distL="114300" distR="114300" simplePos="0" relativeHeight="251667456" behindDoc="0" locked="0" layoutInCell="1" allowOverlap="1">
            <wp:simplePos x="0" y="0"/>
            <wp:positionH relativeFrom="column">
              <wp:posOffset>-914400</wp:posOffset>
            </wp:positionH>
            <wp:positionV relativeFrom="paragraph">
              <wp:posOffset>719455</wp:posOffset>
            </wp:positionV>
            <wp:extent cx="7232015" cy="4047490"/>
            <wp:effectExtent l="0" t="0" r="6985" b="10160"/>
            <wp:wrapSquare wrapText="bothSides"/>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pic:cNvPicPr>
                      <a:picLocks noChangeAspect="1"/>
                    </pic:cNvPicPr>
                  </pic:nvPicPr>
                  <pic:blipFill>
                    <a:blip r:embed="rId13"/>
                    <a:stretch>
                      <a:fillRect/>
                    </a:stretch>
                  </pic:blipFill>
                  <pic:spPr>
                    <a:xfrm>
                      <a:off x="0" y="0"/>
                      <a:ext cx="7232015" cy="4047490"/>
                    </a:xfrm>
                    <a:prstGeom prst="rect">
                      <a:avLst/>
                    </a:prstGeom>
                    <a:noFill/>
                    <a:ln>
                      <a:noFill/>
                    </a:ln>
                  </pic:spPr>
                </pic:pic>
              </a:graphicData>
            </a:graphic>
          </wp:anchor>
        </w:drawing>
      </w:r>
    </w:p>
    <w:p>
      <w:pPr>
        <w:ind w:firstLine="420" w:firstLineChars="200"/>
        <w:outlineLvl w:val="1"/>
        <w:rPr>
          <w:rFonts w:ascii="黑体" w:hAnsi="黑体" w:eastAsia="黑体" w:cs="宋体"/>
          <w:bCs/>
          <w:kern w:val="0"/>
          <w:sz w:val="32"/>
          <w:szCs w:val="32"/>
        </w:rPr>
      </w:pPr>
      <w:r>
        <w:drawing>
          <wp:anchor distT="0" distB="0" distL="114300" distR="114300" simplePos="0" relativeHeight="251668480" behindDoc="0" locked="0" layoutInCell="1" allowOverlap="1">
            <wp:simplePos x="0" y="0"/>
            <wp:positionH relativeFrom="column">
              <wp:posOffset>-916305</wp:posOffset>
            </wp:positionH>
            <wp:positionV relativeFrom="paragraph">
              <wp:posOffset>624840</wp:posOffset>
            </wp:positionV>
            <wp:extent cx="7127240" cy="3019425"/>
            <wp:effectExtent l="0" t="0" r="16510" b="9525"/>
            <wp:wrapSquare wrapText="bothSides"/>
            <wp:docPr id="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
                    <pic:cNvPicPr>
                      <a:picLocks noChangeAspect="1"/>
                    </pic:cNvPicPr>
                  </pic:nvPicPr>
                  <pic:blipFill>
                    <a:blip r:embed="rId14"/>
                    <a:stretch>
                      <a:fillRect/>
                    </a:stretch>
                  </pic:blipFill>
                  <pic:spPr>
                    <a:xfrm>
                      <a:off x="0" y="0"/>
                      <a:ext cx="7127240" cy="3019425"/>
                    </a:xfrm>
                    <a:prstGeom prst="rect">
                      <a:avLst/>
                    </a:prstGeom>
                    <a:noFill/>
                    <a:ln>
                      <a:noFill/>
                    </a:ln>
                  </pic:spPr>
                </pic:pic>
              </a:graphicData>
            </a:graphic>
          </wp:anchor>
        </w:drawing>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DO&#10;qXm5zwAAAAUBAAAPAAAAAAAAAAEAIAAAACIAAABkcnMvZG93bnJldi54bWxQSwECFAAUAAAACACH&#10;TuJAlib4/7sBAABkAwAADgAAAAAAAAABACAAAAAeAQAAZHJzL2Uyb0RvYy54bWxQSwUGAAAAAAYA&#10;BgBZAQAASwU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BbUj9C8AQAAZAMAAA4AAAAAAAAAAQAgAAAAHgEAAGRycy9lMm9Eb2MueG1sUEsFBgAAAAAG&#10;AAYAWQEAAEwFA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C255E3"/>
    <w:rsid w:val="001714F7"/>
    <w:rsid w:val="001F1767"/>
    <w:rsid w:val="00213C59"/>
    <w:rsid w:val="00271446"/>
    <w:rsid w:val="00276589"/>
    <w:rsid w:val="003210CE"/>
    <w:rsid w:val="00422F0D"/>
    <w:rsid w:val="004274AA"/>
    <w:rsid w:val="005C0491"/>
    <w:rsid w:val="00621FEA"/>
    <w:rsid w:val="00673A7C"/>
    <w:rsid w:val="00747622"/>
    <w:rsid w:val="0075734B"/>
    <w:rsid w:val="00794499"/>
    <w:rsid w:val="00850B3A"/>
    <w:rsid w:val="0091375C"/>
    <w:rsid w:val="00B63569"/>
    <w:rsid w:val="00B70D59"/>
    <w:rsid w:val="00C15EEF"/>
    <w:rsid w:val="00C21731"/>
    <w:rsid w:val="00C255E3"/>
    <w:rsid w:val="00D751B0"/>
    <w:rsid w:val="00DA19E2"/>
    <w:rsid w:val="00F52A8D"/>
    <w:rsid w:val="00FB4466"/>
    <w:rsid w:val="019404F8"/>
    <w:rsid w:val="01ED22F2"/>
    <w:rsid w:val="02560647"/>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7DE1692"/>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652923"/>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015B60"/>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985C39"/>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5E816A3"/>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842DF7"/>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0FD0C44"/>
    <w:rsid w:val="618E3791"/>
    <w:rsid w:val="61947DCA"/>
    <w:rsid w:val="61A46A97"/>
    <w:rsid w:val="61D1382F"/>
    <w:rsid w:val="61F114A2"/>
    <w:rsid w:val="622B0ABA"/>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A912F4F"/>
    <w:rsid w:val="6B68175F"/>
    <w:rsid w:val="6BFD799F"/>
    <w:rsid w:val="6C4A2E5A"/>
    <w:rsid w:val="6C8138D0"/>
    <w:rsid w:val="6CEF0725"/>
    <w:rsid w:val="6D4B2604"/>
    <w:rsid w:val="6D8030E4"/>
    <w:rsid w:val="6E0E35C4"/>
    <w:rsid w:val="6E0F7A08"/>
    <w:rsid w:val="6E3947F5"/>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1129</Words>
  <Characters>6441</Characters>
  <Lines>53</Lines>
  <Paragraphs>15</Paragraphs>
  <TotalTime>15</TotalTime>
  <ScaleCrop>false</ScaleCrop>
  <LinksUpToDate>false</LinksUpToDate>
  <CharactersWithSpaces>7555</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2024-11-29T10:36:24Z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D624B15633CD43C8BF9435464A96BF70</vt:lpwstr>
  </property>
</Properties>
</file>