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r>
        <w:rPr>
          <w:rFonts w:hint="eastAsia" w:ascii="仿宋" w:hAnsi="仿宋" w:eastAsia="仿宋" w:cs="仿宋"/>
          <w:color w:val="auto"/>
          <w:kern w:val="0"/>
          <w:sz w:val="36"/>
          <w:szCs w:val="36"/>
          <w:highlight w:val="none"/>
          <w:lang w:val="en-US" w:eastAsia="zh-CN"/>
        </w:rPr>
        <w:t>库尔勒市妇女联合会</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int="eastAsia" w:ascii="黑体" w:hAnsi="黑体" w:eastAsia="黑体" w:cs="黑体"/>
          <w:b w:val="0"/>
          <w:bCs w:val="0"/>
          <w:color w:val="auto"/>
          <w:sz w:val="32"/>
          <w:szCs w:val="32"/>
          <w:highlight w:val="none"/>
          <w:lang w:val="en-US" w:eastAsia="zh-CN"/>
        </w:rPr>
      </w:pPr>
      <w:r>
        <w:rPr>
          <w:rFonts w:hAnsi="宋体" w:eastAsia="仿宋_GB2312" w:cs="宋体"/>
          <w:color w:val="auto"/>
          <w:kern w:val="0"/>
          <w:sz w:val="36"/>
          <w:szCs w:val="36"/>
          <w:highlight w:val="none"/>
        </w:rPr>
        <w:br w:type="page"/>
      </w: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rPr>
      </w:pPr>
      <w:r>
        <w:rPr>
          <w:rStyle w:val="9"/>
          <w:rFonts w:hint="eastAsia" w:ascii="黑体" w:hAnsi="黑体" w:eastAsia="黑体" w:cs="黑体"/>
          <w:b w:val="0"/>
          <w:bCs/>
          <w:color w:val="auto"/>
          <w:spacing w:val="-4"/>
          <w:sz w:val="32"/>
          <w:szCs w:val="32"/>
          <w:highlight w:val="none"/>
          <w:lang w:val="en-US" w:eastAsia="zh-CN"/>
        </w:rPr>
        <w:t>(一)</w:t>
      </w:r>
      <w:r>
        <w:rPr>
          <w:rStyle w:val="9"/>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 xml:space="preserve">1、坚持正确的政治方向，团结、教育全市各族妇女以及各类妇女组织同党中央在思想上、政治上、行动上保持高度一致，维护祖国统一，反对民族分裂。 </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 xml:space="preserve">2、紧密围绕党和政府的中心任务开展工作，团结、动员、 组织妇女群众投身改革开放和社会主义精神文明、物质文明建 设，积极促进经济发展和社会全面进步，为维护改革开放稳定的大局服务。 </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 xml:space="preserve">3、宣传马克思主义妇女观和男女平等思想，教育、引导妇女群众树立正确的世界观、人生观、价值观，弘扬“自尊、自信、自立、自强”精神，积极推动和开展对妇女的科技文化及生产劳动技能教育，全面提高妇女素质。 </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4、代表各族妇女参与国家社会事务的民主监督，关注并加强研究涉及妇女切身利益的“热点、难点”问题，及时向市委、市人民政府反映社情民意，提出对策建议；参与有关妇女儿童法 律、法规、规章的制定，从源头上强化维护妇女儿童合法权益工作。</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5、坚持为妇女儿童服务、为基层服务，加强与社会各界的联系，协调和推动社会各界为妇女儿童办实事、办好事。</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6、负责指导市属各乡（镇、场、街道）妇联、各库尔勒市妇女联合会妇委会（女工委）的工作，促进妇女儿童事业的健康发展。</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6"/>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24" w:firstLineChars="200"/>
        <w:jc w:val="both"/>
        <w:textAlignment w:val="auto"/>
        <w:rPr>
          <w:rStyle w:val="9"/>
          <w:rFonts w:hint="eastAsia" w:ascii="仿宋" w:hAnsi="仿宋" w:eastAsia="仿宋" w:cs="仿宋"/>
          <w:b w:val="0"/>
          <w:color w:val="auto"/>
          <w:spacing w:val="-4"/>
          <w:kern w:val="2"/>
          <w:sz w:val="32"/>
          <w:szCs w:val="32"/>
          <w:highlight w:val="none"/>
          <w:lang w:val="en-US" w:eastAsia="zh-CN" w:bidi="ar-SA"/>
        </w:rPr>
      </w:pPr>
      <w:r>
        <w:rPr>
          <w:rStyle w:val="9"/>
          <w:rFonts w:hint="eastAsia" w:ascii="仿宋" w:hAnsi="仿宋" w:eastAsia="仿宋" w:cs="仿宋"/>
          <w:b w:val="0"/>
          <w:color w:val="auto"/>
          <w:spacing w:val="-4"/>
          <w:kern w:val="2"/>
          <w:sz w:val="32"/>
          <w:szCs w:val="32"/>
          <w:highlight w:val="none"/>
          <w:lang w:val="en-US" w:eastAsia="zh-CN" w:bidi="ar-SA"/>
        </w:rPr>
        <w:t>库尔勒市妇女联合会编制数9人，实有人数22人，其中：在职9人；退休13人；离休0人。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在市委坚强领导下，库尔勒市妇联坚持以习近平新时代中国特色社会主义思想为指导，全面贯彻落实党的二十大精神，坚持以党的政治建设为统领，围绕中心，服务大局，全面履行妇联组织联系服务各族妇女的政治功能，守正创新、持续奋斗，团结引领各族妇女为推动库尔勒市高质量发展贡献巾帼智慧和力量。</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库尔勒市妇女联合会</w:t>
      </w:r>
      <w:r>
        <w:rPr>
          <w:rStyle w:val="9"/>
          <w:rFonts w:hint="eastAsia" w:ascii="仿宋" w:hAnsi="仿宋" w:eastAsia="仿宋" w:cs="仿宋"/>
          <w:b w:val="0"/>
          <w:bCs/>
          <w:color w:val="auto"/>
          <w:spacing w:val="-4"/>
          <w:sz w:val="32"/>
          <w:szCs w:val="32"/>
          <w:highlight w:val="none"/>
          <w:lang w:val="en-US" w:eastAsia="zh-CN"/>
        </w:rPr>
        <w:t>2023年通过本部门预算支出，确保了</w:t>
      </w:r>
      <w:r>
        <w:rPr>
          <w:rStyle w:val="9"/>
          <w:rFonts w:hint="eastAsia" w:ascii="仿宋" w:hAnsi="仿宋" w:eastAsia="仿宋" w:cs="仿宋"/>
          <w:b w:val="0"/>
          <w:bCs/>
          <w:color w:val="auto"/>
          <w:spacing w:val="-4"/>
          <w:sz w:val="32"/>
          <w:szCs w:val="32"/>
          <w:highlight w:val="none"/>
          <w:lang w:val="en-US" w:eastAsia="zh-CN"/>
        </w:rPr>
        <w:t>9</w:t>
      </w:r>
      <w:r>
        <w:rPr>
          <w:rStyle w:val="9"/>
          <w:rFonts w:hint="eastAsia" w:ascii="仿宋" w:hAnsi="仿宋" w:eastAsia="仿宋" w:cs="仿宋"/>
          <w:b w:val="0"/>
          <w:bCs/>
          <w:color w:val="auto"/>
          <w:spacing w:val="-4"/>
          <w:sz w:val="32"/>
          <w:szCs w:val="32"/>
          <w:highlight w:val="none"/>
          <w:lang w:val="en-US" w:eastAsia="zh-CN"/>
        </w:rPr>
        <w:t>名在职人员的工资、津贴、补贴、社保、绩效、公积金等</w:t>
      </w:r>
      <w:r>
        <w:rPr>
          <w:rStyle w:val="9"/>
          <w:rFonts w:hint="eastAsia" w:ascii="仿宋" w:hAnsi="仿宋" w:eastAsia="仿宋" w:cs="仿宋"/>
          <w:b w:val="0"/>
          <w:bCs/>
          <w:color w:val="auto"/>
          <w:spacing w:val="-4"/>
          <w:sz w:val="32"/>
          <w:szCs w:val="32"/>
          <w:highlight w:val="none"/>
          <w:lang w:val="en-US" w:eastAsia="zh-CN"/>
        </w:rPr>
        <w:t>以及13名离退休人员的工资、医疗费等。</w:t>
      </w:r>
      <w:r>
        <w:rPr>
          <w:rStyle w:val="9"/>
          <w:rFonts w:hint="eastAsia" w:ascii="仿宋" w:hAnsi="仿宋" w:eastAsia="仿宋" w:cs="仿宋"/>
          <w:b w:val="0"/>
          <w:bCs/>
          <w:color w:val="auto"/>
          <w:spacing w:val="-4"/>
          <w:sz w:val="32"/>
          <w:szCs w:val="32"/>
          <w:highlight w:val="none"/>
          <w:lang w:val="en-US" w:eastAsia="zh-CN"/>
        </w:rPr>
        <w:t>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color w:val="auto"/>
          <w:sz w:val="32"/>
          <w:szCs w:val="32"/>
          <w:highlight w:val="none"/>
          <w:lang w:val="en-US" w:eastAsia="zh-CN"/>
        </w:rPr>
        <w:t>2023年我部门年初安排预算数为</w:t>
      </w:r>
      <w:r>
        <w:rPr>
          <w:rFonts w:hint="eastAsia" w:ascii="仿宋" w:hAnsi="仿宋" w:eastAsia="仿宋" w:cs="仿宋"/>
          <w:color w:val="auto"/>
          <w:sz w:val="32"/>
          <w:szCs w:val="32"/>
          <w:highlight w:val="none"/>
          <w:lang w:val="en-US" w:eastAsia="zh-CN"/>
        </w:rPr>
        <w:t>182.61</w:t>
      </w:r>
      <w:r>
        <w:rPr>
          <w:rFonts w:hint="eastAsia" w:ascii="仿宋" w:hAnsi="仿宋" w:eastAsia="仿宋" w:cs="仿宋"/>
          <w:color w:val="auto"/>
          <w:sz w:val="32"/>
          <w:szCs w:val="32"/>
          <w:highlight w:val="none"/>
          <w:lang w:val="en-US" w:eastAsia="zh-CN"/>
        </w:rPr>
        <w:t>万元，其中:上级安排</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lang w:val="en-US" w:eastAsia="zh-CN"/>
        </w:rPr>
        <w:t>万元,本级安排</w:t>
      </w:r>
      <w:r>
        <w:rPr>
          <w:rFonts w:hint="eastAsia" w:ascii="仿宋" w:hAnsi="仿宋" w:eastAsia="仿宋" w:cs="仿宋"/>
          <w:color w:val="auto"/>
          <w:sz w:val="32"/>
          <w:szCs w:val="32"/>
          <w:highlight w:val="none"/>
          <w:lang w:val="en-US" w:eastAsia="zh-CN"/>
        </w:rPr>
        <w:t>182.61</w:t>
      </w:r>
      <w:r>
        <w:rPr>
          <w:rFonts w:hint="eastAsia" w:ascii="仿宋" w:hAnsi="仿宋" w:eastAsia="仿宋" w:cs="仿宋"/>
          <w:color w:val="auto"/>
          <w:sz w:val="32"/>
          <w:szCs w:val="32"/>
          <w:highlight w:val="none"/>
          <w:lang w:val="en-US" w:eastAsia="zh-CN"/>
        </w:rPr>
        <w:t xml:space="preserve">万元，其他资金0万元。                  </w:t>
      </w: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w:t>
      </w:r>
      <w:r>
        <w:rPr>
          <w:rFonts w:hint="eastAsia" w:ascii="仿宋" w:hAnsi="仿宋" w:eastAsia="仿宋" w:cs="仿宋"/>
          <w:b w:val="0"/>
          <w:bCs/>
          <w:color w:val="auto"/>
          <w:sz w:val="32"/>
          <w:szCs w:val="32"/>
          <w:highlight w:val="none"/>
          <w:lang w:val="en-US" w:eastAsia="zh-CN"/>
        </w:rPr>
        <w:t>182.61</w:t>
      </w:r>
      <w:r>
        <w:rPr>
          <w:rFonts w:hint="eastAsia" w:ascii="仿宋" w:hAnsi="仿宋" w:eastAsia="仿宋" w:cs="仿宋"/>
          <w:b w:val="0"/>
          <w:bCs/>
          <w:color w:val="auto"/>
          <w:sz w:val="32"/>
          <w:szCs w:val="32"/>
          <w:highlight w:val="none"/>
          <w:lang w:val="en-US" w:eastAsia="zh-CN"/>
        </w:rPr>
        <w:t>万元，年中调整数-7.82万元，调整后全年预算数</w:t>
      </w:r>
      <w:r>
        <w:rPr>
          <w:rFonts w:hint="eastAsia" w:ascii="仿宋" w:hAnsi="仿宋" w:eastAsia="仿宋" w:cs="仿宋"/>
          <w:b w:val="0"/>
          <w:bCs/>
          <w:color w:val="auto"/>
          <w:sz w:val="32"/>
          <w:szCs w:val="32"/>
          <w:highlight w:val="none"/>
          <w:lang w:val="en-US" w:eastAsia="zh-CN"/>
        </w:rPr>
        <w:t>174.79</w:t>
      </w:r>
      <w:r>
        <w:rPr>
          <w:rFonts w:hint="eastAsia" w:ascii="仿宋" w:hAnsi="仿宋" w:eastAsia="仿宋" w:cs="仿宋"/>
          <w:b w:val="0"/>
          <w:bCs/>
          <w:color w:val="auto"/>
          <w:sz w:val="32"/>
          <w:szCs w:val="32"/>
          <w:highlight w:val="none"/>
          <w:lang w:val="en-US" w:eastAsia="zh-CN"/>
        </w:rPr>
        <w:t>万元，预算调整率</w:t>
      </w:r>
      <w:r>
        <w:rPr>
          <w:rFonts w:hint="eastAsia" w:ascii="仿宋" w:hAnsi="仿宋" w:eastAsia="仿宋" w:cs="仿宋"/>
          <w:b w:val="0"/>
          <w:bCs/>
          <w:color w:val="auto"/>
          <w:sz w:val="32"/>
          <w:szCs w:val="32"/>
          <w:highlight w:val="none"/>
          <w:lang w:val="en-US" w:eastAsia="zh-CN"/>
        </w:rPr>
        <w:t>4.28%</w:t>
      </w:r>
      <w:r>
        <w:rPr>
          <w:rFonts w:hint="eastAsia" w:ascii="仿宋" w:hAnsi="仿宋" w:eastAsia="仿宋" w:cs="仿宋"/>
          <w:b w:val="0"/>
          <w:bCs/>
          <w:color w:val="auto"/>
          <w:sz w:val="32"/>
          <w:szCs w:val="32"/>
          <w:highlight w:val="none"/>
          <w:lang w:val="en-US" w:eastAsia="zh-CN"/>
        </w:rPr>
        <w:t>。</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w:t>
      </w:r>
      <w:r>
        <w:rPr>
          <w:rFonts w:hint="eastAsia" w:ascii="仿宋" w:hAnsi="仿宋" w:eastAsia="仿宋" w:cs="仿宋"/>
          <w:color w:val="auto"/>
          <w:kern w:val="2"/>
          <w:sz w:val="32"/>
          <w:szCs w:val="32"/>
          <w:highlight w:val="none"/>
          <w:lang w:val="en-US" w:eastAsia="zh-CN" w:bidi="ar-SA"/>
        </w:rPr>
        <w:t>174.79</w:t>
      </w:r>
      <w:r>
        <w:rPr>
          <w:rFonts w:hint="eastAsia" w:ascii="仿宋" w:hAnsi="仿宋" w:eastAsia="仿宋" w:cs="仿宋"/>
          <w:color w:val="auto"/>
          <w:kern w:val="2"/>
          <w:sz w:val="32"/>
          <w:szCs w:val="32"/>
          <w:highlight w:val="none"/>
          <w:lang w:val="en-US" w:eastAsia="zh-CN" w:bidi="ar-SA"/>
        </w:rPr>
        <w:t>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168.56</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w:t>
      </w:r>
      <w:r>
        <w:rPr>
          <w:rFonts w:hint="eastAsia" w:ascii="仿宋" w:hAnsi="仿宋" w:eastAsia="仿宋" w:cs="仿宋"/>
          <w:color w:val="auto"/>
          <w:sz w:val="32"/>
          <w:szCs w:val="32"/>
          <w:highlight w:val="none"/>
          <w:lang w:val="en-US" w:eastAsia="zh-CN"/>
        </w:rPr>
        <w:t>办公费、差旅费、维修（护）费、福利费、</w:t>
      </w:r>
      <w:r>
        <w:rPr>
          <w:rFonts w:hint="eastAsia" w:ascii="仿宋" w:hAnsi="仿宋" w:eastAsia="仿宋" w:cs="仿宋"/>
          <w:color w:val="auto"/>
          <w:kern w:val="2"/>
          <w:sz w:val="32"/>
          <w:szCs w:val="32"/>
          <w:highlight w:val="none"/>
          <w:lang w:val="en-US" w:eastAsia="zh-CN" w:bidi="ar-SA"/>
        </w:rPr>
        <w:t>退休费，抚恤金，生活补助，其他个人补助支出等</w:t>
      </w:r>
      <w:r>
        <w:rPr>
          <w:rFonts w:hint="eastAsia" w:ascii="仿宋" w:hAnsi="仿宋" w:eastAsia="仿宋" w:cs="仿宋"/>
          <w:color w:val="auto"/>
          <w:kern w:val="2"/>
          <w:sz w:val="32"/>
          <w:szCs w:val="32"/>
          <w:highlight w:val="none"/>
          <w:lang w:val="en-US" w:eastAsia="zh-CN" w:bidi="ar-SA"/>
        </w:rPr>
        <w:t>。</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6.23</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部门专项-妇女工作专项项目2.23万元、2022年妇女儿童工作项目3万元、2022年妇女儿童工作项目1万元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w:t>
      </w:r>
      <w:r>
        <w:rPr>
          <w:rFonts w:hint="eastAsia" w:ascii="仿宋" w:hAnsi="仿宋" w:eastAsia="仿宋" w:cs="仿宋"/>
          <w:b w:val="0"/>
          <w:bCs/>
          <w:color w:val="auto"/>
          <w:sz w:val="32"/>
          <w:szCs w:val="32"/>
          <w:highlight w:val="none"/>
          <w:lang w:val="en-US" w:eastAsia="zh-CN"/>
        </w:rPr>
        <w:t>178.61</w:t>
      </w:r>
      <w:r>
        <w:rPr>
          <w:rFonts w:hint="eastAsia" w:ascii="仿宋" w:hAnsi="仿宋" w:eastAsia="仿宋" w:cs="仿宋"/>
          <w:b w:val="0"/>
          <w:bCs/>
          <w:color w:val="auto"/>
          <w:sz w:val="32"/>
          <w:szCs w:val="32"/>
          <w:highlight w:val="none"/>
          <w:lang w:val="en-US" w:eastAsia="zh-CN"/>
        </w:rPr>
        <w:t>万元，全年预算数</w:t>
      </w:r>
      <w:r>
        <w:rPr>
          <w:rFonts w:hint="eastAsia" w:ascii="仿宋" w:hAnsi="仿宋" w:eastAsia="仿宋" w:cs="仿宋"/>
          <w:b w:val="0"/>
          <w:bCs/>
          <w:color w:val="auto"/>
          <w:sz w:val="32"/>
          <w:szCs w:val="32"/>
          <w:highlight w:val="none"/>
          <w:lang w:val="en-US" w:eastAsia="zh-CN"/>
        </w:rPr>
        <w:t>168.56</w:t>
      </w:r>
      <w:r>
        <w:rPr>
          <w:rFonts w:hint="eastAsia" w:ascii="仿宋" w:hAnsi="仿宋" w:eastAsia="仿宋" w:cs="仿宋"/>
          <w:b w:val="0"/>
          <w:bCs/>
          <w:color w:val="auto"/>
          <w:sz w:val="32"/>
          <w:szCs w:val="32"/>
          <w:highlight w:val="none"/>
          <w:lang w:val="en-US" w:eastAsia="zh-CN"/>
        </w:rPr>
        <w:t>万元，全年实际支出数</w:t>
      </w:r>
      <w:r>
        <w:rPr>
          <w:rFonts w:hint="eastAsia" w:ascii="仿宋" w:hAnsi="仿宋" w:eastAsia="仿宋" w:cs="仿宋"/>
          <w:b w:val="0"/>
          <w:bCs/>
          <w:color w:val="auto"/>
          <w:sz w:val="32"/>
          <w:szCs w:val="32"/>
          <w:highlight w:val="none"/>
          <w:lang w:val="en-US" w:eastAsia="zh-CN"/>
        </w:rPr>
        <w:t>168.56</w:t>
      </w:r>
      <w:r>
        <w:rPr>
          <w:rFonts w:hint="eastAsia" w:ascii="仿宋" w:hAnsi="仿宋" w:eastAsia="仿宋" w:cs="仿宋"/>
          <w:b w:val="0"/>
          <w:bCs/>
          <w:color w:val="auto"/>
          <w:sz w:val="32"/>
          <w:szCs w:val="32"/>
          <w:highlight w:val="none"/>
          <w:lang w:val="en-US" w:eastAsia="zh-CN"/>
        </w:rPr>
        <w:t>万元，其中：人员经费</w:t>
      </w:r>
      <w:r>
        <w:rPr>
          <w:rFonts w:hint="eastAsia" w:ascii="仿宋" w:hAnsi="仿宋" w:eastAsia="仿宋" w:cs="仿宋"/>
          <w:b w:val="0"/>
          <w:bCs/>
          <w:color w:val="auto"/>
          <w:sz w:val="32"/>
          <w:szCs w:val="32"/>
          <w:highlight w:val="none"/>
          <w:lang w:val="en-US" w:eastAsia="zh-CN"/>
        </w:rPr>
        <w:t>166.31</w:t>
      </w:r>
      <w:r>
        <w:rPr>
          <w:rFonts w:hint="eastAsia" w:ascii="仿宋" w:hAnsi="仿宋" w:eastAsia="仿宋" w:cs="仿宋"/>
          <w:b w:val="0"/>
          <w:bCs/>
          <w:color w:val="auto"/>
          <w:sz w:val="32"/>
          <w:szCs w:val="32"/>
          <w:highlight w:val="none"/>
          <w:lang w:val="en-US" w:eastAsia="zh-CN"/>
        </w:rPr>
        <w:t>万元，公用经费</w:t>
      </w:r>
      <w:r>
        <w:rPr>
          <w:rFonts w:hint="eastAsia" w:ascii="仿宋" w:hAnsi="仿宋" w:eastAsia="仿宋" w:cs="仿宋"/>
          <w:b w:val="0"/>
          <w:bCs/>
          <w:color w:val="auto"/>
          <w:sz w:val="32"/>
          <w:szCs w:val="32"/>
          <w:highlight w:val="none"/>
          <w:lang w:val="en-US" w:eastAsia="zh-CN"/>
        </w:rPr>
        <w:t>2.25</w:t>
      </w:r>
      <w:r>
        <w:rPr>
          <w:rFonts w:hint="eastAsia" w:ascii="仿宋" w:hAnsi="仿宋" w:eastAsia="仿宋" w:cs="仿宋"/>
          <w:b w:val="0"/>
          <w:bCs/>
          <w:color w:val="auto"/>
          <w:sz w:val="32"/>
          <w:szCs w:val="32"/>
          <w:highlight w:val="none"/>
          <w:lang w:val="en-US" w:eastAsia="zh-CN"/>
        </w:rPr>
        <w:t>万元。全年预算执行率</w:t>
      </w:r>
      <w:r>
        <w:rPr>
          <w:rFonts w:hint="eastAsia" w:ascii="仿宋" w:hAnsi="仿宋" w:eastAsia="仿宋" w:cs="仿宋"/>
          <w:b w:val="0"/>
          <w:bCs/>
          <w:color w:val="auto"/>
          <w:sz w:val="32"/>
          <w:szCs w:val="32"/>
          <w:highlight w:val="none"/>
          <w:lang w:val="en-US" w:eastAsia="zh-CN"/>
        </w:rPr>
        <w:t>100.00%</w:t>
      </w:r>
      <w:r>
        <w:rPr>
          <w:rFonts w:hint="eastAsia" w:ascii="仿宋" w:hAnsi="仿宋" w:eastAsia="仿宋" w:cs="仿宋"/>
          <w:b w:val="0"/>
          <w:bCs/>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w:t>
      </w:r>
      <w:r>
        <w:rPr>
          <w:rFonts w:hint="eastAsia" w:ascii="仿宋" w:hAnsi="仿宋" w:eastAsia="仿宋" w:cs="仿宋"/>
          <w:b w:val="0"/>
          <w:bCs/>
          <w:color w:val="auto"/>
          <w:sz w:val="32"/>
          <w:szCs w:val="32"/>
          <w:highlight w:val="none"/>
          <w:lang w:val="en-US" w:eastAsia="zh-CN"/>
        </w:rPr>
        <w:t>办公费、邮电费、差旅费、维修（护）费、劳务费、车辆运行维护费等。公务用车运行维护费主要用于单位车辆加油、维修及购买车辆保险。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w:t>
      </w:r>
      <w:r>
        <w:rPr>
          <w:rFonts w:hint="eastAsia" w:ascii="仿宋" w:hAnsi="仿宋" w:eastAsia="仿宋" w:cs="仿宋"/>
          <w:color w:val="auto"/>
          <w:kern w:val="2"/>
          <w:sz w:val="32"/>
          <w:szCs w:val="32"/>
          <w:highlight w:val="none"/>
          <w:lang w:val="en-US" w:eastAsia="zh-CN"/>
        </w:rPr>
        <w:t>3</w:t>
      </w:r>
      <w:r>
        <w:rPr>
          <w:rFonts w:hint="eastAsia" w:ascii="仿宋" w:hAnsi="仿宋" w:eastAsia="仿宋" w:cs="仿宋"/>
          <w:color w:val="auto"/>
          <w:kern w:val="2"/>
          <w:sz w:val="32"/>
          <w:szCs w:val="32"/>
          <w:highlight w:val="none"/>
          <w:lang w:val="en-US" w:eastAsia="zh-CN"/>
        </w:rPr>
        <w:t>个项目，全年预算数为</w:t>
      </w:r>
      <w:r>
        <w:rPr>
          <w:rFonts w:hint="eastAsia" w:ascii="仿宋" w:hAnsi="仿宋" w:eastAsia="仿宋" w:cs="仿宋"/>
          <w:color w:val="auto"/>
          <w:kern w:val="2"/>
          <w:sz w:val="32"/>
          <w:szCs w:val="32"/>
          <w:highlight w:val="none"/>
          <w:lang w:val="en-US" w:eastAsia="zh-CN"/>
        </w:rPr>
        <w:t>6.23</w:t>
      </w:r>
      <w:r>
        <w:rPr>
          <w:rFonts w:hint="eastAsia" w:ascii="仿宋" w:hAnsi="仿宋" w:eastAsia="仿宋" w:cs="仿宋"/>
          <w:color w:val="auto"/>
          <w:kern w:val="2"/>
          <w:sz w:val="32"/>
          <w:szCs w:val="32"/>
          <w:highlight w:val="none"/>
          <w:lang w:val="en-US" w:eastAsia="zh-CN"/>
        </w:rPr>
        <w:t>万元，全年实际支出数</w:t>
      </w:r>
      <w:r>
        <w:rPr>
          <w:rFonts w:hint="eastAsia" w:ascii="仿宋" w:hAnsi="仿宋" w:eastAsia="仿宋" w:cs="仿宋"/>
          <w:color w:val="auto"/>
          <w:kern w:val="2"/>
          <w:sz w:val="32"/>
          <w:szCs w:val="32"/>
          <w:highlight w:val="none"/>
          <w:lang w:val="en-US" w:eastAsia="zh-CN"/>
        </w:rPr>
        <w:t>6.23</w:t>
      </w:r>
      <w:r>
        <w:rPr>
          <w:rFonts w:hint="eastAsia" w:ascii="仿宋" w:hAnsi="仿宋" w:eastAsia="仿宋" w:cs="仿宋"/>
          <w:color w:val="auto"/>
          <w:kern w:val="2"/>
          <w:sz w:val="32"/>
          <w:szCs w:val="32"/>
          <w:highlight w:val="none"/>
          <w:lang w:val="en-US" w:eastAsia="zh-CN"/>
        </w:rPr>
        <w:t>万元，执行率</w:t>
      </w:r>
      <w:r>
        <w:rPr>
          <w:rFonts w:hint="eastAsia" w:ascii="仿宋" w:hAnsi="仿宋" w:eastAsia="仿宋" w:cs="仿宋"/>
          <w:color w:val="auto"/>
          <w:kern w:val="2"/>
          <w:sz w:val="32"/>
          <w:szCs w:val="32"/>
          <w:highlight w:val="none"/>
          <w:lang w:val="en-US" w:eastAsia="zh-CN"/>
        </w:rPr>
        <w:t>100.00</w:t>
      </w:r>
      <w:r>
        <w:rPr>
          <w:rFonts w:hint="eastAsia" w:ascii="仿宋" w:hAnsi="仿宋" w:eastAsia="仿宋" w:cs="仿宋"/>
          <w:color w:val="auto"/>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其中:上级安排项目2</w:t>
      </w:r>
      <w:r>
        <w:rPr>
          <w:rFonts w:hint="eastAsia" w:ascii="仿宋" w:hAnsi="仿宋" w:eastAsia="仿宋" w:cs="仿宋"/>
          <w:color w:val="auto"/>
          <w:kern w:val="2"/>
          <w:sz w:val="32"/>
          <w:szCs w:val="32"/>
          <w:highlight w:val="none"/>
          <w:lang w:val="en-US" w:eastAsia="zh-CN"/>
        </w:rPr>
        <w:t>个4</w:t>
      </w:r>
      <w:r>
        <w:rPr>
          <w:rFonts w:hint="eastAsia" w:ascii="仿宋" w:hAnsi="仿宋" w:eastAsia="仿宋" w:cs="仿宋"/>
          <w:color w:val="auto"/>
          <w:kern w:val="2"/>
          <w:sz w:val="32"/>
          <w:szCs w:val="32"/>
          <w:highlight w:val="none"/>
          <w:lang w:val="en-US" w:eastAsia="zh-CN"/>
        </w:rPr>
        <w:t>万元，本级安排项目1</w:t>
      </w:r>
      <w:r>
        <w:rPr>
          <w:rFonts w:hint="eastAsia" w:ascii="仿宋" w:hAnsi="仿宋" w:eastAsia="仿宋" w:cs="仿宋"/>
          <w:color w:val="auto"/>
          <w:kern w:val="2"/>
          <w:sz w:val="32"/>
          <w:szCs w:val="32"/>
          <w:highlight w:val="none"/>
          <w:lang w:val="en-US" w:eastAsia="zh-CN"/>
        </w:rPr>
        <w:t>个2.23</w:t>
      </w:r>
      <w:r>
        <w:rPr>
          <w:rFonts w:hint="eastAsia" w:ascii="仿宋" w:hAnsi="仿宋" w:eastAsia="仿宋" w:cs="仿宋"/>
          <w:color w:val="auto"/>
          <w:kern w:val="2"/>
          <w:sz w:val="32"/>
          <w:szCs w:val="32"/>
          <w:highlight w:val="none"/>
          <w:lang w:val="en-US" w:eastAsia="zh-CN"/>
        </w:rPr>
        <w:t>万元,其他资金安排项目</w:t>
      </w:r>
      <w:r>
        <w:rPr>
          <w:rFonts w:hint="eastAsia" w:ascii="仿宋" w:hAnsi="仿宋" w:eastAsia="仿宋" w:cs="仿宋"/>
          <w:color w:val="auto"/>
          <w:kern w:val="2"/>
          <w:sz w:val="32"/>
          <w:szCs w:val="32"/>
          <w:highlight w:val="none"/>
          <w:lang w:val="en-US" w:eastAsia="zh-CN"/>
        </w:rPr>
        <w:t>0个0.00</w:t>
      </w:r>
      <w:r>
        <w:rPr>
          <w:rFonts w:hint="eastAsia" w:ascii="仿宋" w:hAnsi="仿宋" w:eastAsia="仿宋" w:cs="仿宋"/>
          <w:color w:val="auto"/>
          <w:kern w:val="2"/>
          <w:sz w:val="32"/>
          <w:szCs w:val="32"/>
          <w:highlight w:val="none"/>
          <w:lang w:val="en-US" w:eastAsia="zh-CN"/>
        </w:rPr>
        <w:t>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9"/>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我单位将部门单位整体绩效目标细化分解为具体的绩效指标，一级指标共1条，二级指标共1条，三级指标共7条，其中量化指标条数共7条，所有绩效指标均通过清晰、可衡量的指标值予以体现。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数量指标1：基层妇联干部培训次数,预期指标值为：&gt;=3期；监控节点完成值：=2期；评价实际完成值：=3期；指标完成率：100.00%；成效分析：</w:t>
      </w:r>
      <w:r>
        <w:rPr>
          <w:rStyle w:val="9"/>
          <w:rFonts w:hint="eastAsia" w:ascii="仿宋" w:hAnsi="仿宋" w:eastAsia="仿宋" w:cs="仿宋"/>
          <w:b w:val="0"/>
          <w:bCs/>
          <w:color w:val="auto"/>
          <w:spacing w:val="-4"/>
          <w:sz w:val="32"/>
          <w:szCs w:val="32"/>
          <w:highlight w:val="none"/>
          <w:lang w:val="en-US" w:eastAsia="zh-CN"/>
        </w:rPr>
        <w:t>通过单位正常运转</w:t>
      </w:r>
      <w:r>
        <w:rPr>
          <w:rStyle w:val="9"/>
          <w:rFonts w:hint="eastAsia" w:ascii="仿宋" w:hAnsi="仿宋" w:eastAsia="仿宋" w:cs="仿宋"/>
          <w:b w:val="0"/>
          <w:color w:val="auto"/>
          <w:spacing w:val="-4"/>
          <w:sz w:val="32"/>
          <w:szCs w:val="32"/>
          <w:highlight w:val="none"/>
          <w:lang w:val="en-US" w:eastAsia="zh-CN"/>
        </w:rPr>
        <w:t>，提高了整体业务水平。</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数量指标2：打造美丽庭院户数,预期指标值为：&gt;=320户；监控节点完成值：=280户；评价实际完成值：=369户；指标完成率：100.00%；成效分析：通过单位正常运转，提高了农村人居环境整治提升。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数量指标3：丰富妇女儿童文化活动场次，预期指标值为：&gt;=5场；监控节点完成值：=3场；评价实际完成值：=5场；指标完成率：100.00%；成效分析：通过单位正常运转，丰富了妇女儿童的文化活动。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数量指标4：打造妇女之家建设数量，预期指标值为：&gt;=8家；监控节点完成值：=6家；评价实际完成值：=15家；指标完成率：100.00%；成效分析：通过单位正常运转，为基层妇女提供活动阵地。</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数量指标5：实施“农村妇女素质提升计划”，预期指标值为：&gt;=600人；监控节点完成值：=360人；评价实际完成值：=600人；指标完成率：100.00%；成效分析：通过单位正常运转，有效提高农村妇女素质。</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数量指标6：慰问困难妇女儿童人数，预期指标值为：&gt;=200人；监控节点完成值：=120人；评价实际完成值：=200人；指标完成率：100.00%；成效分析：通过单位正常运转，使困难妇女儿童感受到了社会的关爱。</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数量指标7：接访妇女儿童案件受理率，预期指标值为：&gt;=90%；监控节点完成值：=100%；评价实际完成值：=100%；指标完成率：100.00%；成效分析：通过单位正常运转，使妇女儿童权益得到了充分保障。</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9"/>
          <w:rFonts w:hint="eastAsia" w:ascii="黑体" w:hAnsi="黑体" w:eastAsia="黑体" w:cs="黑体"/>
          <w:b w:val="0"/>
          <w:bCs/>
          <w:color w:val="auto"/>
          <w:spacing w:val="-4"/>
          <w:sz w:val="32"/>
          <w:szCs w:val="32"/>
          <w:highlight w:val="none"/>
          <w:lang w:val="en-US" w:eastAsia="zh-CN"/>
        </w:rPr>
      </w:pPr>
      <w:r>
        <w:rPr>
          <w:rStyle w:val="9"/>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color w:val="auto"/>
          <w:spacing w:val="-4"/>
          <w:sz w:val="32"/>
          <w:szCs w:val="32"/>
          <w:highlight w:val="none"/>
          <w:lang w:val="en-US" w:eastAsia="zh-CN"/>
        </w:rPr>
      </w:pPr>
      <w:r>
        <w:rPr>
          <w:rStyle w:val="9"/>
          <w:rFonts w:hint="eastAsia" w:ascii="仿宋" w:hAnsi="仿宋" w:eastAsia="仿宋" w:cs="仿宋"/>
          <w:b w:val="0"/>
          <w:color w:val="auto"/>
          <w:spacing w:val="-4"/>
          <w:sz w:val="32"/>
          <w:szCs w:val="32"/>
          <w:highlight w:val="none"/>
          <w:lang w:val="en-US" w:eastAsia="zh-CN"/>
        </w:rPr>
        <w:t>无此项指标。</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ascii="黑体" w:hAnsi="黑体" w:eastAsia="黑体"/>
          <w:b w:val="0"/>
          <w:bCs w:val="0"/>
          <w:color w:val="auto"/>
          <w:spacing w:val="-4"/>
          <w:sz w:val="32"/>
          <w:szCs w:val="32"/>
          <w:highlight w:val="none"/>
        </w:rPr>
      </w:pPr>
      <w:r>
        <w:rPr>
          <w:rStyle w:val="9"/>
          <w:rFonts w:hint="eastAsia" w:ascii="黑体" w:hAnsi="黑体" w:eastAsia="黑体"/>
          <w:b w:val="0"/>
          <w:bCs w:val="0"/>
          <w:color w:val="auto"/>
          <w:spacing w:val="-4"/>
          <w:sz w:val="32"/>
          <w:szCs w:val="32"/>
          <w:highlight w:val="none"/>
          <w:lang w:val="en-US" w:eastAsia="zh-CN"/>
        </w:rPr>
        <w:t>四、</w:t>
      </w:r>
      <w:r>
        <w:rPr>
          <w:rStyle w:val="9"/>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9"/>
          <w:rFonts w:hint="eastAsia" w:ascii="仿宋" w:hAnsi="仿宋" w:eastAsia="仿宋" w:cs="仿宋"/>
          <w:b w:val="0"/>
          <w:bCs/>
          <w:color w:val="auto"/>
          <w:spacing w:val="-4"/>
          <w:sz w:val="32"/>
          <w:szCs w:val="32"/>
          <w:highlight w:val="none"/>
          <w:lang w:val="en-US" w:eastAsia="zh-CN"/>
        </w:rPr>
      </w:pPr>
      <w:r>
        <w:rPr>
          <w:rStyle w:val="9"/>
          <w:rFonts w:hint="eastAsia" w:ascii="仿宋" w:hAnsi="仿宋" w:eastAsia="仿宋" w:cs="仿宋"/>
          <w:b w:val="0"/>
          <w:bCs/>
          <w:color w:val="auto"/>
          <w:spacing w:val="-4"/>
          <w:sz w:val="32"/>
          <w:szCs w:val="32"/>
          <w:highlight w:val="none"/>
          <w:lang w:val="en-US" w:eastAsia="zh-CN"/>
        </w:rPr>
        <w:t>2023年度部门整体支出绩效自评综合得分</w:t>
      </w:r>
      <w:r>
        <w:rPr>
          <w:rStyle w:val="9"/>
          <w:rFonts w:hint="eastAsia" w:ascii="仿宋" w:hAnsi="仿宋" w:eastAsia="仿宋" w:cs="仿宋"/>
          <w:b w:val="0"/>
          <w:bCs/>
          <w:color w:val="auto"/>
          <w:spacing w:val="-4"/>
          <w:sz w:val="32"/>
          <w:szCs w:val="32"/>
          <w:highlight w:val="none"/>
          <w:lang w:val="en-US" w:eastAsia="zh-CN"/>
        </w:rPr>
        <w:t>100</w:t>
      </w:r>
      <w:r>
        <w:rPr>
          <w:rStyle w:val="9"/>
          <w:rFonts w:hint="eastAsia" w:ascii="仿宋" w:hAnsi="仿宋" w:eastAsia="仿宋" w:cs="仿宋"/>
          <w:b w:val="0"/>
          <w:bCs/>
          <w:color w:val="auto"/>
          <w:spacing w:val="-4"/>
          <w:sz w:val="32"/>
          <w:szCs w:val="32"/>
          <w:highlight w:val="none"/>
          <w:lang w:val="en-US" w:eastAsia="zh-CN"/>
        </w:rPr>
        <w:t>分，评价结果为</w:t>
      </w:r>
      <w:r>
        <w:rPr>
          <w:rStyle w:val="9"/>
          <w:rFonts w:hint="eastAsia" w:ascii="仿宋" w:hAnsi="仿宋" w:eastAsia="仿宋" w:cs="仿宋"/>
          <w:b w:val="0"/>
          <w:bCs/>
          <w:color w:val="auto"/>
          <w:spacing w:val="-4"/>
          <w:sz w:val="32"/>
          <w:szCs w:val="32"/>
          <w:highlight w:val="none"/>
          <w:lang w:val="en-US" w:eastAsia="zh-CN"/>
        </w:rPr>
        <w:t>“优”</w:t>
      </w:r>
      <w:r>
        <w:rPr>
          <w:rStyle w:val="9"/>
          <w:rFonts w:hint="eastAsia" w:ascii="仿宋" w:hAnsi="仿宋" w:eastAsia="仿宋" w:cs="仿宋"/>
          <w:b w:val="0"/>
          <w:bCs/>
          <w:color w:val="auto"/>
          <w:spacing w:val="-4"/>
          <w:sz w:val="32"/>
          <w:szCs w:val="32"/>
          <w:highlight w:val="none"/>
          <w:lang w:val="en-US" w:eastAsia="zh-CN"/>
        </w:rPr>
        <w:t>。</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五、</w:t>
      </w:r>
      <w:r>
        <w:rPr>
          <w:rStyle w:val="9"/>
          <w:rFonts w:hint="eastAsia" w:ascii="黑体" w:hAnsi="黑体" w:eastAsia="黑体" w:cs="黑体"/>
          <w:b w:val="0"/>
          <w:bCs w:val="0"/>
          <w:color w:val="auto"/>
          <w:spacing w:val="-4"/>
          <w:sz w:val="32"/>
          <w:szCs w:val="32"/>
          <w:highlight w:val="none"/>
        </w:rPr>
        <w:t>存在的主要问题</w:t>
      </w:r>
      <w:r>
        <w:rPr>
          <w:rStyle w:val="9"/>
          <w:rFonts w:hint="eastAsia" w:ascii="黑体" w:hAnsi="黑体" w:eastAsia="黑体" w:cs="黑体"/>
          <w:b w:val="0"/>
          <w:bCs w:val="0"/>
          <w:color w:val="auto"/>
          <w:spacing w:val="-4"/>
          <w:sz w:val="32"/>
          <w:szCs w:val="32"/>
          <w:highlight w:val="none"/>
          <w:lang w:eastAsia="zh-CN"/>
        </w:rPr>
        <w:t>及原因分析</w:t>
      </w:r>
    </w:p>
    <w:p>
      <w:pPr>
        <w:spacing w:line="600" w:lineRule="exact"/>
        <w:ind w:firstLine="624" w:firstLineChars="200"/>
        <w:rPr>
          <w:rStyle w:val="9"/>
          <w:rFonts w:ascii="仿宋" w:hAnsi="仿宋" w:eastAsia="仿宋" w:cs="仿宋"/>
          <w:b w:val="0"/>
          <w:color w:val="auto"/>
          <w:spacing w:val="-4"/>
          <w:sz w:val="32"/>
          <w:szCs w:val="32"/>
          <w:highlight w:val="none"/>
        </w:rPr>
      </w:pPr>
      <w:r>
        <w:rPr>
          <w:rStyle w:val="9"/>
          <w:rFonts w:hint="eastAsia" w:ascii="仿宋" w:hAnsi="仿宋" w:eastAsia="仿宋" w:cs="仿宋"/>
          <w:b w:val="0"/>
          <w:color w:val="auto"/>
          <w:spacing w:val="-4"/>
          <w:sz w:val="32"/>
          <w:szCs w:val="32"/>
          <w:highlight w:val="none"/>
        </w:rPr>
        <w:t>（</w:t>
      </w:r>
      <w:r>
        <w:rPr>
          <w:rStyle w:val="9"/>
          <w:rFonts w:ascii="仿宋" w:hAnsi="仿宋" w:eastAsia="仿宋" w:cs="仿宋"/>
          <w:b w:val="0"/>
          <w:color w:val="auto"/>
          <w:spacing w:val="-4"/>
          <w:sz w:val="32"/>
          <w:szCs w:val="32"/>
          <w:highlight w:val="none"/>
        </w:rPr>
        <w:t>1</w:t>
      </w:r>
      <w:r>
        <w:rPr>
          <w:rStyle w:val="9"/>
          <w:rFonts w:hint="eastAsia" w:ascii="仿宋" w:hAnsi="仿宋" w:eastAsia="仿宋" w:cs="仿宋"/>
          <w:b w:val="0"/>
          <w:color w:val="auto"/>
          <w:spacing w:val="-4"/>
          <w:sz w:val="32"/>
          <w:szCs w:val="32"/>
          <w:highlight w:val="none"/>
        </w:rPr>
        <w:t>）预算绩效观念不深入。</w:t>
      </w:r>
    </w:p>
    <w:p>
      <w:pPr>
        <w:spacing w:line="600" w:lineRule="exact"/>
        <w:ind w:firstLine="624" w:firstLineChars="200"/>
        <w:rPr>
          <w:rStyle w:val="9"/>
          <w:rFonts w:ascii="仿宋" w:hAnsi="仿宋" w:eastAsia="仿宋" w:cs="仿宋"/>
          <w:b w:val="0"/>
          <w:color w:val="auto"/>
          <w:spacing w:val="-4"/>
          <w:sz w:val="32"/>
          <w:szCs w:val="32"/>
          <w:highlight w:val="none"/>
        </w:rPr>
      </w:pPr>
      <w:r>
        <w:rPr>
          <w:rStyle w:val="9"/>
          <w:rFonts w:hint="eastAsia" w:ascii="仿宋" w:hAnsi="仿宋" w:eastAsia="仿宋" w:cs="仿宋"/>
          <w:b w:val="0"/>
          <w:color w:val="auto"/>
          <w:spacing w:val="-4"/>
          <w:sz w:val="32"/>
          <w:szCs w:val="32"/>
          <w:highlight w:val="none"/>
        </w:rPr>
        <w:t>在日常绩效工作中存在着一定程度的“重分配、轻管理、重支出、轻绩效”的情况</w:t>
      </w:r>
      <w:bookmarkStart w:id="0" w:name="_GoBack"/>
      <w:bookmarkEnd w:id="0"/>
      <w:r>
        <w:rPr>
          <w:rStyle w:val="9"/>
          <w:rFonts w:hint="eastAsia" w:ascii="仿宋" w:hAnsi="仿宋" w:eastAsia="仿宋" w:cs="仿宋"/>
          <w:b w:val="0"/>
          <w:color w:val="auto"/>
          <w:spacing w:val="-4"/>
          <w:sz w:val="32"/>
          <w:szCs w:val="32"/>
          <w:highlight w:val="none"/>
        </w:rPr>
        <w:t>，造成该问题的主要原因是自身绩效理念较薄弱，单位绩效目标编制仍有缺失，需要进一步加强对资金绩效管理的重视程度。</w:t>
      </w:r>
    </w:p>
    <w:p>
      <w:pPr>
        <w:spacing w:line="600" w:lineRule="exact"/>
        <w:ind w:firstLine="624" w:firstLineChars="200"/>
        <w:rPr>
          <w:rStyle w:val="9"/>
          <w:rFonts w:ascii="仿宋" w:hAnsi="仿宋" w:eastAsia="仿宋" w:cs="仿宋"/>
          <w:b w:val="0"/>
          <w:color w:val="auto"/>
          <w:spacing w:val="-4"/>
          <w:sz w:val="32"/>
          <w:szCs w:val="32"/>
          <w:highlight w:val="none"/>
        </w:rPr>
      </w:pPr>
      <w:r>
        <w:rPr>
          <w:rStyle w:val="9"/>
          <w:rFonts w:hint="eastAsia" w:ascii="仿宋" w:hAnsi="仿宋" w:eastAsia="仿宋" w:cs="仿宋"/>
          <w:b w:val="0"/>
          <w:color w:val="auto"/>
          <w:spacing w:val="-4"/>
          <w:sz w:val="32"/>
          <w:szCs w:val="32"/>
          <w:highlight w:val="none"/>
        </w:rPr>
        <w:t>（</w:t>
      </w:r>
      <w:r>
        <w:rPr>
          <w:rStyle w:val="9"/>
          <w:rFonts w:ascii="仿宋" w:hAnsi="仿宋" w:eastAsia="仿宋" w:cs="仿宋"/>
          <w:b w:val="0"/>
          <w:color w:val="auto"/>
          <w:spacing w:val="-4"/>
          <w:sz w:val="32"/>
          <w:szCs w:val="32"/>
          <w:highlight w:val="none"/>
        </w:rPr>
        <w:t>2</w:t>
      </w:r>
      <w:r>
        <w:rPr>
          <w:rStyle w:val="9"/>
          <w:rFonts w:hint="eastAsia" w:ascii="仿宋" w:hAnsi="仿宋" w:eastAsia="仿宋" w:cs="仿宋"/>
          <w:b w:val="0"/>
          <w:color w:val="auto"/>
          <w:spacing w:val="-4"/>
          <w:sz w:val="32"/>
          <w:szCs w:val="32"/>
          <w:highlight w:val="none"/>
        </w:rPr>
        <w:t>）预算绩效规范管理有盲点。</w:t>
      </w:r>
    </w:p>
    <w:p>
      <w:pPr>
        <w:spacing w:line="600" w:lineRule="exact"/>
        <w:ind w:firstLine="624" w:firstLineChars="200"/>
        <w:rPr>
          <w:rStyle w:val="9"/>
          <w:rFonts w:ascii="仿宋" w:hAnsi="仿宋" w:eastAsia="仿宋" w:cs="仿宋"/>
          <w:b w:val="0"/>
          <w:color w:val="auto"/>
          <w:spacing w:val="-4"/>
          <w:sz w:val="32"/>
          <w:szCs w:val="32"/>
          <w:highlight w:val="none"/>
        </w:rPr>
      </w:pPr>
      <w:r>
        <w:rPr>
          <w:rStyle w:val="9"/>
          <w:rFonts w:hint="eastAsia" w:ascii="仿宋" w:hAnsi="仿宋" w:eastAsia="仿宋" w:cs="仿宋"/>
          <w:b w:val="0"/>
          <w:color w:val="auto"/>
          <w:spacing w:val="-4"/>
          <w:sz w:val="32"/>
          <w:szCs w:val="32"/>
          <w:highlight w:val="none"/>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六、</w:t>
      </w:r>
      <w:r>
        <w:rPr>
          <w:rStyle w:val="9"/>
          <w:rFonts w:hint="eastAsia" w:ascii="黑体" w:hAnsi="黑体" w:eastAsia="黑体" w:cs="黑体"/>
          <w:b w:val="0"/>
          <w:bCs w:val="0"/>
          <w:color w:val="auto"/>
          <w:spacing w:val="-4"/>
          <w:sz w:val="32"/>
          <w:szCs w:val="32"/>
          <w:highlight w:val="none"/>
        </w:rPr>
        <w:t>改进措施和建议</w:t>
      </w:r>
    </w:p>
    <w:p>
      <w:pPr>
        <w:spacing w:line="600" w:lineRule="exact"/>
        <w:ind w:firstLine="624" w:firstLineChars="200"/>
        <w:rPr>
          <w:rStyle w:val="9"/>
          <w:rFonts w:ascii="仿宋" w:hAnsi="仿宋" w:eastAsia="仿宋" w:cs="仿宋"/>
          <w:b w:val="0"/>
          <w:color w:val="auto"/>
          <w:spacing w:val="-4"/>
          <w:sz w:val="32"/>
          <w:szCs w:val="32"/>
          <w:highlight w:val="none"/>
        </w:rPr>
      </w:pPr>
      <w:r>
        <w:rPr>
          <w:rStyle w:val="9"/>
          <w:rFonts w:hint="eastAsia" w:ascii="仿宋" w:hAnsi="仿宋" w:eastAsia="仿宋" w:cs="仿宋"/>
          <w:b w:val="0"/>
          <w:color w:val="auto"/>
          <w:spacing w:val="-4"/>
          <w:sz w:val="32"/>
          <w:szCs w:val="32"/>
          <w:highlight w:val="none"/>
        </w:rPr>
        <w:t>一是建立健全的预算绩效管理体制，加强对预算绩效相关知识的了解和掌握，促进绩效管理工作向广度和深度延伸，切实提高部门预算收支管理水平；</w:t>
      </w:r>
    </w:p>
    <w:p>
      <w:pPr>
        <w:spacing w:line="600" w:lineRule="exact"/>
        <w:ind w:firstLine="624" w:firstLineChars="200"/>
        <w:rPr>
          <w:rStyle w:val="9"/>
          <w:rFonts w:ascii="仿宋" w:hAnsi="仿宋" w:eastAsia="仿宋" w:cs="仿宋"/>
          <w:b w:val="0"/>
          <w:color w:val="auto"/>
          <w:spacing w:val="-4"/>
          <w:sz w:val="32"/>
          <w:szCs w:val="32"/>
          <w:highlight w:val="none"/>
        </w:rPr>
      </w:pPr>
      <w:r>
        <w:rPr>
          <w:rStyle w:val="9"/>
          <w:rFonts w:hint="eastAsia" w:ascii="仿宋" w:hAnsi="仿宋" w:eastAsia="仿宋" w:cs="仿宋"/>
          <w:b w:val="0"/>
          <w:color w:val="auto"/>
          <w:spacing w:val="-4"/>
          <w:sz w:val="32"/>
          <w:szCs w:val="32"/>
          <w:highlight w:val="none"/>
        </w:rPr>
        <w:t>二是加强财务管理，严格财务审核，在费用报账支付时，按照预算规定费用项目和用途进行资金使用审核、列报支付、财务核算，杜绝超支现象发生。</w:t>
      </w: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9"/>
          <w:rFonts w:hint="eastAsia" w:ascii="黑体" w:hAnsi="黑体" w:eastAsia="黑体" w:cs="黑体"/>
          <w:b w:val="0"/>
          <w:bCs w:val="0"/>
          <w:color w:val="auto"/>
          <w:spacing w:val="-4"/>
          <w:sz w:val="32"/>
          <w:szCs w:val="32"/>
          <w:highlight w:val="none"/>
        </w:rPr>
      </w:pPr>
      <w:r>
        <w:rPr>
          <w:rStyle w:val="9"/>
          <w:rFonts w:hint="eastAsia" w:ascii="黑体" w:hAnsi="黑体" w:eastAsia="黑体" w:cs="黑体"/>
          <w:b w:val="0"/>
          <w:bCs w:val="0"/>
          <w:color w:val="auto"/>
          <w:spacing w:val="-4"/>
          <w:sz w:val="32"/>
          <w:szCs w:val="32"/>
          <w:highlight w:val="none"/>
          <w:lang w:val="en-US" w:eastAsia="zh-CN"/>
        </w:rPr>
        <w:t>七、</w:t>
      </w:r>
      <w:r>
        <w:rPr>
          <w:rStyle w:val="9"/>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7A6D71-8EDD-4349-9022-0D7E8F7C642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F9D6C5DE-AC52-4745-A54C-6008BDF58CFE}"/>
  </w:font>
  <w:font w:name="仿宋_GB2312">
    <w:panose1 w:val="02010609030101010101"/>
    <w:charset w:val="86"/>
    <w:family w:val="modern"/>
    <w:pitch w:val="default"/>
    <w:sig w:usb0="00000001" w:usb1="080E0000" w:usb2="00000000" w:usb3="00000000" w:csb0="00040000" w:csb1="00000000"/>
    <w:embedRegular r:id="rId3" w:fontKey="{50BF93D1-1DE3-4371-8CD5-ED5D67EFB92C}"/>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embedRegular r:id="rId4" w:fontKey="{E49CC2DB-AB2E-48FA-8A3D-DB26DB6E0674}"/>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ED3BD8"/>
    <w:rsid w:val="00F84215"/>
    <w:rsid w:val="00FA42CE"/>
    <w:rsid w:val="010E0C0C"/>
    <w:rsid w:val="016D0077"/>
    <w:rsid w:val="02355837"/>
    <w:rsid w:val="023B0973"/>
    <w:rsid w:val="02610413"/>
    <w:rsid w:val="02F163A2"/>
    <w:rsid w:val="02FE786C"/>
    <w:rsid w:val="03341650"/>
    <w:rsid w:val="036F2FCB"/>
    <w:rsid w:val="03B2599D"/>
    <w:rsid w:val="043C5F8E"/>
    <w:rsid w:val="049941F3"/>
    <w:rsid w:val="04A60F90"/>
    <w:rsid w:val="04D2103C"/>
    <w:rsid w:val="04D550AF"/>
    <w:rsid w:val="06B83B39"/>
    <w:rsid w:val="06DE29E2"/>
    <w:rsid w:val="071579E5"/>
    <w:rsid w:val="07702E6D"/>
    <w:rsid w:val="07A86AAB"/>
    <w:rsid w:val="07C65825"/>
    <w:rsid w:val="09067414"/>
    <w:rsid w:val="09170A81"/>
    <w:rsid w:val="0AC27E84"/>
    <w:rsid w:val="0B0F5B25"/>
    <w:rsid w:val="0BD256C9"/>
    <w:rsid w:val="0BF3436E"/>
    <w:rsid w:val="0D3F0613"/>
    <w:rsid w:val="0D617282"/>
    <w:rsid w:val="0F661726"/>
    <w:rsid w:val="0F772EC6"/>
    <w:rsid w:val="0F877334"/>
    <w:rsid w:val="10182B28"/>
    <w:rsid w:val="109160DD"/>
    <w:rsid w:val="10947BCD"/>
    <w:rsid w:val="10FD3E64"/>
    <w:rsid w:val="114B3E5E"/>
    <w:rsid w:val="115E3FEE"/>
    <w:rsid w:val="116B384E"/>
    <w:rsid w:val="11DD16C8"/>
    <w:rsid w:val="127A77C1"/>
    <w:rsid w:val="130A20A3"/>
    <w:rsid w:val="13352CE1"/>
    <w:rsid w:val="13E07D60"/>
    <w:rsid w:val="150177FB"/>
    <w:rsid w:val="155B6F0B"/>
    <w:rsid w:val="15875F52"/>
    <w:rsid w:val="15B73666"/>
    <w:rsid w:val="15C42D02"/>
    <w:rsid w:val="168A2EA6"/>
    <w:rsid w:val="17D5194F"/>
    <w:rsid w:val="180A4FDB"/>
    <w:rsid w:val="1840056E"/>
    <w:rsid w:val="192177D8"/>
    <w:rsid w:val="19235F91"/>
    <w:rsid w:val="196A001E"/>
    <w:rsid w:val="198331C0"/>
    <w:rsid w:val="19AD1CFF"/>
    <w:rsid w:val="19C92FDD"/>
    <w:rsid w:val="19DB061A"/>
    <w:rsid w:val="19E576EB"/>
    <w:rsid w:val="19FF664E"/>
    <w:rsid w:val="1A091F78"/>
    <w:rsid w:val="1A6D6D72"/>
    <w:rsid w:val="1A89276C"/>
    <w:rsid w:val="1AEB4D61"/>
    <w:rsid w:val="1B740D26"/>
    <w:rsid w:val="1C230AC0"/>
    <w:rsid w:val="1C615CEF"/>
    <w:rsid w:val="1CDA72AF"/>
    <w:rsid w:val="1D632B53"/>
    <w:rsid w:val="1D7602A9"/>
    <w:rsid w:val="1D8611E5"/>
    <w:rsid w:val="1DC83D3D"/>
    <w:rsid w:val="1E5507DD"/>
    <w:rsid w:val="1E613949"/>
    <w:rsid w:val="1EAE0073"/>
    <w:rsid w:val="1F195A2C"/>
    <w:rsid w:val="205102FB"/>
    <w:rsid w:val="20762FC4"/>
    <w:rsid w:val="212C60E2"/>
    <w:rsid w:val="21440CA8"/>
    <w:rsid w:val="21DB6E7F"/>
    <w:rsid w:val="21DE15EF"/>
    <w:rsid w:val="23021A8B"/>
    <w:rsid w:val="2320540D"/>
    <w:rsid w:val="23254B60"/>
    <w:rsid w:val="23476D20"/>
    <w:rsid w:val="236E0539"/>
    <w:rsid w:val="23E6478B"/>
    <w:rsid w:val="2422471A"/>
    <w:rsid w:val="24A85EE5"/>
    <w:rsid w:val="24DB72C2"/>
    <w:rsid w:val="25FF38E2"/>
    <w:rsid w:val="263962DE"/>
    <w:rsid w:val="276460F3"/>
    <w:rsid w:val="27660FAF"/>
    <w:rsid w:val="277166D1"/>
    <w:rsid w:val="277B4318"/>
    <w:rsid w:val="27B7194D"/>
    <w:rsid w:val="27E37B45"/>
    <w:rsid w:val="280600C8"/>
    <w:rsid w:val="28081174"/>
    <w:rsid w:val="28481571"/>
    <w:rsid w:val="28722F64"/>
    <w:rsid w:val="289B5D70"/>
    <w:rsid w:val="290A1EBC"/>
    <w:rsid w:val="290B1796"/>
    <w:rsid w:val="296B40D0"/>
    <w:rsid w:val="29980ADF"/>
    <w:rsid w:val="29B460DC"/>
    <w:rsid w:val="29D532D8"/>
    <w:rsid w:val="29E74DB9"/>
    <w:rsid w:val="2A0B6FEB"/>
    <w:rsid w:val="2A2A3694"/>
    <w:rsid w:val="2A6B1740"/>
    <w:rsid w:val="2AB71864"/>
    <w:rsid w:val="2AD30362"/>
    <w:rsid w:val="2B161A0E"/>
    <w:rsid w:val="2B1D67DB"/>
    <w:rsid w:val="2B2D4A4E"/>
    <w:rsid w:val="2BCA3DF7"/>
    <w:rsid w:val="2BFA5278"/>
    <w:rsid w:val="2C3F44FD"/>
    <w:rsid w:val="2C8903AA"/>
    <w:rsid w:val="2CD01740"/>
    <w:rsid w:val="2CE43832"/>
    <w:rsid w:val="2DAA6B58"/>
    <w:rsid w:val="2DB034FA"/>
    <w:rsid w:val="2DE27D71"/>
    <w:rsid w:val="2E4A4A48"/>
    <w:rsid w:val="2EB55486"/>
    <w:rsid w:val="2F8715FA"/>
    <w:rsid w:val="2FB43990"/>
    <w:rsid w:val="2FC040E2"/>
    <w:rsid w:val="30143D58"/>
    <w:rsid w:val="30240D0F"/>
    <w:rsid w:val="308158E7"/>
    <w:rsid w:val="309817B5"/>
    <w:rsid w:val="30A86679"/>
    <w:rsid w:val="31505F30"/>
    <w:rsid w:val="3177520D"/>
    <w:rsid w:val="31C7249B"/>
    <w:rsid w:val="31FB7654"/>
    <w:rsid w:val="32565D7D"/>
    <w:rsid w:val="336E47B8"/>
    <w:rsid w:val="337D2302"/>
    <w:rsid w:val="33935522"/>
    <w:rsid w:val="33C4309C"/>
    <w:rsid w:val="33DE0EF4"/>
    <w:rsid w:val="3416678C"/>
    <w:rsid w:val="34486A39"/>
    <w:rsid w:val="34525E86"/>
    <w:rsid w:val="34585CDF"/>
    <w:rsid w:val="34C13400"/>
    <w:rsid w:val="34F32864"/>
    <w:rsid w:val="35386E11"/>
    <w:rsid w:val="35612ABD"/>
    <w:rsid w:val="359E6C74"/>
    <w:rsid w:val="375B2943"/>
    <w:rsid w:val="38086A4E"/>
    <w:rsid w:val="38C32119"/>
    <w:rsid w:val="38EE054F"/>
    <w:rsid w:val="39440A0C"/>
    <w:rsid w:val="398443D3"/>
    <w:rsid w:val="398C3287"/>
    <w:rsid w:val="39A60AF6"/>
    <w:rsid w:val="39FC7BE4"/>
    <w:rsid w:val="3AA12D62"/>
    <w:rsid w:val="3B2319C9"/>
    <w:rsid w:val="3B5D5890"/>
    <w:rsid w:val="3BA6683D"/>
    <w:rsid w:val="3BC431AC"/>
    <w:rsid w:val="3C012639"/>
    <w:rsid w:val="3D7E2B4E"/>
    <w:rsid w:val="3DA52B6A"/>
    <w:rsid w:val="3DE23DBE"/>
    <w:rsid w:val="3E833FCF"/>
    <w:rsid w:val="3EE3321B"/>
    <w:rsid w:val="3EE93EED"/>
    <w:rsid w:val="3F177A97"/>
    <w:rsid w:val="3FF57BF1"/>
    <w:rsid w:val="41590DEA"/>
    <w:rsid w:val="416C231C"/>
    <w:rsid w:val="419B0706"/>
    <w:rsid w:val="41C31810"/>
    <w:rsid w:val="41D659E7"/>
    <w:rsid w:val="41DA71EE"/>
    <w:rsid w:val="42081788"/>
    <w:rsid w:val="428A15BF"/>
    <w:rsid w:val="42BB7663"/>
    <w:rsid w:val="432A3936"/>
    <w:rsid w:val="434765EB"/>
    <w:rsid w:val="43A3164E"/>
    <w:rsid w:val="43C43532"/>
    <w:rsid w:val="43F77637"/>
    <w:rsid w:val="44332E1A"/>
    <w:rsid w:val="44692B43"/>
    <w:rsid w:val="44BF2CE3"/>
    <w:rsid w:val="44BF6C07"/>
    <w:rsid w:val="462C7B1B"/>
    <w:rsid w:val="46BF2EEE"/>
    <w:rsid w:val="47013FF5"/>
    <w:rsid w:val="475E2707"/>
    <w:rsid w:val="484A2C8B"/>
    <w:rsid w:val="48500FEB"/>
    <w:rsid w:val="49284D7B"/>
    <w:rsid w:val="49487285"/>
    <w:rsid w:val="49543DC1"/>
    <w:rsid w:val="4A0F39E7"/>
    <w:rsid w:val="4A1672C9"/>
    <w:rsid w:val="4B0A3155"/>
    <w:rsid w:val="4B364032"/>
    <w:rsid w:val="4B3B68BB"/>
    <w:rsid w:val="4B443785"/>
    <w:rsid w:val="4B537C75"/>
    <w:rsid w:val="4BE53646"/>
    <w:rsid w:val="4BE56B11"/>
    <w:rsid w:val="4C431ECB"/>
    <w:rsid w:val="4CC33C9F"/>
    <w:rsid w:val="4E760D0B"/>
    <w:rsid w:val="4E8F65E3"/>
    <w:rsid w:val="4EC80245"/>
    <w:rsid w:val="4ED65AC3"/>
    <w:rsid w:val="4F596A69"/>
    <w:rsid w:val="50063DD3"/>
    <w:rsid w:val="504133D8"/>
    <w:rsid w:val="505863A4"/>
    <w:rsid w:val="50591CBD"/>
    <w:rsid w:val="50A240F7"/>
    <w:rsid w:val="51971C1E"/>
    <w:rsid w:val="51FF2E33"/>
    <w:rsid w:val="52391DA6"/>
    <w:rsid w:val="525877BC"/>
    <w:rsid w:val="5272504D"/>
    <w:rsid w:val="52CA50F4"/>
    <w:rsid w:val="53B65679"/>
    <w:rsid w:val="543A1E06"/>
    <w:rsid w:val="543D24BF"/>
    <w:rsid w:val="548754B8"/>
    <w:rsid w:val="54CA318A"/>
    <w:rsid w:val="55517AB0"/>
    <w:rsid w:val="57192BB8"/>
    <w:rsid w:val="5734671F"/>
    <w:rsid w:val="57423EBA"/>
    <w:rsid w:val="57813298"/>
    <w:rsid w:val="57AE7CE9"/>
    <w:rsid w:val="57BB500C"/>
    <w:rsid w:val="58753EBA"/>
    <w:rsid w:val="58E426FC"/>
    <w:rsid w:val="58FC3B2E"/>
    <w:rsid w:val="59063548"/>
    <w:rsid w:val="59900C4D"/>
    <w:rsid w:val="5A6776CD"/>
    <w:rsid w:val="5ADD1E8F"/>
    <w:rsid w:val="5AE6303A"/>
    <w:rsid w:val="5B155A7C"/>
    <w:rsid w:val="5B442B97"/>
    <w:rsid w:val="5B745BFD"/>
    <w:rsid w:val="5B977B3E"/>
    <w:rsid w:val="5BB406F0"/>
    <w:rsid w:val="5C5B0B6B"/>
    <w:rsid w:val="5CB643E4"/>
    <w:rsid w:val="5D573A29"/>
    <w:rsid w:val="5D8D11F8"/>
    <w:rsid w:val="5E2D5305"/>
    <w:rsid w:val="5F1D65AC"/>
    <w:rsid w:val="5F230066"/>
    <w:rsid w:val="5F41229A"/>
    <w:rsid w:val="5F814D8D"/>
    <w:rsid w:val="5FA47678"/>
    <w:rsid w:val="5FE455B0"/>
    <w:rsid w:val="60504E56"/>
    <w:rsid w:val="60535261"/>
    <w:rsid w:val="627A5057"/>
    <w:rsid w:val="62A033DD"/>
    <w:rsid w:val="62B113CD"/>
    <w:rsid w:val="62D376AD"/>
    <w:rsid w:val="63002758"/>
    <w:rsid w:val="63343EC4"/>
    <w:rsid w:val="63886101"/>
    <w:rsid w:val="63E072F9"/>
    <w:rsid w:val="63E738F2"/>
    <w:rsid w:val="648B2856"/>
    <w:rsid w:val="64AD2180"/>
    <w:rsid w:val="64F46001"/>
    <w:rsid w:val="658E5B0E"/>
    <w:rsid w:val="65D86017"/>
    <w:rsid w:val="65E6594A"/>
    <w:rsid w:val="660E1EAC"/>
    <w:rsid w:val="661600DA"/>
    <w:rsid w:val="66DF5346"/>
    <w:rsid w:val="66E14AAB"/>
    <w:rsid w:val="6736630B"/>
    <w:rsid w:val="67EE0E11"/>
    <w:rsid w:val="68DF3109"/>
    <w:rsid w:val="693F2885"/>
    <w:rsid w:val="699F5DE9"/>
    <w:rsid w:val="6A9776F8"/>
    <w:rsid w:val="6AAF0A00"/>
    <w:rsid w:val="6AEF34F2"/>
    <w:rsid w:val="6B234F4A"/>
    <w:rsid w:val="6C515AE7"/>
    <w:rsid w:val="6C5F0204"/>
    <w:rsid w:val="6C69186D"/>
    <w:rsid w:val="6C7D443F"/>
    <w:rsid w:val="6C8851EE"/>
    <w:rsid w:val="6CCF1622"/>
    <w:rsid w:val="6CE7035E"/>
    <w:rsid w:val="6DB1246A"/>
    <w:rsid w:val="6DB14A8F"/>
    <w:rsid w:val="6EAE5472"/>
    <w:rsid w:val="702F5608"/>
    <w:rsid w:val="708F2CC4"/>
    <w:rsid w:val="709444F0"/>
    <w:rsid w:val="70BF5715"/>
    <w:rsid w:val="71182116"/>
    <w:rsid w:val="71205936"/>
    <w:rsid w:val="71477CCB"/>
    <w:rsid w:val="7178018F"/>
    <w:rsid w:val="71BA40BB"/>
    <w:rsid w:val="71CD052F"/>
    <w:rsid w:val="725B321B"/>
    <w:rsid w:val="73740A39"/>
    <w:rsid w:val="73D43285"/>
    <w:rsid w:val="742B746E"/>
    <w:rsid w:val="74736F42"/>
    <w:rsid w:val="74CA7F29"/>
    <w:rsid w:val="752B1D3E"/>
    <w:rsid w:val="75913D16"/>
    <w:rsid w:val="763C0048"/>
    <w:rsid w:val="768E66AF"/>
    <w:rsid w:val="77135965"/>
    <w:rsid w:val="77262B54"/>
    <w:rsid w:val="772D4414"/>
    <w:rsid w:val="773A5C43"/>
    <w:rsid w:val="774B4619"/>
    <w:rsid w:val="775947BB"/>
    <w:rsid w:val="77AD276B"/>
    <w:rsid w:val="77B87094"/>
    <w:rsid w:val="77C96E08"/>
    <w:rsid w:val="78485FF0"/>
    <w:rsid w:val="78C0202A"/>
    <w:rsid w:val="78E27C50"/>
    <w:rsid w:val="79500F4C"/>
    <w:rsid w:val="7986195D"/>
    <w:rsid w:val="79E005EE"/>
    <w:rsid w:val="7A044DC4"/>
    <w:rsid w:val="7A865511"/>
    <w:rsid w:val="7AA20E97"/>
    <w:rsid w:val="7AAA4D40"/>
    <w:rsid w:val="7ABC4A73"/>
    <w:rsid w:val="7AC10876"/>
    <w:rsid w:val="7B2F16E9"/>
    <w:rsid w:val="7B334ED0"/>
    <w:rsid w:val="7C1753A5"/>
    <w:rsid w:val="7C4363ED"/>
    <w:rsid w:val="7C4B6886"/>
    <w:rsid w:val="7C71236F"/>
    <w:rsid w:val="7C7B25BC"/>
    <w:rsid w:val="7C8D2B6B"/>
    <w:rsid w:val="7D360B0D"/>
    <w:rsid w:val="7D55069E"/>
    <w:rsid w:val="7D670C49"/>
    <w:rsid w:val="7D711B45"/>
    <w:rsid w:val="7E156974"/>
    <w:rsid w:val="7E5F5E41"/>
    <w:rsid w:val="7E78432D"/>
    <w:rsid w:val="7E8E02D3"/>
    <w:rsid w:val="7EA902C5"/>
    <w:rsid w:val="7EAA3560"/>
    <w:rsid w:val="7ECF553C"/>
    <w:rsid w:val="7EF10E29"/>
    <w:rsid w:val="7F4C286A"/>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9"/>
    <w:pPr>
      <w:keepNext/>
      <w:widowControl/>
      <w:spacing w:before="240" w:after="60"/>
      <w:jc w:val="left"/>
      <w:outlineLvl w:val="0"/>
    </w:pPr>
    <w:rPr>
      <w:rFonts w:ascii="Cambria" w:hAnsi="Cambria" w:cs="Times New Roman"/>
      <w:b/>
      <w:bCs/>
      <w:kern w:val="32"/>
      <w:sz w:val="32"/>
      <w:szCs w:val="32"/>
    </w:rPr>
  </w:style>
  <w:style w:type="paragraph" w:styleId="3">
    <w:name w:val="heading 3"/>
    <w:basedOn w:val="1"/>
    <w:next w:val="1"/>
    <w:autoRedefine/>
    <w:qFormat/>
    <w:uiPriority w:val="0"/>
    <w:pPr>
      <w:keepNext/>
      <w:keepLines/>
      <w:spacing w:line="560" w:lineRule="exact"/>
      <w:outlineLvl w:val="2"/>
    </w:pPr>
    <w:rPr>
      <w:b/>
      <w:bCs/>
      <w:sz w:val="32"/>
      <w:szCs w:val="32"/>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autoRedefine/>
    <w:qFormat/>
    <w:uiPriority w:val="0"/>
    <w:rPr>
      <w:b/>
      <w:bCs/>
    </w:r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 w:type="paragraph" w:styleId="12">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409</Words>
  <Characters>422</Characters>
  <Lines>9</Lines>
  <Paragraphs>2</Paragraphs>
  <TotalTime>19</TotalTime>
  <ScaleCrop>false</ScaleCrop>
  <LinksUpToDate>false</LinksUpToDate>
  <CharactersWithSpaces>444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右先生</cp:lastModifiedBy>
  <cp:lastPrinted>2024-03-04T11:32:00Z</cp:lastPrinted>
  <dcterms:modified xsi:type="dcterms:W3CDTF">2024-05-13T10:40:19Z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69C5C44FDA034FE2BF461F7C0C2707BF_13</vt:lpwstr>
  </property>
</Properties>
</file>