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库尔勒市塔什店镇人民政府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（一）加强党的建设。落实基层党建工作责任制，统筹抓  好基层党建工作；推进全面从严治党，强化“两个责任”;全  面加强基层宣传思想文化和统一战线工作，以铸牢中华民族共  同体意识为主线，积极引导宗教与社会主义社会相适应；负责党的社会工作，健全完善党建引领基层体系，强化基层治理，进一步增强党在基层的政治领导力、思想引领力、群众组织力、社会号召力；加强党对群团组织、非公有制经济组织、社会组织</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人民武装和其他各类组织的指导和规范，支持和保证其依照国家法律法规以及各自章程履行职责。</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（二）推动经济发展。制定本行政区域经济社会发展规划 和年度计划并组织实施；因地制宜发展区域特色经济，指导农 村经济结构调整和推进经济增长方式转变，营造发展环境，组 织农村基础设施建设，落实强农惠农措施，为经济主体提供示 范引导和政策服务，引导和促进新型农村专业合作经济组织发展；加强镇财政、农村合作经济组织以及集体资产的管理；加强对村集体财产的监督。</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（三）做好民生服务。组织实施与群众生活密切相关的各 项行政审批和公共服务，加强公共设施建设，开展就业和社会 保障等服务，发展科教文卫事业，落实涉及民生领域的各方面 相关政策，着力解决群众生产生活中的问题。</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（四）加强法治建设。坚持依法行政，推进民主政治，加 强基层政权建设；负责辖区平安建设和社会治安综合治理等工作，领导基层治理工作，健全完善自治、法治、德治相结合的基层治理体系；对辖区内各类行政执法工作进行统筹协调，组织开展群众监督和社会监督；依法依规承担下放的经济社会管理权限和行政执法事项；健全社会矛盾纠纷排查调处机制，及时化解辖区社会矛盾，确保社会稳定；负责辖区公共安全及安全生产监管，构建公共安全防控体系，建立应对突发紧急事件的处理预案，做好安全生产、防疫、防汛、防火、减灾救灾、地质气象灾害预防、食品药品安全等应急管理工作；负责民兵组织建设、征兵等工作。 </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（五）完成市委市</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库尔勒市塔什店镇人民政府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黑体" w:eastAsia="仿宋_GB2312" w:cs="宋体"/>
          <w:bCs/>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ascii="仿宋" w:hAnsi="仿宋" w:eastAsia="仿宋"/>
          <w:color w:val="auto"/>
          <w:sz w:val="32"/>
          <w:szCs w:val="32"/>
        </w:rPr>
        <w:t>下设</w:t>
      </w:r>
      <w:r>
        <w:rPr>
          <w:rFonts w:hint="eastAsia" w:ascii="仿宋_GB2312" w:hAnsi="Times New Roman" w:eastAsia="仿宋_GB2312" w:cs="Times New Roman"/>
          <w:color w:val="auto"/>
          <w:sz w:val="32"/>
          <w:szCs w:val="32"/>
          <w:highlight w:val="none"/>
        </w:rPr>
        <w:t>5个</w:t>
      </w:r>
      <w:r>
        <w:rPr>
          <w:rFonts w:hint="eastAsia" w:ascii="仿宋_GB2312" w:eastAsia="仿宋_GB2312" w:cs="Times New Roman"/>
          <w:color w:val="auto"/>
          <w:sz w:val="32"/>
          <w:szCs w:val="32"/>
          <w:highlight w:val="none"/>
          <w:lang w:eastAsia="zh-CN"/>
        </w:rPr>
        <w:t>内设机构</w:t>
      </w:r>
      <w:r>
        <w:rPr>
          <w:rFonts w:hint="eastAsia" w:ascii="仿宋_GB2312" w:hAnsi="Times New Roman" w:eastAsia="仿宋_GB2312" w:cs="Times New Roman"/>
          <w:color w:val="auto"/>
          <w:sz w:val="32"/>
          <w:szCs w:val="32"/>
          <w:highlight w:val="none"/>
        </w:rPr>
        <w:t>、5个股级事业单位，分别是：党政办公室、党建办公室、经济发展和财政办公室、</w:t>
      </w:r>
      <w:r>
        <w:rPr>
          <w:rFonts w:hint="eastAsia" w:ascii="仿宋_GB2312" w:hAnsi="黑体" w:eastAsia="仿宋_GB2312" w:cs="宋体"/>
          <w:bCs/>
          <w:color w:val="auto"/>
          <w:kern w:val="0"/>
          <w:sz w:val="32"/>
          <w:szCs w:val="32"/>
          <w:highlight w:val="none"/>
        </w:rPr>
        <w:t>社会事务办公室(退役军人服务站) 、综合执法办公室</w:t>
      </w:r>
      <w:r>
        <w:rPr>
          <w:rFonts w:hint="eastAsia" w:ascii="仿宋_GB2312" w:hAnsi="黑体" w:eastAsia="仿宋_GB2312" w:cs="宋体"/>
          <w:bCs/>
          <w:color w:val="auto"/>
          <w:sz w:val="32"/>
          <w:szCs w:val="32"/>
        </w:rPr>
        <w:t>；党群服务中心、</w:t>
      </w:r>
      <w:r>
        <w:rPr>
          <w:rFonts w:hint="eastAsia" w:ascii="仿宋_GB2312" w:hAnsi="黑体" w:eastAsia="仿宋_GB2312" w:cs="宋体"/>
          <w:bCs/>
          <w:color w:val="auto"/>
          <w:kern w:val="0"/>
          <w:sz w:val="32"/>
          <w:szCs w:val="32"/>
          <w:highlight w:val="none"/>
        </w:rPr>
        <w:t>公共文化服务中心、村镇建设发展中心、综治和网格化服务中心、便民服务中心。</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1,790.75万元，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1,790.75万元，使用非财政拨款结余0.00万元，年初结转和结余0.00万元。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1,790.75万元，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1,790.75万元，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spacing w:line="560" w:lineRule="exact"/>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增加377.45万元</w:t>
      </w:r>
      <w:r>
        <w:rPr>
          <w:rFonts w:hint="eastAsia" w:ascii="仿宋_GB2312" w:eastAsia="仿宋_GB2312"/>
          <w:color w:val="auto"/>
          <w:spacing w:val="0"/>
          <w:sz w:val="32"/>
          <w:szCs w:val="32"/>
          <w:highlight w:val="none"/>
          <w:lang w:eastAsia="zh-CN"/>
        </w:rPr>
        <w:t>，增长26.71%，主要原因是：</w:t>
      </w:r>
      <w:r>
        <w:rPr>
          <w:rFonts w:hint="eastAsia" w:ascii="仿宋_GB2312" w:hAnsi="Times New Roman" w:eastAsia="仿宋_GB2312" w:cs="Times New Roman"/>
          <w:color w:val="auto"/>
          <w:spacing w:val="0"/>
          <w:sz w:val="32"/>
          <w:szCs w:val="32"/>
          <w:highlight w:val="none"/>
          <w:lang w:val="en-US" w:eastAsia="zh-CN"/>
        </w:rPr>
        <w:t>本年新增塔什店循环经济产业园区新森工农污泥制肥“三通一平”供水供电工程项目、塔什店镇小城镇基础设施建设二期工程项目支出</w:t>
      </w:r>
      <w:r>
        <w:rPr>
          <w:rFonts w:hint="eastAsia" w:ascii="仿宋_GB2312" w:hAnsi="Times New Roman" w:eastAsia="仿宋_GB2312" w:cs="Times New Roman"/>
          <w:color w:val="auto"/>
          <w:spacing w:val="0"/>
          <w:sz w:val="32"/>
          <w:szCs w:val="32"/>
          <w:highlight w:val="none"/>
          <w:lang w:eastAsia="zh-CN"/>
        </w:rPr>
        <w:t>，去年未安排此项资金，造成收入增长变动幅度较大。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1,790.75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1,790.75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本年支出1,790.75万元，其中：基本支出1,496.27万元，占83.56%；项目支出294.48万元，占16.44%；上缴上级支出0.00万元，占0.00%；经营支出0.00万元，占0.00%；对附属单位补助支出0.00万元，占0.00%。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1,790.75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1,790.75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1,790.75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1,790.75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增加404.77万元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增长29.20%,</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本年新增塔什店循环经济产业园区新森工农污泥制肥“三通一平”供水供电工程项目、塔什店镇小城镇基础设施建设二期工程项目支出</w:t>
      </w:r>
      <w:r>
        <w:rPr>
          <w:rFonts w:hint="eastAsia" w:ascii="仿宋_GB2312" w:hAnsi="Times New Roman" w:eastAsia="仿宋_GB2312" w:cs="Times New Roman"/>
          <w:color w:val="auto"/>
          <w:spacing w:val="0"/>
          <w:sz w:val="32"/>
          <w:szCs w:val="32"/>
          <w:highlight w:val="none"/>
          <w:lang w:eastAsia="zh-CN"/>
        </w:rPr>
        <w:t>，去年未安排此项资金，造成收入增长变动幅度较大</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1,437.20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1,790.75</w:t>
      </w:r>
      <w:r>
        <w:rPr>
          <w:rFonts w:hint="eastAsia" w:ascii="仿宋_GB2312" w:eastAsia="仿宋_GB2312"/>
          <w:color w:val="auto"/>
          <w:spacing w:val="0"/>
          <w:sz w:val="32"/>
          <w:szCs w:val="32"/>
          <w:highlight w:val="none"/>
          <w:lang w:eastAsia="zh-CN"/>
        </w:rPr>
        <w:t>万元，预决算差异率24.60%，主要原因是：年中追加</w:t>
      </w:r>
      <w:r>
        <w:rPr>
          <w:rFonts w:hint="eastAsia" w:ascii="仿宋_GB2312" w:hAnsi="Times New Roman" w:eastAsia="仿宋_GB2312" w:cs="Times New Roman"/>
          <w:color w:val="auto"/>
          <w:spacing w:val="0"/>
          <w:sz w:val="32"/>
          <w:szCs w:val="32"/>
          <w:highlight w:val="none"/>
          <w:lang w:val="en-US" w:eastAsia="zh-CN"/>
        </w:rPr>
        <w:t>塔什店镇小城镇基础设施建设二期工程项目支出、企业退休人员社会化管理补助支出，造成预决算差异率较大</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2023年度一般公共预算财政拨款支出1,516.41万元，占本年支出合计的</w:t>
      </w:r>
      <w:r>
        <w:rPr>
          <w:rFonts w:hint="eastAsia" w:ascii="仿宋_GB2312" w:eastAsia="仿宋_GB2312"/>
          <w:color w:val="auto"/>
          <w:spacing w:val="0"/>
          <w:sz w:val="32"/>
          <w:szCs w:val="32"/>
          <w:highlight w:val="none"/>
          <w:lang w:val="zh-CN" w:eastAsia="zh-CN"/>
        </w:rPr>
        <w:t>84.68%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增加130.42万元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增长9.41%,</w:t>
      </w:r>
      <w:r>
        <w:rPr>
          <w:rFonts w:hint="eastAsia" w:ascii="仿宋_GB2312" w:eastAsia="仿宋_GB2312"/>
          <w:color w:val="auto"/>
          <w:spacing w:val="0"/>
          <w:sz w:val="32"/>
          <w:szCs w:val="32"/>
          <w:highlight w:val="none"/>
          <w:lang w:eastAsia="zh-CN"/>
        </w:rPr>
        <w:t>主要原因是：本年度人员增加</w:t>
      </w:r>
      <w:r>
        <w:rPr>
          <w:rFonts w:hint="eastAsia" w:ascii="仿宋_GB2312" w:eastAsia="仿宋_GB2312"/>
          <w:color w:val="auto"/>
          <w:spacing w:val="0"/>
          <w:sz w:val="32"/>
          <w:szCs w:val="32"/>
          <w:highlight w:val="none"/>
          <w:lang w:val="en-US" w:eastAsia="zh-CN"/>
        </w:rPr>
        <w:t>1人、工资社保公积金等工资福利支出相应增加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1,386.10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1,516.41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9.40%</w:t>
      </w:r>
      <w:r>
        <w:rPr>
          <w:rFonts w:hint="eastAsia" w:ascii="仿宋_GB2312" w:eastAsia="仿宋_GB2312"/>
          <w:color w:val="auto"/>
          <w:spacing w:val="0"/>
          <w:sz w:val="32"/>
          <w:szCs w:val="32"/>
          <w:highlight w:val="none"/>
          <w:lang w:eastAsia="zh-CN"/>
        </w:rPr>
        <w:t>，主要原因是：因工作开展，年中追加</w:t>
      </w:r>
      <w:r>
        <w:rPr>
          <w:rFonts w:hint="eastAsia" w:ascii="仿宋_GB2312" w:hAnsi="Times New Roman" w:eastAsia="仿宋_GB2312" w:cs="Times New Roman"/>
          <w:color w:val="auto"/>
          <w:spacing w:val="0"/>
          <w:sz w:val="32"/>
          <w:szCs w:val="32"/>
          <w:highlight w:val="none"/>
          <w:lang w:val="en-US" w:eastAsia="zh-CN"/>
        </w:rPr>
        <w:t>塔什店镇小城镇基础设施建设二期工程项目支出、企业退休人员社会化管理补助支出，造成预决算差异率较大</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1,133.05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74.72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5.52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0.08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240.69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15.87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61.51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6</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75.56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4.98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1.一般公共服务支出（类）人大事务（款）代表工作（项）:支出决算数为0.06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本年度财政下拨专项经费用于人大工作专项支出，造成该科目支出增长。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一般公共服务支出（类）政府办公厅（室）及相关机构事务（款）行政运行（项）:支出决算数为988.13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217.20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28.17%，主要原因是：</w:t>
      </w:r>
      <w:r>
        <w:rPr>
          <w:rFonts w:hint="eastAsia" w:eastAsia="仿宋_GB2312" w:cs="Times New Roman"/>
          <w:color w:val="auto"/>
          <w:kern w:val="2"/>
          <w:sz w:val="32"/>
          <w:szCs w:val="32"/>
          <w:highlight w:val="none"/>
          <w:lang w:val="zh-CN" w:eastAsia="zh-CN" w:bidi="ar-SA"/>
        </w:rPr>
        <w:t>人员增加、工资社保及奖金上调，造成该科目支出增加。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3.一般公共服务支出（类）政府办公厅（室）及相关机构事务（款）其他政府办公厅（室）及相关机构事务支出（项）:支出决算数为54.19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6.55%，主要原因是</w:t>
      </w:r>
      <w:r>
        <w:rPr>
          <w:rFonts w:hint="eastAsia" w:eastAsia="仿宋_GB2312" w:cs="Times New Roman"/>
          <w:color w:val="auto"/>
          <w:kern w:val="2"/>
          <w:sz w:val="32"/>
          <w:szCs w:val="32"/>
          <w:highlight w:val="none"/>
          <w:lang w:val="en-US" w:eastAsia="zh-CN" w:bidi="ar-SA"/>
        </w:rPr>
        <w:t>：本年度市派、镇派机关干部全部下沉至网格开展常态化办公，导致网格运行经费增加，造成该科目支出增长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4.一般公共服务支出（类）纪检监察事务（款）其他纪检监察事务支出（项）:支出决算数为1.50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50.00%，主要原因是：</w:t>
      </w:r>
      <w:r>
        <w:rPr>
          <w:rFonts w:hint="eastAsia" w:eastAsia="仿宋_GB2312" w:cs="Times New Roman"/>
          <w:color w:val="auto"/>
          <w:kern w:val="2"/>
          <w:sz w:val="32"/>
          <w:szCs w:val="32"/>
          <w:highlight w:val="none"/>
          <w:lang w:val="zh-CN" w:eastAsia="zh-CN" w:bidi="ar-SA"/>
        </w:rPr>
        <w:t>本年度纪检专项经费较上年增加装备费支出</w:t>
      </w:r>
      <w:r>
        <w:rPr>
          <w:rFonts w:hint="eastAsia" w:eastAsia="仿宋_GB2312" w:cs="Times New Roman"/>
          <w:color w:val="auto"/>
          <w:kern w:val="2"/>
          <w:sz w:val="32"/>
          <w:szCs w:val="32"/>
          <w:highlight w:val="none"/>
          <w:lang w:val="en-US" w:eastAsia="zh-CN" w:bidi="ar-SA"/>
        </w:rPr>
        <w:t>0.5万元，造成该科目支出增长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5.一般公共服务支出（类）组织事务（款）其他组织事务支出（项）:支出决算数为87.74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16.29%，主要原因是：</w:t>
      </w:r>
      <w:r>
        <w:rPr>
          <w:rFonts w:hint="eastAsia" w:eastAsia="仿宋_GB2312" w:cs="Times New Roman"/>
          <w:color w:val="auto"/>
          <w:kern w:val="2"/>
          <w:sz w:val="32"/>
          <w:szCs w:val="32"/>
          <w:highlight w:val="none"/>
          <w:lang w:val="en-US" w:eastAsia="zh-CN" w:bidi="ar-SA"/>
        </w:rPr>
        <w:t>为贯彻党中央厉行节约文件精神要求，本年度节约办公支出，压缩商品服务类支出，造成该科目支出减少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6.一般公共服务支出（类）统战事务（款）宗教事务（项）:支出决算数为1.00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本年度自治区下拨专项经费用于驻村管委会工作专项支出，造成该科目支出增长。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7.一般公共服务支出（类）统战事务（款）其他统战事务支出（项）:支出决算数为0.42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86.</w:t>
      </w:r>
      <w:r>
        <w:rPr>
          <w:rFonts w:hint="eastAsia" w:eastAsia="仿宋_GB2312" w:cs="Times New Roman"/>
          <w:color w:val="auto"/>
          <w:kern w:val="2"/>
          <w:sz w:val="32"/>
          <w:szCs w:val="32"/>
          <w:highlight w:val="none"/>
          <w:lang w:val="en-US" w:eastAsia="zh-CN" w:bidi="ar-SA"/>
        </w:rPr>
        <w:t>62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为贯彻党中央厉行节约文件精神要求，本年度驻村管寺管委会与社区合署办公，节约办公支出，压缩商品服务类支出，造成该科目支出减少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8.国防支出（类）国防动员（款）民兵（项）:支出决算数为0.00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本年度民兵项目已完成，不在发生专项工作支出，造成该科目支出减少。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教育支出（类）进修及培训（款）培训支出（项）:支出决算数为5.52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w:t>
      </w:r>
      <w:r>
        <w:rPr>
          <w:rFonts w:hint="eastAsia" w:eastAsia="仿宋_GB2312" w:cs="Times New Roman"/>
          <w:color w:val="auto"/>
          <w:kern w:val="2"/>
          <w:sz w:val="32"/>
          <w:szCs w:val="32"/>
          <w:highlight w:val="none"/>
          <w:lang w:val="en-US" w:eastAsia="zh-CN" w:bidi="ar-SA"/>
        </w:rPr>
        <w:t>84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本年度培训活动次数及参与人数较上年增加，造成该科目支出增长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10.文化旅游体育与传媒支出（类）其他文化旅游体育与传媒支出（款）其他文化旅游体育与传媒支出（项）:支出决算数为0.08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96.0</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本年度文体活动开展服装租赁及设备购置支出减少，造成该科目支出减少。</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.社会保障和就业支出（类）行政事业单位养老支出（款）行政单位离退休（项）:支出决算数为11.02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w:t>
      </w: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97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本年度发放退休人员绩效奖金标准增长，造成该科目支出增长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.社会保障和就业支出（类）行政事业单位养老支出（款）机关事业单位基本养老保险缴费支出（项）:支出决算数为92.57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18.07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24.26%，主要原因是：</w:t>
      </w:r>
      <w:r>
        <w:rPr>
          <w:rFonts w:hint="eastAsia" w:eastAsia="仿宋_GB2312" w:cs="Times New Roman"/>
          <w:color w:val="auto"/>
          <w:kern w:val="2"/>
          <w:sz w:val="32"/>
          <w:szCs w:val="32"/>
          <w:highlight w:val="none"/>
          <w:lang w:val="en-US" w:eastAsia="zh-CN" w:bidi="ar-SA"/>
        </w:rPr>
        <w:t>人员增加、工资上涨导致基本养老保险缴费基数增长，造成该科目支出增长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本年度新增退休人员</w:t>
      </w:r>
      <w:r>
        <w:rPr>
          <w:rFonts w:hint="eastAsia" w:eastAsia="仿宋_GB2312" w:cs="Times New Roman"/>
          <w:color w:val="auto"/>
          <w:kern w:val="2"/>
          <w:sz w:val="32"/>
          <w:szCs w:val="32"/>
          <w:highlight w:val="none"/>
          <w:lang w:val="en-US" w:eastAsia="zh-CN" w:bidi="ar-SA"/>
        </w:rPr>
        <w:t>1名需缴纳职业年金，上年度未发生该项支出，造成本年度该科目支出增长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.社会保障和就业支出（类）就业补助（款）公益性岗位补贴（项）:支出决算数为114.49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11.33%，主要原因是：</w:t>
      </w:r>
      <w:r>
        <w:rPr>
          <w:rFonts w:hint="eastAsia" w:eastAsia="仿宋_GB2312" w:cs="Times New Roman"/>
          <w:color w:val="auto"/>
          <w:kern w:val="2"/>
          <w:sz w:val="32"/>
          <w:szCs w:val="32"/>
          <w:highlight w:val="none"/>
          <w:lang w:val="en-US" w:eastAsia="zh-CN" w:bidi="ar-SA"/>
        </w:rPr>
        <w:t>本年度公益性岗位因辞职、退休自然减员2人，工资及社保支出减少，造成该科目支出减少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.社会保障和就业支出（类）抚恤（款）死亡抚恤（项）:支出决算数为15.76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：本年度退休公职人员死亡逝世两名，上年度未发生此项支出，造成该科目支出增长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.卫生健康支出（类）公共卫生（款）突发公共卫生事件应急处理（项）:支出决算数为15.02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32.08%，主要原因是：</w:t>
      </w:r>
      <w:r>
        <w:rPr>
          <w:rFonts w:hint="eastAsia" w:eastAsia="仿宋_GB2312" w:cs="Times New Roman"/>
          <w:color w:val="auto"/>
          <w:kern w:val="2"/>
          <w:sz w:val="32"/>
          <w:szCs w:val="32"/>
          <w:highlight w:val="none"/>
          <w:lang w:val="en-US" w:eastAsia="zh-CN" w:bidi="ar-SA"/>
        </w:rPr>
        <w:t>新冠疫情发展平稳过渡，疫情类支出减少，该科目支出较去年减少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.卫生健康支出（类）计划生育事务（款）其他计划生育事务支出（项）:支出决算数为0.00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受机构编制改革影响，其他计划生育支出编制内人员全部转至一般公共运行行政运行支出科目下，导致该科目本年未发生支出，造成该科目支出减少。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.卫生健康支出（类）行政事业单位医疗（款）行政单位医疗（项）:支出决算数为44.15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4.86%，主要原因是：</w:t>
      </w:r>
      <w:r>
        <w:rPr>
          <w:rFonts w:hint="eastAsia" w:eastAsia="仿宋_GB2312" w:cs="Times New Roman"/>
          <w:color w:val="auto"/>
          <w:kern w:val="2"/>
          <w:sz w:val="32"/>
          <w:szCs w:val="32"/>
          <w:highlight w:val="none"/>
          <w:lang w:val="en-US" w:eastAsia="zh-CN" w:bidi="ar-SA"/>
        </w:rPr>
        <w:t>本年度</w:t>
      </w:r>
      <w:r>
        <w:rPr>
          <w:rFonts w:hint="eastAsia" w:eastAsia="仿宋_GB2312" w:cs="Times New Roman"/>
          <w:color w:val="auto"/>
          <w:kern w:val="2"/>
          <w:sz w:val="32"/>
          <w:szCs w:val="32"/>
          <w:highlight w:val="none"/>
          <w:lang w:val="zh-CN" w:eastAsia="zh-CN" w:bidi="ar-SA"/>
        </w:rPr>
        <w:t>人员工资增长导致社保基数上涨，造成该科目支出增长。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default"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.卫生健康支出（类）行政事业单位医疗（款）公务员医疗补助（项）:支出决算数为2.35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74.3</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受医保政策变化影响，</w:t>
      </w:r>
      <w:r>
        <w:rPr>
          <w:rFonts w:hint="eastAsia" w:eastAsia="仿宋_GB2312" w:cs="Times New Roman"/>
          <w:color w:val="auto"/>
          <w:kern w:val="2"/>
          <w:sz w:val="32"/>
          <w:szCs w:val="32"/>
          <w:highlight w:val="none"/>
          <w:lang w:val="zh-CN" w:eastAsia="zh-CN" w:bidi="ar-SA"/>
        </w:rPr>
        <w:t>退休人员不在缴纳医疗保险，造成该科目支出减少。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default" w:eastAsia="仿宋_GB2312" w:cs="Times New Roman"/>
          <w:color w:val="auto"/>
          <w:kern w:val="2"/>
          <w:sz w:val="32"/>
          <w:szCs w:val="32"/>
          <w:highlight w:val="none"/>
          <w:lang w:val="en-US" w:eastAsia="zh-CN" w:bidi="ar-SA"/>
        </w:rPr>
        <w:t>20</w:t>
      </w:r>
      <w:r>
        <w:rPr>
          <w:rFonts w:hint="eastAsia" w:ascii="Times New Roman" w:hAnsi="Times New Roman" w:eastAsia="仿宋_GB2312" w:cs="Times New Roman"/>
          <w:color w:val="auto"/>
          <w:kern w:val="2"/>
          <w:sz w:val="32"/>
          <w:szCs w:val="32"/>
          <w:highlight w:val="none"/>
          <w:lang w:val="en-US" w:eastAsia="zh-CN" w:bidi="ar-SA"/>
        </w:rPr>
        <w:t>.节能环保支出（类）环境保护管理事务（款）其他环境保护管理事务支出（项）:支出决算数为0.00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受机构编制改革影响，</w:t>
      </w:r>
      <w:r>
        <w:rPr>
          <w:rFonts w:hint="eastAsia" w:ascii="Times New Roman" w:hAnsi="Times New Roman" w:eastAsia="仿宋_GB2312" w:cs="Times New Roman"/>
          <w:color w:val="auto"/>
          <w:kern w:val="2"/>
          <w:sz w:val="32"/>
          <w:szCs w:val="32"/>
          <w:highlight w:val="none"/>
          <w:lang w:val="en-US" w:eastAsia="zh-CN" w:bidi="ar-SA"/>
        </w:rPr>
        <w:t>其他环境保护管理事务支出</w:t>
      </w:r>
      <w:r>
        <w:rPr>
          <w:rFonts w:hint="eastAsia" w:eastAsia="仿宋_GB2312" w:cs="Times New Roman"/>
          <w:color w:val="auto"/>
          <w:kern w:val="2"/>
          <w:sz w:val="32"/>
          <w:szCs w:val="32"/>
          <w:highlight w:val="none"/>
          <w:lang w:val="zh-CN" w:eastAsia="zh-CN" w:bidi="ar-SA"/>
        </w:rPr>
        <w:t>编制内人员全部转至一般公共运行行政运行支出科目下，导致该科目本年未发生支出，造成该科目支出减少。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21.住房保障支出（类）住房改革支出（款）住房公积金（项）:支出决算数为75.56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16.98%，主要原因是</w:t>
      </w:r>
      <w:r>
        <w:rPr>
          <w:rFonts w:hint="eastAsia" w:eastAsia="仿宋_GB2312" w:cs="Times New Roman"/>
          <w:color w:val="auto"/>
          <w:kern w:val="2"/>
          <w:sz w:val="32"/>
          <w:szCs w:val="32"/>
          <w:highlight w:val="none"/>
          <w:lang w:val="en-US" w:eastAsia="zh-CN" w:bidi="ar-SA"/>
        </w:rPr>
        <w:t>:人员增加、工资上涨导致住房公积金缴费基数增长，造成该科目支出增长</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1,496.27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1,346.87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医疗费、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149.40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办公费、印刷费、咨询费、手续费、水费、电费、邮电费、取暖费、差旅费、维修（护）费、培训费、劳务费、工会经费、福利费、公务用车运行维护费、其他交通费用、其他商品和服务支出、办公设备购置。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lang w:val="en-US" w:eastAsia="zh-CN"/>
        </w:rPr>
        <w:t>2023年未发生此项支出</w:t>
      </w:r>
      <w:r>
        <w:rPr>
          <w:rFonts w:hint="eastAsia" w:ascii="仿宋_GB2312" w:eastAsia="仿宋_GB2312"/>
          <w:color w:val="auto"/>
          <w:sz w:val="32"/>
          <w:szCs w:val="32"/>
          <w:highlight w:val="none"/>
          <w:lang w:val="zh-CN" w:eastAsia="zh-CN"/>
        </w:rPr>
        <w:t>；公务用车购置及运行维护费支出14.40万元，占100.00%，比上年增加0.00万元，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认真贯彻落实中央八项规定精神和厉行节约要求，从严控制“三公”经费开支</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w:t>
      </w:r>
      <w:bookmarkStart w:id="48" w:name="_GoBack"/>
      <w:bookmarkEnd w:id="48"/>
      <w:r>
        <w:rPr>
          <w:rFonts w:hint="eastAsia" w:ascii="仿宋_GB2312" w:eastAsia="仿宋_GB2312"/>
          <w:color w:val="auto"/>
          <w:sz w:val="32"/>
          <w:szCs w:val="32"/>
          <w:highlight w:val="none"/>
          <w:lang w:val="zh-CN" w:eastAsia="zh-CN"/>
        </w:rPr>
        <w:t>因是：</w:t>
      </w:r>
      <w:r>
        <w:rPr>
          <w:rFonts w:hint="eastAsia" w:ascii="仿宋_GB2312" w:eastAsia="仿宋_GB2312"/>
          <w:color w:val="auto"/>
          <w:sz w:val="32"/>
          <w:szCs w:val="32"/>
          <w:lang w:val="en-US" w:eastAsia="zh-CN"/>
        </w:rPr>
        <w:t>我单位未发生此项支出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lang w:eastAsia="zh-CN"/>
        </w:rPr>
        <w:t>无此项内容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公务用车购置及运行维护费14.40万元，其中：公务用车购置费0.00万元，公务用车运行维护费14.40万元。公务用车运行维护费开支内容包括</w:t>
      </w:r>
      <w:r>
        <w:rPr>
          <w:rFonts w:hint="eastAsia" w:ascii="仿宋_GB2312" w:eastAsia="仿宋_GB2312"/>
          <w:color w:val="auto"/>
          <w:sz w:val="32"/>
          <w:szCs w:val="32"/>
        </w:rPr>
        <w:t>包括</w:t>
      </w:r>
      <w:r>
        <w:rPr>
          <w:rFonts w:hint="eastAsia" w:ascii="仿宋_GB2312" w:eastAsia="仿宋_GB2312"/>
          <w:color w:val="auto"/>
          <w:sz w:val="32"/>
          <w:szCs w:val="32"/>
          <w:lang w:eastAsia="zh-CN"/>
        </w:rPr>
        <w:t>公务车辆维修、公务车辆保险及公务车辆加油加气</w:t>
      </w:r>
      <w:r>
        <w:rPr>
          <w:rFonts w:hint="eastAsia" w:ascii="仿宋_GB2312" w:eastAsia="仿宋_GB2312"/>
          <w:color w:val="auto"/>
          <w:sz w:val="32"/>
          <w:szCs w:val="32"/>
          <w:highlight w:val="none"/>
          <w:lang w:val="zh-CN" w:eastAsia="zh-CN"/>
        </w:rPr>
        <w:t>。公务用车购置数0辆，公务用车保有量15辆。国有资产占用情况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15辆，与公务用车保有量差异原因是：固定资产车辆与公务用车保有量无差异。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lang w:eastAsia="zh-CN"/>
        </w:rPr>
        <w:t>未发生此项支出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预算数14.40万元，决算数14.40万元，预决算差异率0.00%，主要原因是：</w:t>
      </w:r>
      <w:r>
        <w:rPr>
          <w:rFonts w:hint="eastAsia" w:ascii="仿宋_GB2312" w:eastAsia="仿宋_GB2312"/>
          <w:color w:val="auto"/>
          <w:sz w:val="32"/>
          <w:szCs w:val="32"/>
          <w:lang w:eastAsia="zh-CN"/>
        </w:rPr>
        <w:t>三公经费严格按照预算数控制，</w:t>
      </w:r>
      <w:r>
        <w:rPr>
          <w:rFonts w:hint="eastAsia" w:ascii="仿宋_GB2312" w:eastAsia="仿宋_GB2312"/>
          <w:color w:val="auto"/>
          <w:sz w:val="32"/>
          <w:szCs w:val="32"/>
          <w:lang w:val="en-US" w:eastAsia="zh-CN"/>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0.00万元，决算数0.00万元，预决算差异率0.00%，主要原因是：因公出国（境）费</w:t>
      </w:r>
      <w:r>
        <w:rPr>
          <w:rFonts w:hint="eastAsia" w:ascii="仿宋_GB2312" w:eastAsia="仿宋_GB2312"/>
          <w:color w:val="auto"/>
          <w:sz w:val="32"/>
          <w:szCs w:val="32"/>
          <w:highlight w:val="none"/>
          <w:lang w:val="en-US" w:eastAsia="zh-CN"/>
        </w:rPr>
        <w:t>全年支出为0，</w:t>
      </w:r>
      <w:r>
        <w:rPr>
          <w:rFonts w:hint="eastAsia" w:ascii="仿宋_GB2312" w:eastAsia="仿宋_GB2312"/>
          <w:color w:val="auto"/>
          <w:sz w:val="32"/>
          <w:szCs w:val="32"/>
          <w:lang w:eastAsia="zh-CN"/>
        </w:rPr>
        <w:t>预决算差异率为</w:t>
      </w:r>
      <w:r>
        <w:rPr>
          <w:rFonts w:hint="eastAsia" w:ascii="仿宋_GB2312" w:eastAsia="仿宋_GB2312"/>
          <w:color w:val="auto"/>
          <w:sz w:val="32"/>
          <w:szCs w:val="32"/>
          <w:lang w:val="en-US" w:eastAsia="zh-CN"/>
        </w:rPr>
        <w:t>0%</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lang w:eastAsia="zh-CN"/>
        </w:rPr>
        <w:t>预决算</w:t>
      </w:r>
      <w:r>
        <w:rPr>
          <w:rFonts w:hint="eastAsia" w:ascii="仿宋_GB2312" w:eastAsia="仿宋_GB2312"/>
          <w:color w:val="auto"/>
          <w:sz w:val="32"/>
          <w:szCs w:val="32"/>
          <w:lang w:val="en-US" w:eastAsia="zh-CN"/>
        </w:rPr>
        <w:t>无</w:t>
      </w:r>
      <w:r>
        <w:rPr>
          <w:rFonts w:hint="eastAsia" w:ascii="仿宋_GB2312" w:eastAsia="仿宋_GB2312"/>
          <w:color w:val="auto"/>
          <w:sz w:val="32"/>
          <w:szCs w:val="32"/>
          <w:lang w:eastAsia="zh-CN"/>
        </w:rPr>
        <w:t>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预算数14.40万元，决算数14.40万元，预决算差异率0.00%，主要原因是：</w:t>
      </w:r>
      <w:r>
        <w:rPr>
          <w:rFonts w:hint="eastAsia" w:ascii="仿宋_GB2312" w:eastAsia="仿宋_GB2312"/>
          <w:color w:val="auto"/>
          <w:sz w:val="32"/>
          <w:szCs w:val="32"/>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预算数0.00万元，决算数0.00万元，预决算差异率0.00%，主要原因是：预决算</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政府性基金预算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rPr>
        <w:t>收入</w:t>
      </w:r>
      <w:r>
        <w:rPr>
          <w:rFonts w:hint="eastAsia" w:ascii="Times New Roman" w:hAnsi="Times New Roman" w:eastAsia="仿宋_GB2312" w:cs="Times New Roman"/>
          <w:color w:val="auto"/>
          <w:sz w:val="32"/>
          <w:szCs w:val="32"/>
          <w:highlight w:val="none"/>
          <w:lang w:val="en-US" w:eastAsia="zh-CN"/>
        </w:rPr>
        <w:t>总计260.00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本年收入260.00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en-US" w:eastAsia="zh-CN"/>
        </w:rPr>
        <w:t>总计260.00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本年支出260.00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rPr>
        <w:t>政府性基金预算财政拨款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rPr>
        <w:t>与上年相比，增加260.00万元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：本年度财政新增偿还历史工程-塔什店镇小城镇基础设施二期工程项目欠款资金240万元、塔什店镇产业规划编制项目</w:t>
      </w:r>
      <w:r>
        <w:rPr>
          <w:rFonts w:hint="eastAsia" w:ascii="Times New Roman" w:hAnsi="Times New Roman" w:eastAsia="仿宋_GB2312" w:cs="Times New Roman"/>
          <w:color w:val="auto"/>
          <w:sz w:val="32"/>
          <w:szCs w:val="32"/>
          <w:highlight w:val="none"/>
          <w:lang w:val="en-US" w:eastAsia="zh-CN"/>
        </w:rPr>
        <w:t>20万元，2022年</w:t>
      </w:r>
      <w:r>
        <w:rPr>
          <w:rFonts w:hint="eastAsia" w:ascii="Times New Roman" w:hAnsi="Times New Roman" w:eastAsia="仿宋_GB2312" w:cs="Times New Roman"/>
          <w:color w:val="auto"/>
          <w:sz w:val="32"/>
          <w:szCs w:val="32"/>
          <w:highlight w:val="none"/>
          <w:lang w:val="zh-CN"/>
        </w:rPr>
        <w:t>未安排此项资金，造成政府基金收入增长变动幅度较大。与</w:t>
      </w:r>
      <w:r>
        <w:rPr>
          <w:rFonts w:hint="eastAsia" w:ascii="Times New Roman" w:hAnsi="Times New Roman" w:eastAsia="仿宋_GB2312" w:cs="Times New Roman"/>
          <w:color w:val="auto"/>
          <w:sz w:val="32"/>
          <w:szCs w:val="32"/>
          <w:highlight w:val="none"/>
          <w:lang w:val="zh-CN" w:eastAsia="zh-CN"/>
        </w:rPr>
        <w:t>年初预算</w:t>
      </w:r>
      <w:r>
        <w:rPr>
          <w:rFonts w:hint="eastAsia" w:ascii="Times New Roman" w:hAnsi="Times New Roman" w:eastAsia="仿宋_GB2312" w:cs="Times New Roman"/>
          <w:color w:val="auto"/>
          <w:sz w:val="32"/>
          <w:szCs w:val="32"/>
          <w:highlight w:val="none"/>
          <w:lang w:val="zh-CN"/>
        </w:rPr>
        <w:t>相比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50.00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260.00</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420.00%，主要原因是：</w:t>
      </w:r>
      <w:r>
        <w:rPr>
          <w:rFonts w:hint="eastAsia" w:eastAsia="仿宋_GB2312" w:cs="Times New Roman"/>
          <w:color w:val="auto"/>
          <w:sz w:val="32"/>
          <w:szCs w:val="32"/>
          <w:highlight w:val="none"/>
          <w:lang w:val="zh-CN"/>
        </w:rPr>
        <w:t>年中追加</w:t>
      </w:r>
      <w:r>
        <w:rPr>
          <w:rFonts w:hint="eastAsia" w:ascii="Times New Roman" w:hAnsi="Times New Roman" w:eastAsia="仿宋_GB2312" w:cs="Times New Roman"/>
          <w:color w:val="auto"/>
          <w:sz w:val="32"/>
          <w:szCs w:val="32"/>
          <w:highlight w:val="none"/>
          <w:lang w:val="zh-CN"/>
        </w:rPr>
        <w:t>偿还历史工程-塔什店镇小城镇基础设施二期工程项目欠款资金240万元。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rPr>
        <w:t>政府性基金预算财政拨款支出</w:t>
      </w:r>
      <w:r>
        <w:rPr>
          <w:rFonts w:hint="eastAsia" w:ascii="Times New Roman" w:hAnsi="Times New Roman" w:eastAsia="仿宋_GB2312" w:cs="Times New Roman"/>
          <w:color w:val="auto"/>
          <w:sz w:val="32"/>
          <w:szCs w:val="32"/>
          <w:highlight w:val="none"/>
          <w:lang w:val="zh-CN" w:eastAsia="zh-CN"/>
        </w:rPr>
        <w:t>260.00</w:t>
      </w:r>
      <w:r>
        <w:rPr>
          <w:rFonts w:hint="eastAsia" w:ascii="Times New Roman" w:hAnsi="Times New Roman" w:eastAsia="仿宋_GB2312" w:cs="Times New Roman"/>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1.城乡社区支出（类）国有土地使用权出让收入安排的支出（款）其他国有土地使用权出让收入安排的支出（项）:支出决算数为240.00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240.00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100%，主要原因是：本年度财政新增偿还历史工程-塔什店镇小城镇基础设施二期工程项目欠款资金240万元，造成该科目支出增长浮动较大。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2.城乡社区支出（类）城市基础设施配套费安排的支出（款）其他城市基础设施配套费安排的支出（项）:支出决算数为20.00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增加</w:t>
      </w:r>
      <w:r>
        <w:rPr>
          <w:rFonts w:hint="eastAsia" w:ascii="Times New Roman" w:hAnsi="Times New Roman" w:eastAsia="仿宋_GB2312" w:cs="Times New Roman"/>
          <w:color w:val="auto"/>
          <w:sz w:val="32"/>
          <w:szCs w:val="32"/>
          <w:highlight w:val="none"/>
          <w:lang w:val="zh-CN"/>
        </w:rPr>
        <w:t>20.00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增长</w:t>
      </w:r>
      <w:r>
        <w:rPr>
          <w:rFonts w:hint="eastAsia" w:ascii="Times New Roman" w:hAnsi="Times New Roman" w:eastAsia="仿宋_GB2312" w:cs="Times New Roman"/>
          <w:color w:val="auto"/>
          <w:sz w:val="32"/>
          <w:szCs w:val="32"/>
          <w:highlight w:val="none"/>
          <w:lang w:val="zh-CN"/>
        </w:rPr>
        <w:t>100%，主要原因是：</w:t>
      </w:r>
      <w:r>
        <w:rPr>
          <w:rFonts w:hint="eastAsia" w:eastAsia="仿宋_GB2312" w:cs="Times New Roman"/>
          <w:color w:val="auto"/>
          <w:sz w:val="32"/>
          <w:szCs w:val="32"/>
          <w:highlight w:val="none"/>
          <w:lang w:val="zh-CN"/>
        </w:rPr>
        <w:t>本年度新增</w:t>
      </w:r>
      <w:r>
        <w:rPr>
          <w:rFonts w:hint="eastAsia" w:ascii="Times New Roman" w:hAnsi="Times New Roman" w:eastAsia="仿宋_GB2312" w:cs="Times New Roman"/>
          <w:color w:val="auto"/>
          <w:sz w:val="32"/>
          <w:szCs w:val="32"/>
          <w:highlight w:val="none"/>
          <w:lang w:val="zh-CN"/>
        </w:rPr>
        <w:t>塔什店镇产业规划编制项目支出</w:t>
      </w:r>
      <w:r>
        <w:rPr>
          <w:rFonts w:hint="eastAsia" w:ascii="Times New Roman" w:hAnsi="Times New Roman" w:eastAsia="仿宋_GB2312" w:cs="Times New Roman"/>
          <w:color w:val="auto"/>
          <w:sz w:val="32"/>
          <w:szCs w:val="32"/>
          <w:highlight w:val="none"/>
          <w:lang w:val="en-US" w:eastAsia="zh-CN"/>
        </w:rPr>
        <w:t>20万元，2022年</w:t>
      </w:r>
      <w:r>
        <w:rPr>
          <w:rFonts w:hint="eastAsia" w:ascii="Times New Roman" w:hAnsi="Times New Roman" w:eastAsia="仿宋_GB2312" w:cs="Times New Roman"/>
          <w:color w:val="auto"/>
          <w:sz w:val="32"/>
          <w:szCs w:val="32"/>
          <w:highlight w:val="none"/>
          <w:lang w:val="zh-CN"/>
        </w:rPr>
        <w:t>未安排此项资金，造成该科目支出增长浮动较大。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总计14.34</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14.34万元。国有资本经营预算财政拨款支出</w:t>
      </w:r>
      <w:r>
        <w:rPr>
          <w:rFonts w:hint="eastAsia" w:ascii="Times New Roman" w:hAnsi="Times New Roman" w:eastAsia="仿宋_GB2312" w:cs="Times New Roman"/>
          <w:color w:val="auto"/>
          <w:sz w:val="32"/>
          <w:szCs w:val="32"/>
          <w:highlight w:val="none"/>
          <w:lang w:val="en-US" w:eastAsia="zh-CN"/>
        </w:rPr>
        <w:t>总计14.34</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14.34万元。</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与上年相比，增加14.34万元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本年度新增企业移交国有企业退休人员社会化管理补助项目，新增移交人员</w:t>
      </w:r>
      <w:r>
        <w:rPr>
          <w:rFonts w:hint="eastAsia" w:eastAsia="仿宋_GB2312" w:cs="Times New Roman"/>
          <w:color w:val="auto"/>
          <w:sz w:val="32"/>
          <w:szCs w:val="32"/>
          <w:highlight w:val="none"/>
          <w:lang w:val="en-US" w:eastAsia="zh-CN"/>
        </w:rPr>
        <w:t>326人，造成国有资本经营预算收入增长浮动较大</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1.10</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14.34</w:t>
      </w:r>
      <w:r>
        <w:rPr>
          <w:rFonts w:hint="eastAsia" w:ascii="Times New Roman" w:hAnsi="Times New Roman" w:eastAsia="仿宋_GB2312" w:cs="Times New Roman"/>
          <w:color w:val="auto"/>
          <w:sz w:val="32"/>
          <w:szCs w:val="32"/>
          <w:highlight w:val="none"/>
          <w:lang w:val="zh-CN" w:eastAsia="zh-CN"/>
        </w:rPr>
        <w:t>万元，预决算差异率</w:t>
      </w:r>
      <w:r>
        <w:rPr>
          <w:rFonts w:hint="eastAsia" w:eastAsia="仿宋_GB2312" w:cs="Times New Roman"/>
          <w:color w:val="auto"/>
          <w:sz w:val="32"/>
          <w:szCs w:val="32"/>
          <w:highlight w:val="none"/>
          <w:lang w:val="en-US" w:eastAsia="zh-CN"/>
        </w:rPr>
        <w:t>1203.64</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本年实际移交企业社会化管理补助退休人员较预算人数多</w:t>
      </w:r>
      <w:r>
        <w:rPr>
          <w:rFonts w:hint="eastAsia" w:eastAsia="仿宋_GB2312" w:cs="Times New Roman"/>
          <w:color w:val="auto"/>
          <w:sz w:val="32"/>
          <w:szCs w:val="32"/>
          <w:highlight w:val="none"/>
          <w:lang w:val="en-US" w:eastAsia="zh-CN"/>
        </w:rPr>
        <w:t>300余人，年中追加预算13.24万元，造成国有资本经营预算收入预决算差异率较高</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14.34</w:t>
      </w:r>
      <w:r>
        <w:rPr>
          <w:rFonts w:hint="eastAsia" w:ascii="Times New Roman" w:hAnsi="Times New Roman" w:eastAsia="仿宋_GB2312" w:cs="Times New Roman"/>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1.国有资本经营预算支出（类）解决历史遗留问题及改革成本支出（款）国有企业退休人员社会化管理补助支出（项）:支出决算数为14.34</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14.34</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eastAsia="仿宋_GB2312" w:cs="Times New Roman"/>
          <w:color w:val="auto"/>
          <w:sz w:val="32"/>
          <w:szCs w:val="32"/>
          <w:highlight w:val="none"/>
          <w:lang w:val="zh-CN" w:eastAsia="zh-CN"/>
        </w:rPr>
        <w:t>本年度新增企业移交国有企业退休人员社会化管理补助项目，新增移交人员</w:t>
      </w:r>
      <w:r>
        <w:rPr>
          <w:rFonts w:hint="eastAsia" w:eastAsia="仿宋_GB2312" w:cs="Times New Roman"/>
          <w:color w:val="auto"/>
          <w:sz w:val="32"/>
          <w:szCs w:val="32"/>
          <w:highlight w:val="none"/>
          <w:lang w:val="en-US" w:eastAsia="zh-CN"/>
        </w:rPr>
        <w:t>326人，上年度未安排此项支出，造成国有资本经营预算收入增长浮动较大</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库尔勒市塔什店镇人民政府（行政单位和参照公务员法管理事业单位）机关运行经费支出149.40万元，</w:t>
      </w:r>
      <w:r>
        <w:rPr>
          <w:rFonts w:hint="eastAsia" w:ascii="Times New Roman" w:hAnsi="Times New Roman" w:eastAsia="仿宋_GB2312" w:cs="Times New Roman"/>
          <w:color w:val="auto"/>
          <w:sz w:val="32"/>
          <w:szCs w:val="32"/>
          <w:highlight w:val="none"/>
          <w:lang w:val="zh-CN" w:eastAsia="zh-CN"/>
        </w:rPr>
        <w:t>比上年增加0.12万元，增长0.08%，主要原因是：</w:t>
      </w:r>
      <w:r>
        <w:rPr>
          <w:rFonts w:hint="eastAsia" w:eastAsia="仿宋_GB2312" w:cs="Times New Roman"/>
          <w:color w:val="auto"/>
          <w:sz w:val="32"/>
          <w:szCs w:val="32"/>
          <w:highlight w:val="none"/>
          <w:lang w:val="zh-CN" w:eastAsia="zh-CN"/>
        </w:rPr>
        <w:t>人员增加导致机关运行经费相应增长</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443.88万元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其中：政府采购货物支出2.37万元、政府采购工程支出110.60万元、政府采购服务支出330.92万元。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授予中小企业合同金额443.88万元，占政府采购支出总额的100.00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，其中：授予小微企业合同金额433.18万元，占政府采购支出总额的97.59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1,181.85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屋5,916.93平方米，价值568.46万元。车辆15辆，价值131.48万元，其中：副部（省）级及以上领导用车0辆、主要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用车0辆、其他用车15辆，其他用车主要是：</w:t>
      </w:r>
      <w:r>
        <w:rPr>
          <w:rFonts w:hint="eastAsia" w:eastAsia="仿宋_GB2312" w:cs="Times New Roman"/>
          <w:color w:val="auto"/>
          <w:sz w:val="32"/>
          <w:szCs w:val="32"/>
          <w:highlight w:val="none"/>
          <w:lang w:val="zh-CN" w:eastAsia="zh-CN"/>
        </w:rPr>
        <w:t>机关一般公务车辆</w:t>
      </w:r>
      <w:r>
        <w:rPr>
          <w:rFonts w:hint="eastAsia" w:eastAsia="仿宋_GB2312" w:cs="Times New Roman"/>
          <w:color w:val="auto"/>
          <w:sz w:val="32"/>
          <w:szCs w:val="32"/>
          <w:highlight w:val="none"/>
          <w:lang w:val="en-US" w:eastAsia="zh-CN"/>
        </w:rPr>
        <w:t>3</w:t>
      </w:r>
      <w:r>
        <w:rPr>
          <w:rFonts w:hint="eastAsia" w:eastAsia="仿宋_GB2312" w:cs="Times New Roman"/>
          <w:color w:val="auto"/>
          <w:sz w:val="32"/>
          <w:szCs w:val="32"/>
          <w:highlight w:val="none"/>
          <w:lang w:val="zh-CN" w:eastAsia="zh-CN"/>
        </w:rPr>
        <w:t>辆、社区巡逻车辆</w:t>
      </w:r>
      <w:r>
        <w:rPr>
          <w:rFonts w:hint="eastAsia" w:eastAsia="仿宋_GB2312" w:cs="Times New Roman"/>
          <w:color w:val="auto"/>
          <w:sz w:val="32"/>
          <w:szCs w:val="32"/>
          <w:highlight w:val="none"/>
          <w:lang w:val="en-US" w:eastAsia="zh-CN"/>
        </w:rPr>
        <w:t>7辆、所属事业单位用车5辆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hAnsi="Times New Roman" w:eastAsia="仿宋_GB2312" w:cs="Times New Roman"/>
          <w:color w:val="auto"/>
          <w:sz w:val="32"/>
          <w:szCs w:val="32"/>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预算总额1790.75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实际执行总额1790.75</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全年预算数113.03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全年执行数55.83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hAnsi="Times New Roman" w:eastAsia="仿宋_GB2312" w:cs="Times New Roman"/>
          <w:color w:val="auto"/>
          <w:sz w:val="32"/>
          <w:szCs w:val="32"/>
          <w:highlight w:val="none"/>
          <w:lang w:val="en-US" w:eastAsia="zh-CN"/>
        </w:rPr>
        <w:t>一是通过严谨的预算编制，使我</w:t>
      </w:r>
      <w:r>
        <w:rPr>
          <w:rFonts w:hint="eastAsia" w:ascii="仿宋_GB2312" w:eastAsia="仿宋_GB2312" w:cs="Times New Roman"/>
          <w:color w:val="auto"/>
          <w:sz w:val="32"/>
          <w:szCs w:val="32"/>
          <w:highlight w:val="none"/>
          <w:lang w:val="en-US" w:eastAsia="zh-CN"/>
        </w:rPr>
        <w:t>部门</w:t>
      </w:r>
      <w:r>
        <w:rPr>
          <w:rFonts w:hint="eastAsia" w:ascii="仿宋_GB2312" w:hAnsi="Times New Roman" w:eastAsia="仿宋_GB2312" w:cs="Times New Roman"/>
          <w:color w:val="auto"/>
          <w:sz w:val="32"/>
          <w:szCs w:val="32"/>
          <w:highlight w:val="none"/>
          <w:lang w:val="en-US" w:eastAsia="zh-CN"/>
        </w:rPr>
        <w:t>的规划与目标得以细化为具体的可衡量的财务指标和业务计划，各项指标达到了预期。二是为成本控制提供了有力的依据和约束。通过对各项成本进行细致的分类分析，制定合理的成本预算标准，严控成本支出，杜绝了不必要的浪费，成本效益显著提升。三是优化了资源配置。对重点项目</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给予了充分的支持和保障；对于一般项目和低效益项目，及时调整和削减。发现的问题及原因：一是部分人员思想认识还不到</w:t>
      </w:r>
      <w:r>
        <w:rPr>
          <w:rFonts w:hint="eastAsia" w:ascii="仿宋_GB2312" w:hAnsi="Times New Roman" w:eastAsia="仿宋_GB2312" w:cs="Times New Roman"/>
          <w:color w:val="auto"/>
          <w:sz w:val="32"/>
          <w:szCs w:val="32"/>
          <w:lang w:eastAsia="zh-CN"/>
        </w:rPr>
        <w:t>位，没有认识到绩效管理的重要性，工作中消极被动、缺乏主动性；二是财务管理水平有待提高。财务工作按部就班，缺乏创新，在精度和深度上欠缺，还需要进一步完善，尤其在项目建设方面还需要进一步严格。</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w:t>
      </w:r>
      <w:r>
        <w:rPr>
          <w:rFonts w:hint="eastAsia" w:ascii="仿宋_GB2312" w:hAnsi="Times New Roman" w:eastAsia="仿宋_GB2312" w:cs="Times New Roman"/>
          <w:color w:val="auto"/>
          <w:sz w:val="32"/>
          <w:szCs w:val="32"/>
          <w:lang w:eastAsia="zh-CN"/>
        </w:rPr>
        <w:t>一是强化绩效理念，加大绩效管理理念宣传力度，使各部门切实认识到效评价的重要性，切实落实预算单位的主体责任、明确职责，增强预算绩效管理的刚性，强化评结果的落实，增强实施方案对项目整个实施过程的指导，同时提高项目实施方案的可操作性；二是建议财政部门加强对各单位财务人员队伍建设的重视，加强对财务人员做好各项财务工作的指导和培训</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pStyle w:val="2"/>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pStyle w:val="2"/>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pStyle w:val="2"/>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pStyle w:val="2"/>
        <w:rPr>
          <w:rFonts w:hint="eastAsia" w:ascii="黑体" w:hAnsi="黑体" w:eastAsia="仿宋_GB2312" w:cs="宋体"/>
          <w:bCs/>
          <w:color w:val="auto"/>
          <w:kern w:val="0"/>
          <w:sz w:val="32"/>
          <w:szCs w:val="32"/>
          <w:highlight w:val="none"/>
        </w:rPr>
      </w:pPr>
    </w:p>
    <w:p>
      <w:pPr>
        <w:rPr>
          <w:rFonts w:hint="eastAsia" w:ascii="黑体" w:hAnsi="黑体" w:eastAsia="仿宋_GB2312" w:cs="宋体"/>
          <w:bCs/>
          <w:color w:val="auto"/>
          <w:kern w:val="0"/>
          <w:sz w:val="32"/>
          <w:szCs w:val="32"/>
          <w:highlight w:val="none"/>
        </w:rPr>
      </w:pPr>
    </w:p>
    <w:p>
      <w:pPr>
        <w:pStyle w:val="2"/>
        <w:rPr>
          <w:rFonts w:hint="eastAsia"/>
        </w:rPr>
      </w:pPr>
      <w:r>
        <w:rPr>
          <w:rFonts w:hint="eastAsia"/>
        </w:rPr>
        <w:object>
          <v:shape id="_x0000_i1025" o:spt="75" type="#_x0000_t75" style="height:521.45pt;width:415.15pt;" o:ole="t" filled="f" o:preferrelative="t" stroked="f" coordsize="21600,21600">
            <v:path/>
            <v:fill on="f" focussize="0,0"/>
            <v:stroke on="f"/>
            <v:imagedata r:id="rId6" o:title=""/>
            <o:lock v:ext="edit" aspectratio="f"/>
            <w10:wrap type="none"/>
            <w10:anchorlock/>
          </v:shape>
          <o:OLEObject Type="Embed" ProgID="Excel.Sheet.8" ShapeID="_x0000_i1025" DrawAspect="Content" ObjectID="_1468075725" r:id="rId5">
            <o:LockedField>false</o:LockedField>
          </o:OLEObject>
        </w:object>
      </w:r>
    </w:p>
    <w:p>
      <w:pPr>
        <w:rPr>
          <w:rFonts w:hint="eastAsia"/>
        </w:rPr>
      </w:pPr>
    </w:p>
    <w:p>
      <w:pPr>
        <w:pStyle w:val="2"/>
        <w:rPr>
          <w:rFonts w:hint="eastAsia"/>
        </w:rPr>
      </w:pPr>
    </w:p>
    <w:p>
      <w:pPr>
        <w:rPr>
          <w:rFonts w:hint="eastAsia"/>
        </w:rPr>
      </w:pPr>
    </w:p>
    <w:p>
      <w:pPr>
        <w:pStyle w:val="2"/>
        <w:rPr>
          <w:rFonts w:hint="eastAsia"/>
        </w:rPr>
      </w:pPr>
      <w:r>
        <w:rPr>
          <w:rFonts w:hint="eastAsia"/>
        </w:rPr>
        <w:object>
          <v:shape id="_x0000_i1026" o:spt="75" type="#_x0000_t75" style="height:534.05pt;width:414.6pt;" o:ole="t" filled="f" o:preferrelative="t" stroked="f" coordsize="21600,21600">
            <v:path/>
            <v:fill on="f" focussize="0,0"/>
            <v:stroke on="f"/>
            <v:imagedata r:id="rId8" o:title=""/>
            <o:lock v:ext="edit" aspectratio="f"/>
            <w10:wrap type="none"/>
            <w10:anchorlock/>
          </v:shape>
          <o:OLEObject Type="Embed" ProgID="Excel.Sheet.8" ShapeID="_x0000_i1026" DrawAspect="Content" ObjectID="_1468075726" r:id="rId7">
            <o:LockedField>false</o:LockedField>
          </o:OLEObject>
        </w:object>
      </w:r>
    </w:p>
    <w:p>
      <w:pPr>
        <w:rPr>
          <w:rFonts w:hint="eastAsia"/>
        </w:rPr>
      </w:pPr>
    </w:p>
    <w:p>
      <w:pPr>
        <w:pStyle w:val="2"/>
        <w:rPr>
          <w:rFonts w:hint="eastAsia"/>
        </w:rPr>
      </w:pPr>
    </w:p>
    <w:p>
      <w:pPr>
        <w:rPr>
          <w:rFonts w:hint="eastAsia"/>
        </w:rPr>
      </w:pPr>
    </w:p>
    <w:p>
      <w:pPr>
        <w:pStyle w:val="2"/>
        <w:rPr>
          <w:rFonts w:hint="eastAsia"/>
        </w:rPr>
      </w:pPr>
      <w:r>
        <w:rPr>
          <w:rFonts w:hint="eastAsia"/>
        </w:rPr>
        <w:object>
          <v:shape id="_x0000_i1027" o:spt="75" type="#_x0000_t75" style="height:571.4pt;width:414.75pt;" o:ole="t" filled="f" o:preferrelative="t" stroked="f" coordsize="21600,21600">
            <v:path/>
            <v:fill on="f" focussize="0,0"/>
            <v:stroke on="f"/>
            <v:imagedata r:id="rId10" o:title=""/>
            <o:lock v:ext="edit" aspectratio="f"/>
            <w10:wrap type="none"/>
            <w10:anchorlock/>
          </v:shape>
          <o:OLEObject Type="Embed" ProgID="Excel.Sheet.8" ShapeID="_x0000_i1027" DrawAspect="Content" ObjectID="_1468075727" r:id="rId9">
            <o:LockedField>false</o:LockedField>
          </o:OLEObject>
        </w:object>
      </w:r>
    </w:p>
    <w:p>
      <w:pPr>
        <w:rPr>
          <w:rFonts w:hint="eastAsia"/>
        </w:rPr>
      </w:pPr>
    </w:p>
    <w:p>
      <w:pPr>
        <w:pStyle w:val="2"/>
        <w:rPr>
          <w:rFonts w:hint="eastAsia"/>
        </w:rPr>
      </w:pPr>
    </w:p>
    <w:p>
      <w:pPr>
        <w:rPr>
          <w:rFonts w:hint="eastAsia"/>
        </w:rPr>
      </w:pPr>
    </w:p>
    <w:p>
      <w:pPr>
        <w:pStyle w:val="2"/>
        <w:rPr>
          <w:rFonts w:hint="eastAsia"/>
        </w:rPr>
      </w:pPr>
      <w:r>
        <w:rPr>
          <w:rFonts w:hint="eastAsia"/>
        </w:rPr>
        <w:object>
          <v:shape id="_x0000_i1028" o:spt="75" type="#_x0000_t75" style="height:371.25pt;width:415.3pt;" o:ole="t" filled="f" o:preferrelative="t" stroked="f" coordsize="21600,21600">
            <v:path/>
            <v:fill on="f" focussize="0,0"/>
            <v:stroke on="f"/>
            <v:imagedata r:id="rId12" o:title=""/>
            <o:lock v:ext="edit" aspectratio="f"/>
            <w10:wrap type="none"/>
            <w10:anchorlock/>
          </v:shape>
          <o:OLEObject Type="Embed" ProgID="Excel.Sheet.8" ShapeID="_x0000_i1028" DrawAspect="Content" ObjectID="_1468075728" r:id="rId11">
            <o:LockedField>false</o:LockedField>
          </o:OLEObject>
        </w:object>
      </w: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object>
          <v:shape id="_x0000_i1029" o:spt="75" type="#_x0000_t75" style="height:578.15pt;width:414.85pt;" o:ole="t" filled="f" o:preferrelative="t" stroked="f" coordsize="21600,21600">
            <v:path/>
            <v:fill on="f" focussize="0,0"/>
            <v:stroke on="f"/>
            <v:imagedata r:id="rId14" o:title=""/>
            <o:lock v:ext="edit" aspectratio="f"/>
            <w10:wrap type="none"/>
            <w10:anchorlock/>
          </v:shape>
          <o:OLEObject Type="Embed" ProgID="Excel.Sheet.8" ShapeID="_x0000_i1029" DrawAspect="Content" ObjectID="_1468075729" r:id="rId13">
            <o:LockedField>false</o:LockedField>
          </o:OLEObject>
        </w:object>
      </w:r>
    </w:p>
    <w:p>
      <w:pPr>
        <w:pStyle w:val="2"/>
        <w:rPr>
          <w:rFonts w:hint="eastAsia" w:ascii="仿宋_GB2312" w:eastAsia="仿宋_GB2312"/>
          <w:color w:val="auto"/>
          <w:sz w:val="32"/>
          <w:szCs w:val="32"/>
          <w:highlight w:val="none"/>
        </w:rPr>
      </w:pPr>
    </w:p>
    <w:p>
      <w:pPr>
        <w:rPr>
          <w:rFonts w:hint="eastAsia" w:ascii="仿宋_GB2312" w:eastAsia="仿宋_GB2312"/>
          <w:color w:val="auto"/>
          <w:sz w:val="32"/>
          <w:szCs w:val="32"/>
          <w:highlight w:val="none"/>
        </w:rPr>
      </w:pPr>
    </w:p>
    <w:p>
      <w:pPr>
        <w:pStyle w:val="2"/>
        <w:rPr>
          <w:rFonts w:hint="eastAsia"/>
        </w:rPr>
      </w:pPr>
      <w:r>
        <w:drawing>
          <wp:inline distT="0" distB="0" distL="114300" distR="114300">
            <wp:extent cx="5307330" cy="7698740"/>
            <wp:effectExtent l="0" t="0" r="11430" b="12700"/>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5"/>
                    <a:stretch>
                      <a:fillRect/>
                    </a:stretch>
                  </pic:blipFill>
                  <pic:spPr>
                    <a:xfrm>
                      <a:off x="0" y="0"/>
                      <a:ext cx="5307330" cy="7698740"/>
                    </a:xfrm>
                    <a:prstGeom prst="rect">
                      <a:avLst/>
                    </a:prstGeom>
                    <a:noFill/>
                    <a:ln>
                      <a:noFill/>
                    </a:ln>
                  </pic:spPr>
                </pic:pic>
              </a:graphicData>
            </a:graphic>
          </wp:inline>
        </w:drawing>
      </w: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r>
        <w:rPr>
          <w:rFonts w:hint="eastAsia"/>
        </w:rPr>
        <w:object>
          <v:shape id="_x0000_i1030" o:spt="75" type="#_x0000_t75" style="height:142.2pt;width:414.9pt;" o:ole="t" filled="f" o:preferrelative="t" stroked="f" coordsize="21600,21600">
            <v:path/>
            <v:fill on="f" focussize="0,0"/>
            <v:stroke on="f"/>
            <v:imagedata r:id="rId17" o:title=""/>
            <o:lock v:ext="edit" aspectratio="f"/>
            <w10:wrap type="none"/>
            <w10:anchorlock/>
          </v:shape>
          <o:OLEObject Type="Embed" ProgID="Excel.Sheet.8" ShapeID="_x0000_i1030" DrawAspect="Content" ObjectID="_1468075730" r:id="rId16">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rPr>
          <w:rFonts w:hint="eastAsia" w:ascii="黑体" w:hAnsi="黑体" w:eastAsia="黑体" w:cs="宋体"/>
          <w:bCs/>
          <w:color w:val="auto"/>
          <w:kern w:val="0"/>
          <w:sz w:val="32"/>
          <w:szCs w:val="32"/>
          <w:highlight w:val="none"/>
          <w:lang w:eastAsia="zh-CN"/>
        </w:rPr>
      </w:pPr>
    </w:p>
    <w:p>
      <w:pPr>
        <w:pStyle w:val="2"/>
        <w:rPr>
          <w:rFonts w:hint="eastAsia"/>
          <w:lang w:eastAsia="zh-CN"/>
        </w:rPr>
      </w:pPr>
      <w:r>
        <w:rPr>
          <w:rFonts w:hint="eastAsia"/>
          <w:lang w:eastAsia="zh-CN"/>
        </w:rPr>
        <w:object>
          <v:shape id="_x0000_i1031" o:spt="75" type="#_x0000_t75" style="height:155.65pt;width:415.15pt;" o:ole="t" filled="f" o:preferrelative="t" stroked="f" coordsize="21600,21600">
            <v:path/>
            <v:fill on="f" focussize="0,0"/>
            <v:stroke on="f"/>
            <v:imagedata r:id="rId19" o:title=""/>
            <o:lock v:ext="edit" aspectratio="f"/>
            <w10:wrap type="none"/>
            <w10:anchorlock/>
          </v:shape>
          <o:OLEObject Type="Embed" ProgID="Excel.Sheet.8" ShapeID="_x0000_i1031" DrawAspect="Content" ObjectID="_1468075731" r:id="rId18">
            <o:LockedField>false</o:LockedField>
          </o:OLEObject>
        </w:object>
      </w: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r>
        <w:rPr>
          <w:rFonts w:hint="eastAsia"/>
          <w:lang w:eastAsia="zh-CN"/>
        </w:rPr>
        <w:object>
          <v:shape id="_x0000_i1032" o:spt="75" type="#_x0000_t75" style="height:144.6pt;width:414.6pt;" o:ole="t" filled="f" o:preferrelative="t" stroked="f" coordsize="21600,21600">
            <v:path/>
            <v:fill on="f" focussize="0,0"/>
            <v:stroke on="f"/>
            <v:imagedata r:id="rId21" o:title=""/>
            <o:lock v:ext="edit" aspectratio="f"/>
            <w10:wrap type="none"/>
            <w10:anchorlock/>
          </v:shape>
          <o:OLEObject Type="Embed" ProgID="Excel.Sheet.8" ShapeID="_x0000_i1032" DrawAspect="Content" ObjectID="_1468075732" r:id="rId20">
            <o:LockedField>false</o:LockedField>
          </o:OLEObject>
        </w:objec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jZDkzNDQ4NTc2YzZkMWRmMjYwMjhkYzI4NjdmYT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AA78A8"/>
    <w:rsid w:val="03E05CE8"/>
    <w:rsid w:val="03F973EE"/>
    <w:rsid w:val="043E5B56"/>
    <w:rsid w:val="04C04386"/>
    <w:rsid w:val="04D96608"/>
    <w:rsid w:val="04FA68C4"/>
    <w:rsid w:val="053F5AE6"/>
    <w:rsid w:val="057C0B0F"/>
    <w:rsid w:val="05EF4B48"/>
    <w:rsid w:val="05F76ECA"/>
    <w:rsid w:val="06792773"/>
    <w:rsid w:val="06807C16"/>
    <w:rsid w:val="07093795"/>
    <w:rsid w:val="07804730"/>
    <w:rsid w:val="079052BE"/>
    <w:rsid w:val="08145C21"/>
    <w:rsid w:val="08422688"/>
    <w:rsid w:val="085854ED"/>
    <w:rsid w:val="0879188F"/>
    <w:rsid w:val="08A0354D"/>
    <w:rsid w:val="08CD4C49"/>
    <w:rsid w:val="09114954"/>
    <w:rsid w:val="095A5B83"/>
    <w:rsid w:val="096466E3"/>
    <w:rsid w:val="0968304D"/>
    <w:rsid w:val="09AF3D17"/>
    <w:rsid w:val="0A320976"/>
    <w:rsid w:val="0A7809B7"/>
    <w:rsid w:val="0A7B4867"/>
    <w:rsid w:val="0A840954"/>
    <w:rsid w:val="0A9928ED"/>
    <w:rsid w:val="0B61769D"/>
    <w:rsid w:val="0B8C3ECC"/>
    <w:rsid w:val="0B9C639D"/>
    <w:rsid w:val="0BB052B2"/>
    <w:rsid w:val="0BD33FFC"/>
    <w:rsid w:val="0BE97AC1"/>
    <w:rsid w:val="0C1C4780"/>
    <w:rsid w:val="0C3613A3"/>
    <w:rsid w:val="0C5E519C"/>
    <w:rsid w:val="0C64693A"/>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457E2E"/>
    <w:rsid w:val="176747F9"/>
    <w:rsid w:val="17954A6E"/>
    <w:rsid w:val="180059E9"/>
    <w:rsid w:val="184510FD"/>
    <w:rsid w:val="190648B0"/>
    <w:rsid w:val="19071D6C"/>
    <w:rsid w:val="19D26CD4"/>
    <w:rsid w:val="19E60D19"/>
    <w:rsid w:val="1A3E3450"/>
    <w:rsid w:val="1AD807E5"/>
    <w:rsid w:val="1B39345B"/>
    <w:rsid w:val="1B995899"/>
    <w:rsid w:val="1BFB2A1F"/>
    <w:rsid w:val="1C015D4A"/>
    <w:rsid w:val="1C290ED5"/>
    <w:rsid w:val="1C317E4F"/>
    <w:rsid w:val="1C472464"/>
    <w:rsid w:val="1D22799A"/>
    <w:rsid w:val="1D5C1A72"/>
    <w:rsid w:val="1DAF458D"/>
    <w:rsid w:val="1E086ACE"/>
    <w:rsid w:val="1E62130A"/>
    <w:rsid w:val="1E90231B"/>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C7DC3"/>
    <w:rsid w:val="2FFE4BB0"/>
    <w:rsid w:val="300E7B60"/>
    <w:rsid w:val="300F6E18"/>
    <w:rsid w:val="30862F5F"/>
    <w:rsid w:val="314029C9"/>
    <w:rsid w:val="31C63837"/>
    <w:rsid w:val="31C82E39"/>
    <w:rsid w:val="32601BAD"/>
    <w:rsid w:val="329F6389"/>
    <w:rsid w:val="332F2FC2"/>
    <w:rsid w:val="33723946"/>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2B538A"/>
    <w:rsid w:val="385E3AC3"/>
    <w:rsid w:val="387D6B9E"/>
    <w:rsid w:val="38B75FF0"/>
    <w:rsid w:val="38D45016"/>
    <w:rsid w:val="38D90432"/>
    <w:rsid w:val="3914510A"/>
    <w:rsid w:val="3926770B"/>
    <w:rsid w:val="398D3668"/>
    <w:rsid w:val="39A83332"/>
    <w:rsid w:val="39DA0497"/>
    <w:rsid w:val="3A893816"/>
    <w:rsid w:val="3A893B6D"/>
    <w:rsid w:val="3AD1763A"/>
    <w:rsid w:val="3B6716E3"/>
    <w:rsid w:val="3B6C6B2D"/>
    <w:rsid w:val="3C242659"/>
    <w:rsid w:val="3C2A4676"/>
    <w:rsid w:val="3C96719C"/>
    <w:rsid w:val="3CA72BE8"/>
    <w:rsid w:val="3CF37F8C"/>
    <w:rsid w:val="3CF63592"/>
    <w:rsid w:val="3D137554"/>
    <w:rsid w:val="3D5275AC"/>
    <w:rsid w:val="3DCC2473"/>
    <w:rsid w:val="3DE1275F"/>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785708"/>
    <w:rsid w:val="42A258CA"/>
    <w:rsid w:val="434E6957"/>
    <w:rsid w:val="43BA0E31"/>
    <w:rsid w:val="43C15147"/>
    <w:rsid w:val="43E14DD2"/>
    <w:rsid w:val="43F800E9"/>
    <w:rsid w:val="443A7E4B"/>
    <w:rsid w:val="452F5B3A"/>
    <w:rsid w:val="454E7FD2"/>
    <w:rsid w:val="457700EE"/>
    <w:rsid w:val="46061BDC"/>
    <w:rsid w:val="461404F8"/>
    <w:rsid w:val="46413018"/>
    <w:rsid w:val="464B7E04"/>
    <w:rsid w:val="468041AA"/>
    <w:rsid w:val="468123C6"/>
    <w:rsid w:val="46901EEE"/>
    <w:rsid w:val="469C74D2"/>
    <w:rsid w:val="47445515"/>
    <w:rsid w:val="474B4782"/>
    <w:rsid w:val="479779C7"/>
    <w:rsid w:val="47D90D14"/>
    <w:rsid w:val="48387FB0"/>
    <w:rsid w:val="483A6114"/>
    <w:rsid w:val="488727DB"/>
    <w:rsid w:val="48B82268"/>
    <w:rsid w:val="48C354B3"/>
    <w:rsid w:val="48FC50D9"/>
    <w:rsid w:val="493D58B5"/>
    <w:rsid w:val="494A7A04"/>
    <w:rsid w:val="4A0A26D2"/>
    <w:rsid w:val="4A2019A5"/>
    <w:rsid w:val="4A241A0B"/>
    <w:rsid w:val="4A362EA9"/>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0B5239"/>
    <w:rsid w:val="523F66E6"/>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7B"/>
    <w:rsid w:val="5CBB0CE2"/>
    <w:rsid w:val="5CC17177"/>
    <w:rsid w:val="5CF306BC"/>
    <w:rsid w:val="5D3F3D64"/>
    <w:rsid w:val="5D833043"/>
    <w:rsid w:val="5DCA41FA"/>
    <w:rsid w:val="5DD92690"/>
    <w:rsid w:val="5DDB1CFD"/>
    <w:rsid w:val="5E7E6D93"/>
    <w:rsid w:val="5ED44800"/>
    <w:rsid w:val="5F350BDE"/>
    <w:rsid w:val="5F61632C"/>
    <w:rsid w:val="5FA17648"/>
    <w:rsid w:val="5FE705CB"/>
    <w:rsid w:val="603D5080"/>
    <w:rsid w:val="60D0261B"/>
    <w:rsid w:val="6189617B"/>
    <w:rsid w:val="618E3791"/>
    <w:rsid w:val="61947DCA"/>
    <w:rsid w:val="61A46A97"/>
    <w:rsid w:val="61D1382F"/>
    <w:rsid w:val="61F114A2"/>
    <w:rsid w:val="622B0ABA"/>
    <w:rsid w:val="62512BB4"/>
    <w:rsid w:val="625D2CAF"/>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781506"/>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903B6"/>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9.e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7.bin"/><Relationship Id="rId17" Type="http://schemas.openxmlformats.org/officeDocument/2006/relationships/image" Target="media/image7.emf"/><Relationship Id="rId16" Type="http://schemas.openxmlformats.org/officeDocument/2006/relationships/oleObject" Target="embeddings/oleObject6.bin"/><Relationship Id="rId15" Type="http://schemas.openxmlformats.org/officeDocument/2006/relationships/image" Target="media/image6.png"/><Relationship Id="rId14" Type="http://schemas.openxmlformats.org/officeDocument/2006/relationships/image" Target="media/image5.emf"/><Relationship Id="rId13" Type="http://schemas.openxmlformats.org/officeDocument/2006/relationships/oleObject" Target="embeddings/oleObject5.bin"/><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8886</Words>
  <Characters>9948</Characters>
  <Lines>0</Lines>
  <Paragraphs>0</Paragraphs>
  <TotalTime>110</TotalTime>
  <ScaleCrop>false</ScaleCrop>
  <LinksUpToDate>false</LinksUpToDate>
  <CharactersWithSpaces>9975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2024-12-02T08:01:14Z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FDD138EE5BC748CD8C223EDA329CF57B_13</vt:lpwstr>
  </property>
</Properties>
</file>