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800" w:firstLineChars="200"/>
        <w:jc w:val="center"/>
        <w:textAlignment w:val="auto"/>
        <w:outlineLvl w:val="0"/>
        <w:rPr>
          <w:rFonts w:hint="eastAsia" w:ascii="方正小标宋_GBK" w:hAnsi="方正小标宋_GBK" w:eastAsia="方正小标宋_GBK" w:cs="方正小标宋_GBK"/>
          <w:b w:val="0"/>
          <w:bCs/>
          <w:color w:val="auto"/>
          <w:kern w:val="0"/>
          <w:sz w:val="40"/>
          <w:szCs w:val="40"/>
          <w:highlight w:val="none"/>
        </w:rPr>
      </w:pPr>
      <w:r>
        <w:rPr>
          <w:rFonts w:hint="eastAsia" w:ascii="方正小标宋_GBK" w:hAnsi="方正小标宋_GBK" w:eastAsia="方正小标宋_GBK" w:cs="方正小标宋_GBK"/>
          <w:b w:val="0"/>
          <w:bCs/>
          <w:color w:val="auto"/>
          <w:kern w:val="0"/>
          <w:sz w:val="40"/>
          <w:szCs w:val="40"/>
          <w:highlight w:val="none"/>
          <w:lang w:val="en-US" w:eastAsia="zh-CN"/>
        </w:rPr>
        <w:t>库尔勒市</w:t>
      </w:r>
      <w:r>
        <w:rPr>
          <w:rFonts w:hint="eastAsia" w:ascii="方正小标宋_GBK" w:hAnsi="方正小标宋_GBK" w:eastAsia="方正小标宋_GBK" w:cs="方正小标宋_GBK"/>
          <w:b w:val="0"/>
          <w:bCs/>
          <w:color w:val="auto"/>
          <w:kern w:val="0"/>
          <w:sz w:val="40"/>
          <w:szCs w:val="40"/>
          <w:highlight w:val="none"/>
        </w:rPr>
        <w:t>部门单位整体支出绩效</w:t>
      </w:r>
    </w:p>
    <w:p>
      <w:pPr>
        <w:pageBreakBefore w:val="0"/>
        <w:kinsoku/>
        <w:wordWrap/>
        <w:overflowPunct/>
        <w:topLinePunct w:val="0"/>
        <w:autoSpaceDE/>
        <w:autoSpaceDN/>
        <w:bidi w:val="0"/>
        <w:adjustRightInd/>
        <w:spacing w:line="540" w:lineRule="exact"/>
        <w:ind w:firstLine="800" w:firstLineChars="200"/>
        <w:jc w:val="center"/>
        <w:textAlignment w:val="auto"/>
        <w:outlineLvl w:val="0"/>
        <w:rPr>
          <w:rFonts w:hint="eastAsia" w:ascii="方正小标宋_GBK" w:hAnsi="方正小标宋_GBK" w:eastAsia="方正小标宋_GBK" w:cs="方正小标宋_GBK"/>
          <w:b w:val="0"/>
          <w:bCs/>
          <w:color w:val="auto"/>
          <w:kern w:val="0"/>
          <w:sz w:val="40"/>
          <w:szCs w:val="40"/>
          <w:highlight w:val="none"/>
        </w:rPr>
      </w:pPr>
      <w:r>
        <w:rPr>
          <w:rFonts w:hint="eastAsia" w:ascii="方正小标宋_GBK" w:hAnsi="方正小标宋_GBK" w:eastAsia="方正小标宋_GBK" w:cs="方正小标宋_GBK"/>
          <w:b w:val="0"/>
          <w:bCs/>
          <w:color w:val="auto"/>
          <w:kern w:val="0"/>
          <w:sz w:val="40"/>
          <w:szCs w:val="40"/>
          <w:highlight w:val="none"/>
        </w:rPr>
        <w:t>自评报告</w:t>
      </w:r>
    </w:p>
    <w:p>
      <w:pPr>
        <w:pageBreakBefore w:val="0"/>
        <w:kinsoku/>
        <w:wordWrap/>
        <w:overflowPunct/>
        <w:topLinePunct w:val="0"/>
        <w:autoSpaceDE/>
        <w:autoSpaceDN/>
        <w:bidi w:val="0"/>
        <w:adjustRightInd/>
        <w:spacing w:line="540" w:lineRule="exact"/>
        <w:ind w:firstLine="1044" w:firstLineChars="200"/>
        <w:jc w:val="center"/>
        <w:textAlignment w:val="auto"/>
        <w:rPr>
          <w:rFonts w:hint="eastAsia" w:ascii="仿宋" w:hAnsi="仿宋" w:eastAsia="仿宋" w:cs="仿宋"/>
          <w:b/>
          <w:color w:val="auto"/>
          <w:kern w:val="0"/>
          <w:sz w:val="52"/>
          <w:szCs w:val="52"/>
          <w:highlight w:val="none"/>
        </w:rPr>
      </w:pPr>
    </w:p>
    <w:p>
      <w:pPr>
        <w:pageBreakBefore w:val="0"/>
        <w:kinsoku/>
        <w:wordWrap/>
        <w:overflowPunct/>
        <w:topLinePunct w:val="0"/>
        <w:autoSpaceDE/>
        <w:autoSpaceDN/>
        <w:bidi w:val="0"/>
        <w:adjustRightInd/>
        <w:spacing w:line="540" w:lineRule="exact"/>
        <w:ind w:firstLine="800" w:firstLineChars="200"/>
        <w:jc w:val="center"/>
        <w:textAlignment w:val="auto"/>
        <w:outlineLvl w:val="0"/>
        <w:rPr>
          <w:rFonts w:hint="eastAsia" w:ascii="方正小标宋_GBK" w:hAnsi="方正小标宋_GBK" w:eastAsia="方正小标宋_GBK" w:cs="方正小标宋_GBK"/>
          <w:b w:val="0"/>
          <w:bCs/>
          <w:color w:val="auto"/>
          <w:kern w:val="0"/>
          <w:sz w:val="40"/>
          <w:szCs w:val="40"/>
          <w:highlight w:val="none"/>
        </w:rPr>
      </w:pPr>
      <w:r>
        <w:rPr>
          <w:rFonts w:hint="eastAsia" w:ascii="方正小标宋_GBK" w:hAnsi="方正小标宋_GBK" w:eastAsia="方正小标宋_GBK" w:cs="方正小标宋_GBK"/>
          <w:b w:val="0"/>
          <w:bCs/>
          <w:color w:val="auto"/>
          <w:kern w:val="0"/>
          <w:sz w:val="40"/>
          <w:szCs w:val="40"/>
          <w:highlight w:val="none"/>
        </w:rPr>
        <w:t>（</w:t>
      </w:r>
      <w:r>
        <w:rPr>
          <w:rFonts w:hint="eastAsia" w:ascii="方正小标宋_GBK" w:hAnsi="方正小标宋_GBK" w:eastAsia="方正小标宋_GBK" w:cs="方正小标宋_GBK"/>
          <w:b w:val="0"/>
          <w:bCs/>
          <w:color w:val="auto"/>
          <w:kern w:val="0"/>
          <w:sz w:val="40"/>
          <w:szCs w:val="40"/>
          <w:highlight w:val="none"/>
          <w:lang w:val="en-US" w:eastAsia="zh-CN"/>
        </w:rPr>
        <w:t>2023</w:t>
      </w:r>
      <w:r>
        <w:rPr>
          <w:rFonts w:hint="eastAsia" w:ascii="方正小标宋_GBK" w:hAnsi="方正小标宋_GBK" w:eastAsia="方正小标宋_GBK" w:cs="方正小标宋_GBK"/>
          <w:b w:val="0"/>
          <w:bCs/>
          <w:color w:val="auto"/>
          <w:kern w:val="0"/>
          <w:sz w:val="40"/>
          <w:szCs w:val="40"/>
          <w:highlight w:val="none"/>
        </w:rPr>
        <w:t>年度）</w:t>
      </w:r>
    </w:p>
    <w:p>
      <w:pPr>
        <w:pageBreakBefore w:val="0"/>
        <w:kinsoku/>
        <w:wordWrap/>
        <w:overflowPunct/>
        <w:topLinePunct w:val="0"/>
        <w:autoSpaceDE/>
        <w:autoSpaceDN/>
        <w:bidi w:val="0"/>
        <w:adjustRightInd/>
        <w:spacing w:line="540" w:lineRule="exact"/>
        <w:ind w:firstLine="800" w:firstLineChars="200"/>
        <w:jc w:val="center"/>
        <w:textAlignment w:val="auto"/>
        <w:outlineLvl w:val="0"/>
        <w:rPr>
          <w:rFonts w:hint="eastAsia" w:ascii="方正小标宋_GBK" w:hAnsi="方正小标宋_GBK" w:eastAsia="方正小标宋_GBK" w:cs="方正小标宋_GBK"/>
          <w:b w:val="0"/>
          <w:bCs/>
          <w:color w:val="auto"/>
          <w:kern w:val="0"/>
          <w:sz w:val="40"/>
          <w:szCs w:val="4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jc w:val="center"/>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540" w:lineRule="exact"/>
        <w:ind w:firstLine="600" w:firstLineChars="200"/>
        <w:textAlignment w:val="auto"/>
        <w:rPr>
          <w:rFonts w:hint="eastAsia" w:ascii="仿宋" w:hAnsi="仿宋" w:eastAsia="仿宋" w:cs="仿宋"/>
          <w:color w:val="auto"/>
          <w:kern w:val="0"/>
          <w:sz w:val="30"/>
          <w:szCs w:val="30"/>
          <w:highlight w:val="none"/>
        </w:rPr>
      </w:pPr>
    </w:p>
    <w:p>
      <w:pPr>
        <w:pageBreakBefore w:val="0"/>
        <w:kinsoku/>
        <w:wordWrap/>
        <w:overflowPunct/>
        <w:topLinePunct w:val="0"/>
        <w:autoSpaceDE/>
        <w:autoSpaceDN/>
        <w:bidi w:val="0"/>
        <w:adjustRightInd/>
        <w:spacing w:line="700" w:lineRule="exact"/>
        <w:ind w:firstLine="720" w:firstLineChars="200"/>
        <w:jc w:val="left"/>
        <w:textAlignment w:val="auto"/>
        <w:rPr>
          <w:rFonts w:hint="eastAsia" w:ascii="仿宋" w:hAnsi="仿宋" w:eastAsia="仿宋" w:cs="仿宋"/>
          <w:color w:val="auto"/>
          <w:kern w:val="0"/>
          <w:sz w:val="36"/>
          <w:szCs w:val="36"/>
          <w:highlight w:val="none"/>
        </w:rPr>
      </w:pPr>
      <w:r>
        <w:rPr>
          <w:rFonts w:hint="eastAsia" w:ascii="仿宋" w:hAnsi="仿宋" w:eastAsia="仿宋" w:cs="仿宋"/>
          <w:color w:val="auto"/>
          <w:kern w:val="0"/>
          <w:sz w:val="36"/>
          <w:szCs w:val="36"/>
          <w:highlight w:val="none"/>
        </w:rPr>
        <w:t xml:space="preserve">  </w:t>
      </w:r>
    </w:p>
    <w:p>
      <w:pPr>
        <w:pageBreakBefore w:val="0"/>
        <w:kinsoku/>
        <w:wordWrap/>
        <w:overflowPunct/>
        <w:topLinePunct w:val="0"/>
        <w:autoSpaceDE/>
        <w:autoSpaceDN/>
        <w:bidi w:val="0"/>
        <w:adjustRightInd/>
        <w:spacing w:line="700" w:lineRule="exact"/>
        <w:jc w:val="center"/>
        <w:textAlignment w:val="auto"/>
        <w:outlineLvl w:val="0"/>
        <w:rPr>
          <w:rFonts w:hint="eastAsia" w:ascii="方正仿宋_GBK" w:hAnsi="方正仿宋_GBK" w:eastAsia="方正仿宋_GBK" w:cs="方正仿宋_GBK"/>
          <w:color w:val="auto"/>
          <w:kern w:val="0"/>
          <w:sz w:val="31"/>
          <w:szCs w:val="31"/>
          <w:highlight w:val="none"/>
          <w:lang w:val="en-US" w:eastAsia="zh-CN"/>
        </w:rPr>
      </w:pPr>
      <w:r>
        <w:rPr>
          <w:rFonts w:hint="eastAsia" w:ascii="方正仿宋_GBK" w:hAnsi="方正仿宋_GBK" w:eastAsia="方正仿宋_GBK" w:cs="方正仿宋_GBK"/>
          <w:color w:val="auto"/>
          <w:kern w:val="0"/>
          <w:sz w:val="31"/>
          <w:szCs w:val="31"/>
          <w:highlight w:val="none"/>
        </w:rPr>
        <w:t>部门单位名称（公章）：</w:t>
      </w:r>
      <w:r>
        <w:rPr>
          <w:rFonts w:hint="eastAsia" w:ascii="方正仿宋_GBK" w:hAnsi="方正仿宋_GBK" w:eastAsia="方正仿宋_GBK" w:cs="方正仿宋_GBK"/>
          <w:color w:val="auto"/>
          <w:kern w:val="0"/>
          <w:sz w:val="31"/>
          <w:szCs w:val="31"/>
          <w:highlight w:val="none"/>
          <w:lang w:eastAsia="zh-CN"/>
        </w:rPr>
        <w:t>库尔勒市团结街道办事处</w:t>
      </w:r>
    </w:p>
    <w:p>
      <w:pPr>
        <w:pageBreakBefore w:val="0"/>
        <w:kinsoku/>
        <w:wordWrap/>
        <w:overflowPunct/>
        <w:topLinePunct w:val="0"/>
        <w:autoSpaceDE/>
        <w:autoSpaceDN/>
        <w:bidi w:val="0"/>
        <w:adjustRightInd/>
        <w:spacing w:line="700" w:lineRule="exact"/>
        <w:ind w:firstLine="620" w:firstLineChars="200"/>
        <w:jc w:val="center"/>
        <w:textAlignment w:val="auto"/>
        <w:outlineLvl w:val="0"/>
        <w:rPr>
          <w:rFonts w:hint="eastAsia" w:ascii="方正仿宋_GBK" w:hAnsi="方正仿宋_GBK" w:eastAsia="方正仿宋_GBK" w:cs="方正仿宋_GBK"/>
          <w:color w:val="auto"/>
          <w:kern w:val="0"/>
          <w:sz w:val="31"/>
          <w:szCs w:val="31"/>
          <w:highlight w:val="none"/>
        </w:rPr>
      </w:pPr>
      <w:r>
        <w:rPr>
          <w:rFonts w:hint="eastAsia" w:ascii="方正仿宋_GBK" w:hAnsi="方正仿宋_GBK" w:eastAsia="方正仿宋_GBK" w:cs="方正仿宋_GBK"/>
          <w:color w:val="auto"/>
          <w:kern w:val="0"/>
          <w:sz w:val="31"/>
          <w:szCs w:val="31"/>
          <w:highlight w:val="none"/>
        </w:rPr>
        <w:t>填报时间：</w:t>
      </w:r>
      <w:r>
        <w:rPr>
          <w:rFonts w:hint="eastAsia" w:ascii="方正仿宋_GBK" w:hAnsi="方正仿宋_GBK" w:eastAsia="方正仿宋_GBK" w:cs="方正仿宋_GBK"/>
          <w:color w:val="auto"/>
          <w:kern w:val="0"/>
          <w:sz w:val="31"/>
          <w:szCs w:val="31"/>
          <w:highlight w:val="none"/>
          <w:lang w:val="en-US" w:eastAsia="zh-CN"/>
        </w:rPr>
        <w:t>2024</w:t>
      </w:r>
      <w:r>
        <w:rPr>
          <w:rFonts w:hint="eastAsia" w:ascii="方正仿宋_GBK" w:hAnsi="方正仿宋_GBK" w:eastAsia="方正仿宋_GBK" w:cs="方正仿宋_GBK"/>
          <w:color w:val="auto"/>
          <w:kern w:val="0"/>
          <w:sz w:val="31"/>
          <w:szCs w:val="31"/>
          <w:highlight w:val="none"/>
        </w:rPr>
        <w:t>年</w:t>
      </w:r>
      <w:r>
        <w:rPr>
          <w:rFonts w:hint="eastAsia" w:ascii="方正仿宋_GBK" w:hAnsi="方正仿宋_GBK" w:eastAsia="方正仿宋_GBK" w:cs="方正仿宋_GBK"/>
          <w:color w:val="auto"/>
          <w:kern w:val="0"/>
          <w:sz w:val="31"/>
          <w:szCs w:val="31"/>
          <w:highlight w:val="none"/>
          <w:lang w:val="en-US" w:eastAsia="zh-CN"/>
        </w:rPr>
        <w:t>4</w:t>
      </w:r>
      <w:r>
        <w:rPr>
          <w:rFonts w:hint="eastAsia" w:ascii="方正仿宋_GBK" w:hAnsi="方正仿宋_GBK" w:eastAsia="方正仿宋_GBK" w:cs="方正仿宋_GBK"/>
          <w:color w:val="auto"/>
          <w:kern w:val="0"/>
          <w:sz w:val="31"/>
          <w:szCs w:val="31"/>
          <w:highlight w:val="none"/>
        </w:rPr>
        <w:t>月</w:t>
      </w:r>
      <w:r>
        <w:rPr>
          <w:rFonts w:hint="eastAsia" w:ascii="方正仿宋_GBK" w:hAnsi="方正仿宋_GBK" w:eastAsia="方正仿宋_GBK" w:cs="方正仿宋_GBK"/>
          <w:color w:val="auto"/>
          <w:kern w:val="0"/>
          <w:sz w:val="31"/>
          <w:szCs w:val="31"/>
          <w:highlight w:val="none"/>
          <w:lang w:val="en-US" w:eastAsia="zh-CN"/>
        </w:rPr>
        <w:t>28</w:t>
      </w:r>
      <w:r>
        <w:rPr>
          <w:rFonts w:hint="eastAsia" w:ascii="方正仿宋_GBK" w:hAnsi="方正仿宋_GBK" w:eastAsia="方正仿宋_GBK" w:cs="方正仿宋_GBK"/>
          <w:color w:val="auto"/>
          <w:kern w:val="0"/>
          <w:sz w:val="31"/>
          <w:szCs w:val="31"/>
          <w:highlight w:val="none"/>
        </w:rPr>
        <w:t>日</w:t>
      </w:r>
    </w:p>
    <w:p>
      <w:pPr>
        <w:pageBreakBefore w:val="0"/>
        <w:kinsoku/>
        <w:wordWrap/>
        <w:overflowPunct/>
        <w:topLinePunct w:val="0"/>
        <w:autoSpaceDE/>
        <w:autoSpaceDN/>
        <w:bidi w:val="0"/>
        <w:adjustRightInd/>
        <w:ind w:firstLine="720" w:firstLineChars="200"/>
        <w:textAlignment w:val="auto"/>
        <w:rPr>
          <w:rFonts w:hAnsi="宋体" w:eastAsia="仿宋_GB2312" w:cs="宋体"/>
          <w:color w:val="auto"/>
          <w:kern w:val="0"/>
          <w:sz w:val="36"/>
          <w:szCs w:val="36"/>
          <w:highlight w:val="none"/>
        </w:rPr>
      </w:pPr>
      <w:r>
        <w:rPr>
          <w:rFonts w:hAnsi="宋体" w:eastAsia="仿宋_GB2312" w:cs="宋体"/>
          <w:color w:val="auto"/>
          <w:kern w:val="0"/>
          <w:sz w:val="36"/>
          <w:szCs w:val="36"/>
          <w:highlight w:val="none"/>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both"/>
        <w:textAlignment w:val="auto"/>
        <w:outlineLvl w:val="0"/>
        <w:rPr>
          <w:rFonts w:hint="eastAsia" w:ascii="方正黑体_GBK" w:hAnsi="方正黑体_GBK" w:eastAsia="方正黑体_GBK" w:cs="方正黑体_GBK"/>
          <w:b w:val="0"/>
          <w:bCs w:val="0"/>
          <w:color w:val="auto"/>
          <w:sz w:val="31"/>
          <w:szCs w:val="31"/>
          <w:highlight w:val="none"/>
          <w:lang w:val="en-US" w:eastAsia="zh-CN"/>
        </w:rPr>
      </w:pPr>
      <w:r>
        <w:rPr>
          <w:rFonts w:hint="eastAsia" w:ascii="方正黑体_GBK" w:hAnsi="方正黑体_GBK" w:eastAsia="方正黑体_GBK" w:cs="方正黑体_GBK"/>
          <w:b w:val="0"/>
          <w:bCs w:val="0"/>
          <w:color w:val="auto"/>
          <w:sz w:val="31"/>
          <w:szCs w:val="31"/>
          <w:highlight w:val="none"/>
          <w:lang w:val="en-US" w:eastAsia="zh-CN"/>
        </w:rPr>
        <w:t>一、基本概况</w:t>
      </w:r>
      <w:bookmarkStart w:id="0" w:name="_GoBack"/>
      <w:bookmarkEnd w:id="0"/>
    </w:p>
    <w:p>
      <w:pPr>
        <w:keepNext w:val="0"/>
        <w:keepLines w:val="0"/>
        <w:pageBreakBefore w:val="0"/>
        <w:widowControl w:val="0"/>
        <w:kinsoku/>
        <w:wordWrap/>
        <w:overflowPunct/>
        <w:topLinePunct w:val="0"/>
        <w:autoSpaceDE/>
        <w:autoSpaceDN/>
        <w:bidi w:val="0"/>
        <w:adjustRightInd/>
        <w:snapToGrid/>
        <w:spacing w:line="600" w:lineRule="exact"/>
        <w:ind w:firstLine="604" w:firstLineChars="200"/>
        <w:textAlignment w:val="auto"/>
        <w:outlineLvl w:val="1"/>
        <w:rPr>
          <w:rStyle w:val="10"/>
          <w:rFonts w:hint="eastAsia" w:ascii="方正楷体_GBK" w:hAnsi="方正楷体_GBK" w:eastAsia="方正楷体_GBK" w:cs="方正楷体_GBK"/>
          <w:b w:val="0"/>
          <w:bCs/>
          <w:color w:val="auto"/>
          <w:spacing w:val="-4"/>
          <w:sz w:val="31"/>
          <w:szCs w:val="31"/>
          <w:highlight w:val="none"/>
        </w:rPr>
      </w:pPr>
      <w:r>
        <w:rPr>
          <w:rStyle w:val="10"/>
          <w:rFonts w:hint="eastAsia" w:ascii="方正楷体_GBK" w:hAnsi="方正楷体_GBK" w:eastAsia="方正楷体_GBK" w:cs="方正楷体_GBK"/>
          <w:b w:val="0"/>
          <w:bCs/>
          <w:color w:val="auto"/>
          <w:spacing w:val="-4"/>
          <w:sz w:val="31"/>
          <w:szCs w:val="31"/>
          <w:highlight w:val="none"/>
          <w:lang w:val="en-US" w:eastAsia="zh-CN"/>
        </w:rPr>
        <w:t>(一)</w:t>
      </w:r>
      <w:r>
        <w:rPr>
          <w:rStyle w:val="10"/>
          <w:rFonts w:hint="eastAsia" w:ascii="方正楷体_GBK" w:hAnsi="方正楷体_GBK" w:eastAsia="方正楷体_GBK" w:cs="方正楷体_GBK"/>
          <w:b w:val="0"/>
          <w:bCs/>
          <w:color w:val="auto"/>
          <w:spacing w:val="-4"/>
          <w:sz w:val="31"/>
          <w:szCs w:val="31"/>
          <w:highlight w:val="none"/>
        </w:rPr>
        <w:t>部门单位基本情况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left"/>
        <w:textAlignment w:val="auto"/>
        <w:outlineLvl w:val="2"/>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1.部门职能</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 xml:space="preserve">（1）贯彻执行党和国家的各项方针、政策、法规和上级人民政府关于街道工作方面的决定，制定具体的管理办法并组织实施。  </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 xml:space="preserve">（2）负责辖区内的社会管理综合治理，人民调解、法律服务工作，依照有关规定管理外来流动人员。 </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 xml:space="preserve">（3）开展社区服务、拥军优属工作，负责社区优抚、社会救济、社会福利工作，做好社区文化、科普、体育、教育工作。 </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 xml:space="preserve">（4）按照职责范围做好计划生育、爱国卫生、绿化、环境保护、劳动就业、安全生产等管理工作。    </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（5）配合有关部门做好防汛、防风、防火、防震、抢险和防灾救灾工作。</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（6）会同有关部门做好本辖区综合治理等工作；</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（7）负责辖区内市容市貌和环境卫生的日常管理工作，发动辖区单位和群众保护环境，开展爱国卫生运动；</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（8）指导和帮助居民委员会的工作，调解解决行政事务、社会管理和公共服务方面的问题，促进居民委员会的依法建设。</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（9）协助武装部门做好国防动员、民兵训练和公民服兵役工作；</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（10）维护老年人、妇女、青少年、儿童和残疾人的合法权益。</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 xml:space="preserve">（11）动员和领导居民及各单位、各部门开展社区建设工作；制定并实施社区建设规划和年度计划； </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（12）承办市党委、市政府交办的其他事项。</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left"/>
        <w:textAlignment w:val="auto"/>
        <w:outlineLvl w:val="2"/>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2.部门机构人员构成情况</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库尔勒市团结街道办事处单位编制数57人，实有人数74人，其中：在职54人，退休20人，离休0人；</w:t>
      </w:r>
    </w:p>
    <w:p>
      <w:pPr>
        <w:keepNext w:val="0"/>
        <w:keepLines w:val="0"/>
        <w:pageBreakBefore w:val="0"/>
        <w:widowControl w:val="0"/>
        <w:kinsoku/>
        <w:wordWrap/>
        <w:overflowPunct/>
        <w:topLinePunct w:val="0"/>
        <w:autoSpaceDE/>
        <w:autoSpaceDN/>
        <w:bidi w:val="0"/>
        <w:adjustRightInd/>
        <w:snapToGrid/>
        <w:spacing w:line="600" w:lineRule="exact"/>
        <w:ind w:firstLine="604" w:firstLineChars="200"/>
        <w:textAlignment w:val="auto"/>
        <w:outlineLvl w:val="1"/>
        <w:rPr>
          <w:rStyle w:val="10"/>
          <w:rFonts w:hint="eastAsia" w:ascii="方正楷体_GBK" w:hAnsi="方正楷体_GBK" w:eastAsia="方正楷体_GBK" w:cs="方正楷体_GBK"/>
          <w:b w:val="0"/>
          <w:bCs/>
          <w:color w:val="auto"/>
          <w:spacing w:val="-4"/>
          <w:sz w:val="31"/>
          <w:szCs w:val="31"/>
          <w:highlight w:val="none"/>
          <w:lang w:val="en-US" w:eastAsia="zh-CN"/>
        </w:rPr>
      </w:pPr>
      <w:r>
        <w:rPr>
          <w:rStyle w:val="10"/>
          <w:rFonts w:hint="eastAsia" w:ascii="方正楷体_GBK" w:hAnsi="方正楷体_GBK" w:eastAsia="方正楷体_GBK" w:cs="方正楷体_GBK"/>
          <w:b w:val="0"/>
          <w:bCs/>
          <w:color w:val="auto"/>
          <w:spacing w:val="-4"/>
          <w:sz w:val="31"/>
          <w:szCs w:val="31"/>
          <w:highlight w:val="none"/>
          <w:lang w:val="en-US" w:eastAsia="zh-CN"/>
        </w:rPr>
        <w:t>(二)部门单位年度重点工作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left"/>
        <w:textAlignment w:val="auto"/>
        <w:outlineLvl w:val="2"/>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1.2023年度工作计划</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 xml:space="preserve">本单位管辖社区6个，通过社区党组织惠民政策的实施，社区党建服务品牌建设、社区公共事业等为民办实事的开展，确保为民办实事件数达到9件，为民办实事工作覆盖率达到100%以上，提升社区党组织服务群众能力。     </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 xml:space="preserve">在街道开展各项科普教育培训活动，提高干部及群综合素质，有效提升服务群众水平。                                                         </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 xml:space="preserve">保障辖区内退休人员的日常活动开展、节日慰问不少于50人次及发生重大变故时的帮扶慰问。                                                               </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抓好街道各社区基层党组织阵地、网格阵地建设，确保基层党组织各项事业稳定有序开展。</w:t>
      </w:r>
      <w:r>
        <w:rPr>
          <w:rFonts w:hint="eastAsia" w:ascii="方正仿宋_GBK" w:hAnsi="方正仿宋_GBK" w:eastAsia="方正仿宋_GBK" w:cs="方正仿宋_GBK"/>
          <w:color w:val="auto"/>
          <w:spacing w:val="0"/>
          <w:sz w:val="31"/>
          <w:szCs w:val="31"/>
          <w:highlight w:val="none"/>
          <w:lang w:val="en-US" w:eastAsia="zh-CN"/>
        </w:rPr>
        <w:drawing>
          <wp:anchor distT="0" distB="0" distL="114300" distR="114300" simplePos="0" relativeHeight="251659264" behindDoc="0" locked="0" layoutInCell="1" allowOverlap="1">
            <wp:simplePos x="0" y="0"/>
            <wp:positionH relativeFrom="column">
              <wp:posOffset>3401695</wp:posOffset>
            </wp:positionH>
            <wp:positionV relativeFrom="paragraph">
              <wp:posOffset>1663065</wp:posOffset>
            </wp:positionV>
            <wp:extent cx="3596640" cy="4149090"/>
            <wp:effectExtent l="0" t="0" r="0" b="0"/>
            <wp:wrapNone/>
            <wp:docPr id="1" name="图片 2" descr="60451967b49a1c13acf4cbbeb508be9"/>
            <wp:cNvGraphicFramePr/>
            <a:graphic xmlns:a="http://schemas.openxmlformats.org/drawingml/2006/main">
              <a:graphicData uri="http://schemas.openxmlformats.org/drawingml/2006/picture">
                <pic:pic xmlns:pic="http://schemas.openxmlformats.org/drawingml/2006/picture">
                  <pic:nvPicPr>
                    <pic:cNvPr id="1" name="图片 2" descr="60451967b49a1c13acf4cbbeb508be9"/>
                    <pic:cNvPicPr/>
                  </pic:nvPicPr>
                  <pic:blipFill>
                    <a:blip r:embed="rId8">
                      <a:clrChange>
                        <a:clrFrom>
                          <a:srgbClr val="FFFFFF"/>
                        </a:clrFrom>
                        <a:clrTo>
                          <a:srgbClr val="FFFFFF">
                            <a:alpha val="0"/>
                          </a:srgbClr>
                        </a:clrTo>
                      </a:clrChange>
                    </a:blip>
                    <a:stretch>
                      <a:fillRect/>
                    </a:stretch>
                  </pic:blipFill>
                  <pic:spPr>
                    <a:xfrm>
                      <a:off x="0" y="0"/>
                      <a:ext cx="3596640" cy="4149090"/>
                    </a:xfrm>
                    <a:prstGeom prst="rect">
                      <a:avLst/>
                    </a:prstGeom>
                    <a:noFill/>
                    <a:ln>
                      <a:noFill/>
                    </a:ln>
                  </pic:spPr>
                </pic:pic>
              </a:graphicData>
            </a:graphic>
          </wp:anchor>
        </w:drawing>
      </w:r>
      <w:r>
        <w:rPr>
          <w:rFonts w:hint="eastAsia" w:ascii="方正仿宋_GBK" w:hAnsi="方正仿宋_GBK" w:eastAsia="方正仿宋_GBK" w:cs="方正仿宋_GBK"/>
          <w:color w:val="auto"/>
          <w:spacing w:val="0"/>
          <w:sz w:val="31"/>
          <w:szCs w:val="31"/>
          <w:highlight w:val="none"/>
          <w:lang w:val="en-US" w:eastAsia="zh-CN"/>
        </w:rPr>
        <w:t>依法服务各族群众。始终坚持以人民为中心，以群众就业增收、生产生活水平提升、思想观念转变为导向，推动群众工作更加精准化、精细化。将“积分制管理”、感恩教育向普通群众延伸，作为提升群众自治能力的有效抓手，形成制度规范，引导激励各族群众移风易俗、向上向善。</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2023年持续抓好问题整改工作。坚持问题导向、结果导向，对照中央巡视、国家和自治区、自治州乡村振兴工作考核等各类反馈问题，列出问题清单、责任清单、时限清单和任务清单，建立整改台账，细化整改措施，明确整改实现，按期销号管理，举一反三、点面结合，健全完善长效机制，做到整改一个问题、解决一类问题、完善一项制度。对后续自查发现的问题，分清轻重缓急，明确重点任务、阶段任务和长期任务，细化实化措施，做到一体推进、统筹整改，以问题整改巩固拓展脱贫攻坚成果。</w:t>
      </w:r>
    </w:p>
    <w:p>
      <w:pPr>
        <w:pageBreakBefore w:val="0"/>
        <w:kinsoku/>
        <w:wordWrap/>
        <w:overflowPunct/>
        <w:topLinePunct w:val="0"/>
        <w:autoSpaceDE/>
        <w:autoSpaceDN/>
        <w:bidi w:val="0"/>
        <w:adjustRightInd/>
        <w:spacing w:line="600" w:lineRule="exact"/>
        <w:ind w:firstLine="604" w:firstLineChars="200"/>
        <w:textAlignment w:val="auto"/>
        <w:rPr>
          <w:rStyle w:val="10"/>
          <w:rFonts w:hint="eastAsia" w:ascii="方正仿宋_GBK" w:hAnsi="方正仿宋_GBK" w:eastAsia="方正仿宋_GBK" w:cs="方正仿宋_GBK"/>
          <w:b w:val="0"/>
          <w:color w:val="auto"/>
          <w:spacing w:val="-4"/>
          <w:kern w:val="2"/>
          <w:sz w:val="31"/>
          <w:szCs w:val="31"/>
          <w:highlight w:val="none"/>
          <w:lang w:val="en-US" w:eastAsia="zh-CN" w:bidi="ar-SA"/>
        </w:rPr>
      </w:pPr>
      <w:r>
        <w:rPr>
          <w:rStyle w:val="10"/>
          <w:rFonts w:hint="eastAsia" w:ascii="方正仿宋_GBK" w:hAnsi="方正仿宋_GBK" w:eastAsia="方正仿宋_GBK" w:cs="方正仿宋_GBK"/>
          <w:b w:val="0"/>
          <w:color w:val="auto"/>
          <w:spacing w:val="-4"/>
          <w:kern w:val="2"/>
          <w:sz w:val="31"/>
          <w:szCs w:val="31"/>
          <w:highlight w:val="none"/>
          <w:lang w:val="en-US" w:eastAsia="zh-CN" w:bidi="ar-SA"/>
        </w:rPr>
        <w:t>2.机构人员保障情况</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库尔勒市团结街道办事处2023年通过本部门预算支出，确保了54名在职人员的工资、津贴、补贴、社保、绩效、公积金等以及20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keepNext w:val="0"/>
        <w:keepLines w:val="0"/>
        <w:pageBreakBefore w:val="0"/>
        <w:widowControl w:val="0"/>
        <w:kinsoku/>
        <w:wordWrap/>
        <w:overflowPunct/>
        <w:topLinePunct w:val="0"/>
        <w:autoSpaceDE/>
        <w:autoSpaceDN/>
        <w:bidi w:val="0"/>
        <w:adjustRightInd/>
        <w:snapToGrid/>
        <w:spacing w:line="600" w:lineRule="exact"/>
        <w:ind w:firstLine="604" w:firstLineChars="200"/>
        <w:textAlignment w:val="auto"/>
        <w:outlineLvl w:val="1"/>
        <w:rPr>
          <w:rStyle w:val="10"/>
          <w:rFonts w:hint="eastAsia" w:ascii="方正楷体_GBK" w:hAnsi="方正楷体_GBK" w:eastAsia="方正楷体_GBK" w:cs="方正楷体_GBK"/>
          <w:b w:val="0"/>
          <w:bCs/>
          <w:color w:val="auto"/>
          <w:spacing w:val="-4"/>
          <w:sz w:val="31"/>
          <w:szCs w:val="31"/>
          <w:highlight w:val="none"/>
          <w:lang w:val="en-US" w:eastAsia="zh-CN"/>
        </w:rPr>
      </w:pPr>
      <w:r>
        <w:rPr>
          <w:rStyle w:val="10"/>
          <w:rFonts w:hint="eastAsia" w:ascii="方正楷体_GBK" w:hAnsi="方正楷体_GBK" w:eastAsia="方正楷体_GBK" w:cs="方正楷体_GBK"/>
          <w:b w:val="0"/>
          <w:bCs/>
          <w:color w:val="auto"/>
          <w:spacing w:val="-4"/>
          <w:sz w:val="31"/>
          <w:szCs w:val="31"/>
          <w:highlight w:val="none"/>
          <w:lang w:val="en-US" w:eastAsia="zh-CN"/>
        </w:rPr>
        <w:t>(三)部门单位整体预算规模及安排情况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left"/>
        <w:textAlignment w:val="auto"/>
        <w:outlineLvl w:val="2"/>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1.年初预算安排</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2023年我部门年初安排预算数为2195.13万元，其中:上级安排41.31万元,本级安排2153.82万元，其他资金0万元。</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综上所述，部门预算安排与本单位职能关联度较高，预算安排结构清晰明了，能够直观展示各项费用的分配情况，预算规模合理，为单位的稳健发展和高效运行提供了有力保障。</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left"/>
        <w:textAlignment w:val="auto"/>
        <w:outlineLvl w:val="2"/>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2.预算年中调整情况</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我部门年初安排预算数2195.13万元，年中调整数-156.01万元，调整后全年预算数2039.12万元，预算调整率7.11%。</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综上所述，年中预算调整幅度与本单位运转情况和履职情况相匹配，未出现资金收支不平衡以及债务风险等负面影响，确保了预算调整的合理性和必要性。</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left"/>
        <w:textAlignment w:val="auto"/>
        <w:outlineLvl w:val="2"/>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3.资金使用主要内容、涉及的范围</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我单位2023年度部门整体支出为2039.12万元，其中：</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1）基本支出2006.64万元，主要用于：基本工资、津贴补贴、奖金、伙食费补助、机关事业单位基本养老保险缴费、职业年金缴费、职工基本医疗保险缴费、公务员医疗补助缴费、其他社会保障缴费、住房公积金、其他工资福利支出、办公费、水费、电费、邮电费、差旅费、维修（护）费、培训费、工会经费、公务用车运行维护费、其他交通费用、退休费、生活补助、医疗费补助、奖励金、办公设备购置。</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2）项目支出32.48万元，主要用于2023年自治区驻村管寺管委会工作及人员经费项目1万元;2023年中央补助地方美术馆、公共图文化馆(站)免费开放补助资金项目4.29万元;2023年自治区补助地方美术馆、公共图书馆、文化馆(站)免费开放补助资金项目0.7万元；春节前农民工工资项目3万元；2023年国有企业退休人员社会化管理补助资金项目23.49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both"/>
        <w:textAlignment w:val="auto"/>
        <w:outlineLvl w:val="0"/>
        <w:rPr>
          <w:rFonts w:hint="eastAsia" w:ascii="方正黑体_GBK" w:hAnsi="方正黑体_GBK" w:eastAsia="方正黑体_GBK" w:cs="方正黑体_GBK"/>
          <w:b w:val="0"/>
          <w:bCs w:val="0"/>
          <w:color w:val="auto"/>
          <w:sz w:val="31"/>
          <w:szCs w:val="31"/>
          <w:highlight w:val="none"/>
          <w:lang w:val="en-US" w:eastAsia="zh-CN"/>
        </w:rPr>
      </w:pPr>
      <w:r>
        <w:rPr>
          <w:rFonts w:hint="eastAsia" w:ascii="方正黑体_GBK" w:hAnsi="方正黑体_GBK" w:eastAsia="方正黑体_GBK" w:cs="方正黑体_GBK"/>
          <w:b w:val="0"/>
          <w:bCs w:val="0"/>
          <w:color w:val="auto"/>
          <w:sz w:val="31"/>
          <w:szCs w:val="31"/>
          <w:highlight w:val="none"/>
          <w:lang w:val="en-US" w:eastAsia="zh-CN"/>
        </w:rPr>
        <w:t>二、部门单位整体支出管理及使用情况</w:t>
      </w:r>
    </w:p>
    <w:p>
      <w:pPr>
        <w:keepNext w:val="0"/>
        <w:keepLines w:val="0"/>
        <w:pageBreakBefore w:val="0"/>
        <w:widowControl w:val="0"/>
        <w:kinsoku/>
        <w:wordWrap/>
        <w:overflowPunct/>
        <w:topLinePunct w:val="0"/>
        <w:autoSpaceDE/>
        <w:autoSpaceDN/>
        <w:bidi w:val="0"/>
        <w:adjustRightInd/>
        <w:snapToGrid/>
        <w:spacing w:line="600" w:lineRule="exact"/>
        <w:ind w:firstLine="604" w:firstLineChars="200"/>
        <w:textAlignment w:val="auto"/>
        <w:outlineLvl w:val="1"/>
        <w:rPr>
          <w:rStyle w:val="10"/>
          <w:rFonts w:hint="eastAsia" w:ascii="方正楷体_GBK" w:hAnsi="方正楷体_GBK" w:eastAsia="方正楷体_GBK" w:cs="方正楷体_GBK"/>
          <w:b w:val="0"/>
          <w:bCs/>
          <w:color w:val="auto"/>
          <w:spacing w:val="-4"/>
          <w:sz w:val="31"/>
          <w:szCs w:val="31"/>
          <w:highlight w:val="none"/>
          <w:lang w:val="en-US" w:eastAsia="zh-CN"/>
        </w:rPr>
      </w:pPr>
      <w:r>
        <w:rPr>
          <w:rStyle w:val="10"/>
          <w:rFonts w:hint="eastAsia" w:ascii="方正楷体_GBK" w:hAnsi="方正楷体_GBK" w:eastAsia="方正楷体_GBK" w:cs="方正楷体_GBK"/>
          <w:b w:val="0"/>
          <w:bCs/>
          <w:color w:val="auto"/>
          <w:spacing w:val="-4"/>
          <w:sz w:val="31"/>
          <w:szCs w:val="31"/>
          <w:highlight w:val="none"/>
          <w:lang w:val="en-US" w:eastAsia="zh-CN"/>
        </w:rPr>
        <w:t>（一）基本支出投入、管理和使用情况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left"/>
        <w:textAlignment w:val="auto"/>
        <w:outlineLvl w:val="2"/>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1.基本支出投入和使用情况</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2023年我部门基本支出年初预算安排2151.82万元，全年预算数2006.64万元，全年实际支出数2006.64万元，其中：人员经费1958.83万元，公用经费47.81万元。全年预算执行率100.00%。</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left"/>
        <w:textAlignment w:val="auto"/>
        <w:outlineLvl w:val="2"/>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2.基本支出管理情况</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基本支出严格按照财务管理制度执行。人员工资由相关部门严格审核，按月申报及发放。基本公用经费主要用于支付单位日常的办公费、水费、电费、邮电费、差旅费、维修（护）费、培训费、工会经费、公务用车运行维护费、其他交通费用、退休费、生活补助、医疗费补助、奖励金、办公设备购置。</w:t>
      </w:r>
    </w:p>
    <w:p>
      <w:pPr>
        <w:keepNext w:val="0"/>
        <w:keepLines w:val="0"/>
        <w:pageBreakBefore w:val="0"/>
        <w:widowControl w:val="0"/>
        <w:kinsoku/>
        <w:wordWrap/>
        <w:overflowPunct/>
        <w:topLinePunct w:val="0"/>
        <w:autoSpaceDE/>
        <w:autoSpaceDN/>
        <w:bidi w:val="0"/>
        <w:adjustRightInd/>
        <w:snapToGrid/>
        <w:spacing w:line="600" w:lineRule="exact"/>
        <w:ind w:firstLine="604" w:firstLineChars="200"/>
        <w:textAlignment w:val="auto"/>
        <w:outlineLvl w:val="1"/>
        <w:rPr>
          <w:rStyle w:val="10"/>
          <w:rFonts w:hint="eastAsia" w:ascii="方正楷体_GBK" w:hAnsi="方正楷体_GBK" w:eastAsia="方正楷体_GBK" w:cs="方正楷体_GBK"/>
          <w:b w:val="0"/>
          <w:bCs/>
          <w:color w:val="auto"/>
          <w:spacing w:val="-4"/>
          <w:sz w:val="31"/>
          <w:szCs w:val="31"/>
          <w:highlight w:val="none"/>
          <w:lang w:val="en-US" w:eastAsia="zh-CN"/>
        </w:rPr>
      </w:pPr>
      <w:r>
        <w:rPr>
          <w:rStyle w:val="10"/>
          <w:rFonts w:hint="eastAsia" w:ascii="方正楷体_GBK" w:hAnsi="方正楷体_GBK" w:eastAsia="方正楷体_GBK" w:cs="方正楷体_GBK"/>
          <w:b w:val="0"/>
          <w:bCs/>
          <w:color w:val="auto"/>
          <w:spacing w:val="-4"/>
          <w:sz w:val="31"/>
          <w:szCs w:val="31"/>
          <w:highlight w:val="none"/>
          <w:lang w:val="en-US" w:eastAsia="zh-CN"/>
        </w:rPr>
        <w:t>（二）项目支出投入、管理和使用情况</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left"/>
        <w:textAlignment w:val="auto"/>
        <w:outlineLvl w:val="2"/>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1.项目支出投入和使用情况</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default"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2023年本单位共安排5个项目，全年预算数为32.48万元，全年实际支出数32.48万元，执行率100.00%。</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其中:上级安排项目4个29.48万元，本级安排项目1个3.00万元,其他资金安排项目0个0万元。</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left"/>
        <w:textAlignment w:val="auto"/>
        <w:outlineLvl w:val="2"/>
        <w:rPr>
          <w:rFonts w:hint="eastAsia" w:ascii="方正仿宋_GBK" w:hAnsi="方正仿宋_GBK" w:eastAsia="方正仿宋_GBK" w:cs="方正仿宋_GBK"/>
          <w:b w:val="0"/>
          <w:bCs/>
          <w:color w:val="auto"/>
          <w:sz w:val="31"/>
          <w:szCs w:val="31"/>
          <w:highlight w:val="none"/>
          <w:lang w:val="en-US" w:eastAsia="zh-CN"/>
        </w:rPr>
      </w:pPr>
      <w:r>
        <w:rPr>
          <w:rFonts w:hint="eastAsia" w:ascii="方正仿宋_GBK" w:hAnsi="方正仿宋_GBK" w:eastAsia="方正仿宋_GBK" w:cs="方正仿宋_GBK"/>
          <w:b w:val="0"/>
          <w:bCs/>
          <w:color w:val="auto"/>
          <w:sz w:val="31"/>
          <w:szCs w:val="31"/>
          <w:highlight w:val="none"/>
          <w:lang w:val="en-US" w:eastAsia="zh-CN"/>
        </w:rPr>
        <w:t>2.项目支出管理情况</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（2）资金拨付审批手续完整。项目资金专款专用，不存在支出依据不合规，序列项目支出，截留，挤占，挪用和超标准支出等现象，使项目资金的运用得到了合理的控制，项目得到了切实的保障。</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3）会计信息质量真实。严格执行《会计法》等财经法规，严格按照相关会计制度办理会计业务，进行会计核算，并做好会计记录，真实的反映项目资金管理情况，并接受财政、审批部门及上级主管部门的检查、监督。</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（4）执行预决算管理。严格按预算管理要求使用资金，严格按进度和合同拨付资金，严格执行政府采购制度；严格执行国库集中支付制度，严防截留、挪用资金。</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both"/>
        <w:textAlignment w:val="auto"/>
        <w:outlineLvl w:val="0"/>
        <w:rPr>
          <w:rFonts w:hint="eastAsia" w:ascii="方正黑体_GBK" w:hAnsi="方正黑体_GBK" w:eastAsia="方正黑体_GBK" w:cs="方正黑体_GBK"/>
          <w:b w:val="0"/>
          <w:bCs w:val="0"/>
          <w:color w:val="auto"/>
          <w:sz w:val="31"/>
          <w:szCs w:val="31"/>
          <w:highlight w:val="none"/>
          <w:lang w:val="en-US" w:eastAsia="zh-CN"/>
        </w:rPr>
      </w:pPr>
      <w:r>
        <w:rPr>
          <w:rFonts w:hint="eastAsia" w:ascii="方正黑体_GBK" w:hAnsi="方正黑体_GBK" w:eastAsia="方正黑体_GBK" w:cs="方正黑体_GBK"/>
          <w:b w:val="0"/>
          <w:bCs w:val="0"/>
          <w:color w:val="auto"/>
          <w:sz w:val="31"/>
          <w:szCs w:val="31"/>
          <w:highlight w:val="none"/>
          <w:lang w:val="en-US" w:eastAsia="zh-CN"/>
        </w:rPr>
        <w:t>三、部门单位整体支出绩效分析</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我单位将部门单位整体绩效目标细化分解为具体的绩效指标，一级指标共2条，二级指标共1条，三级指标共5条，其中量化指标条数共5条，所有绩效指标均通过清晰、可衡量的指标值予以体现。</w:t>
      </w:r>
    </w:p>
    <w:p>
      <w:pPr>
        <w:keepNext w:val="0"/>
        <w:keepLines w:val="0"/>
        <w:pageBreakBefore w:val="0"/>
        <w:widowControl w:val="0"/>
        <w:kinsoku/>
        <w:wordWrap/>
        <w:overflowPunct/>
        <w:topLinePunct w:val="0"/>
        <w:autoSpaceDE/>
        <w:autoSpaceDN/>
        <w:bidi w:val="0"/>
        <w:adjustRightInd/>
        <w:snapToGrid/>
        <w:spacing w:line="600" w:lineRule="exact"/>
        <w:ind w:firstLine="604" w:firstLineChars="200"/>
        <w:textAlignment w:val="auto"/>
        <w:outlineLvl w:val="1"/>
        <w:rPr>
          <w:rStyle w:val="10"/>
          <w:rFonts w:hint="eastAsia" w:ascii="方正楷体_GBK" w:hAnsi="方正楷体_GBK" w:eastAsia="方正楷体_GBK" w:cs="方正楷体_GBK"/>
          <w:b w:val="0"/>
          <w:bCs/>
          <w:color w:val="auto"/>
          <w:spacing w:val="-4"/>
          <w:sz w:val="31"/>
          <w:szCs w:val="31"/>
          <w:highlight w:val="none"/>
          <w:lang w:val="en-US" w:eastAsia="zh-CN"/>
        </w:rPr>
      </w:pPr>
      <w:r>
        <w:rPr>
          <w:rStyle w:val="10"/>
          <w:rFonts w:hint="eastAsia" w:ascii="方正楷体_GBK" w:hAnsi="方正楷体_GBK" w:eastAsia="方正楷体_GBK" w:cs="方正楷体_GBK"/>
          <w:b w:val="0"/>
          <w:bCs/>
          <w:color w:val="auto"/>
          <w:spacing w:val="-4"/>
          <w:sz w:val="31"/>
          <w:szCs w:val="31"/>
          <w:highlight w:val="none"/>
          <w:lang w:val="en-US" w:eastAsia="zh-CN"/>
        </w:rPr>
        <w:t>（一）指标一：运行成本</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04" w:firstLineChars="200"/>
        <w:textAlignment w:val="auto"/>
        <w:outlineLvl w:val="1"/>
        <w:rPr>
          <w:rStyle w:val="10"/>
          <w:rFonts w:hint="eastAsia" w:ascii="方正楷体_GBK" w:hAnsi="方正楷体_GBK" w:eastAsia="方正楷体_GBK" w:cs="方正楷体_GBK"/>
          <w:b w:val="0"/>
          <w:bCs/>
          <w:color w:val="auto"/>
          <w:spacing w:val="-4"/>
          <w:sz w:val="31"/>
          <w:szCs w:val="31"/>
          <w:highlight w:val="none"/>
          <w:lang w:val="en-US" w:eastAsia="zh-CN"/>
        </w:rPr>
      </w:pPr>
      <w:r>
        <w:rPr>
          <w:rStyle w:val="10"/>
          <w:rFonts w:hint="eastAsia" w:ascii="方正楷体_GBK" w:hAnsi="方正楷体_GBK" w:eastAsia="方正楷体_GBK" w:cs="方正楷体_GBK"/>
          <w:b w:val="0"/>
          <w:bCs/>
          <w:color w:val="auto"/>
          <w:spacing w:val="-4"/>
          <w:sz w:val="31"/>
          <w:szCs w:val="31"/>
          <w:highlight w:val="none"/>
          <w:lang w:val="en-US" w:eastAsia="zh-CN"/>
        </w:rPr>
        <w:t>（二）指标二：管理效率</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04" w:firstLineChars="200"/>
        <w:textAlignment w:val="auto"/>
        <w:outlineLvl w:val="1"/>
        <w:rPr>
          <w:rStyle w:val="10"/>
          <w:rFonts w:hint="eastAsia" w:ascii="方正楷体_GBK" w:hAnsi="方正楷体_GBK" w:eastAsia="方正楷体_GBK" w:cs="方正楷体_GBK"/>
          <w:b w:val="0"/>
          <w:bCs/>
          <w:color w:val="auto"/>
          <w:spacing w:val="-4"/>
          <w:sz w:val="31"/>
          <w:szCs w:val="31"/>
          <w:highlight w:val="none"/>
          <w:lang w:val="en-US" w:eastAsia="zh-CN"/>
        </w:rPr>
      </w:pPr>
      <w:r>
        <w:rPr>
          <w:rStyle w:val="10"/>
          <w:rFonts w:hint="eastAsia" w:ascii="方正楷体_GBK" w:hAnsi="方正楷体_GBK" w:eastAsia="方正楷体_GBK" w:cs="方正楷体_GBK"/>
          <w:b w:val="0"/>
          <w:bCs/>
          <w:color w:val="auto"/>
          <w:spacing w:val="-4"/>
          <w:sz w:val="31"/>
          <w:szCs w:val="31"/>
          <w:highlight w:val="none"/>
          <w:lang w:val="en-US" w:eastAsia="zh-CN"/>
        </w:rPr>
        <w:t>（三）指标三：履职效能</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数量指标1：举办文体活动次数,预期指标值为：&gt;=5次；监控节点完成值：=3次；评价实际完成值：=5次；指标完成率：100.00%；成效分析：通过单位正常运转，提高了干部及群众的综合素质和生活质量，有效提升了服务群众的水平。</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数量指标2：为民办实事件数,预期指标值为：&gt;=9件；监控节点完成值：=6件；评价实际完成值：=9件；指标完成率：100.00%；成效分析：通过单位正常运转，提高了为辖区居民解决矛盾纠纷、困难访求、扶贫帮困等为民办实事能力。</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数量指标3：信访事项化解件数,预期指标值为：&gt;=10件；监控节点完成值：=6件；评价实际完成值：=11件；指标完成率：100.00%；成效分析：通过单位正常运转，提升了社区党组织服务群众能力。</w:t>
      </w:r>
    </w:p>
    <w:p>
      <w:pPr>
        <w:keepNext w:val="0"/>
        <w:keepLines w:val="0"/>
        <w:pageBreakBefore w:val="0"/>
        <w:widowControl w:val="0"/>
        <w:kinsoku/>
        <w:wordWrap/>
        <w:overflowPunct/>
        <w:topLinePunct w:val="0"/>
        <w:autoSpaceDE/>
        <w:autoSpaceDN/>
        <w:bidi w:val="0"/>
        <w:adjustRightInd/>
        <w:snapToGrid/>
        <w:spacing w:line="240" w:lineRule="auto"/>
        <w:ind w:firstLine="620" w:firstLineChars="200"/>
        <w:jc w:val="left"/>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数量指标4：节日慰问人次,预期指标值为：&gt;=50人次；监控节点完成值：=25人次；评价实际完成值：=53人次；指标完成率：100.00%；成效分析：通过单位正常运转，让辖区宗教人士、退休老干部、辖区老党员等感受到了党的温暖。</w:t>
      </w:r>
    </w:p>
    <w:p>
      <w:pPr>
        <w:keepNext w:val="0"/>
        <w:keepLines w:val="0"/>
        <w:pageBreakBefore w:val="0"/>
        <w:widowControl w:val="0"/>
        <w:kinsoku/>
        <w:wordWrap/>
        <w:overflowPunct/>
        <w:topLinePunct w:val="0"/>
        <w:autoSpaceDE/>
        <w:autoSpaceDN/>
        <w:bidi w:val="0"/>
        <w:adjustRightInd/>
        <w:snapToGrid/>
        <w:spacing w:line="600" w:lineRule="exact"/>
        <w:ind w:firstLine="604" w:firstLineChars="200"/>
        <w:textAlignment w:val="auto"/>
        <w:outlineLvl w:val="1"/>
        <w:rPr>
          <w:rStyle w:val="10"/>
          <w:rFonts w:hint="eastAsia" w:ascii="方正楷体_GBK" w:hAnsi="方正楷体_GBK" w:eastAsia="方正楷体_GBK" w:cs="方正楷体_GBK"/>
          <w:b w:val="0"/>
          <w:bCs/>
          <w:color w:val="auto"/>
          <w:spacing w:val="-4"/>
          <w:sz w:val="31"/>
          <w:szCs w:val="31"/>
          <w:highlight w:val="none"/>
          <w:lang w:val="en-US" w:eastAsia="zh-CN"/>
        </w:rPr>
      </w:pPr>
      <w:r>
        <w:rPr>
          <w:rStyle w:val="10"/>
          <w:rFonts w:hint="eastAsia" w:ascii="方正楷体_GBK" w:hAnsi="方正楷体_GBK" w:eastAsia="方正楷体_GBK" w:cs="方正楷体_GBK"/>
          <w:b w:val="0"/>
          <w:bCs/>
          <w:color w:val="auto"/>
          <w:spacing w:val="-4"/>
          <w:sz w:val="31"/>
          <w:szCs w:val="31"/>
          <w:highlight w:val="none"/>
          <w:lang w:val="en-US" w:eastAsia="zh-CN"/>
        </w:rPr>
        <w:t>（四）指标四：社会效益</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both"/>
        <w:textAlignment w:val="auto"/>
        <w:rPr>
          <w:rStyle w:val="10"/>
          <w:rFonts w:hint="eastAsia" w:ascii="仿宋" w:hAnsi="仿宋" w:eastAsia="仿宋" w:cs="仿宋"/>
          <w:b w:val="0"/>
          <w:bCs/>
          <w:color w:val="auto"/>
          <w:spacing w:val="-4"/>
          <w:sz w:val="32"/>
          <w:szCs w:val="32"/>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数量指标5：惠民政策知晓率,预期指标值为：&gt;=98%；监控节点完成值：=49%；评价实际完成值：=98%；指标完成率：100.00%；成效分析：通过单位正常运转，提高了居民对惠民政策的知晓率。</w:t>
      </w:r>
    </w:p>
    <w:p>
      <w:pPr>
        <w:keepNext w:val="0"/>
        <w:keepLines w:val="0"/>
        <w:pageBreakBefore w:val="0"/>
        <w:widowControl w:val="0"/>
        <w:kinsoku/>
        <w:wordWrap/>
        <w:overflowPunct/>
        <w:topLinePunct w:val="0"/>
        <w:autoSpaceDE/>
        <w:autoSpaceDN/>
        <w:bidi w:val="0"/>
        <w:adjustRightInd/>
        <w:snapToGrid/>
        <w:spacing w:line="600" w:lineRule="exact"/>
        <w:ind w:firstLine="604" w:firstLineChars="200"/>
        <w:textAlignment w:val="auto"/>
        <w:outlineLvl w:val="1"/>
        <w:rPr>
          <w:rStyle w:val="10"/>
          <w:rFonts w:hint="eastAsia" w:ascii="方正楷体_GBK" w:hAnsi="方正楷体_GBK" w:eastAsia="方正楷体_GBK" w:cs="方正楷体_GBK"/>
          <w:b w:val="0"/>
          <w:bCs/>
          <w:color w:val="auto"/>
          <w:spacing w:val="-4"/>
          <w:sz w:val="31"/>
          <w:szCs w:val="31"/>
          <w:highlight w:val="none"/>
          <w:lang w:val="en-US" w:eastAsia="zh-CN"/>
        </w:rPr>
      </w:pPr>
      <w:r>
        <w:rPr>
          <w:rStyle w:val="10"/>
          <w:rFonts w:hint="eastAsia" w:ascii="方正楷体_GBK" w:hAnsi="方正楷体_GBK" w:eastAsia="方正楷体_GBK" w:cs="方正楷体_GBK"/>
          <w:b w:val="0"/>
          <w:bCs/>
          <w:color w:val="auto"/>
          <w:spacing w:val="-4"/>
          <w:sz w:val="31"/>
          <w:szCs w:val="31"/>
          <w:highlight w:val="none"/>
          <w:lang w:val="en-US" w:eastAsia="zh-CN"/>
        </w:rPr>
        <w:t>（五）指标五：可持续发展能力</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both"/>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无此项指标。</w:t>
      </w:r>
    </w:p>
    <w:p>
      <w:pPr>
        <w:keepNext w:val="0"/>
        <w:keepLines w:val="0"/>
        <w:pageBreakBefore w:val="0"/>
        <w:widowControl w:val="0"/>
        <w:kinsoku/>
        <w:wordWrap/>
        <w:overflowPunct/>
        <w:topLinePunct w:val="0"/>
        <w:autoSpaceDE/>
        <w:autoSpaceDN/>
        <w:bidi w:val="0"/>
        <w:adjustRightInd/>
        <w:snapToGrid/>
        <w:spacing w:line="600" w:lineRule="exact"/>
        <w:ind w:firstLine="604" w:firstLineChars="200"/>
        <w:textAlignment w:val="auto"/>
        <w:outlineLvl w:val="1"/>
        <w:rPr>
          <w:rStyle w:val="10"/>
          <w:rFonts w:hint="eastAsia" w:ascii="方正楷体_GBK" w:hAnsi="方正楷体_GBK" w:eastAsia="方正楷体_GBK" w:cs="方正楷体_GBK"/>
          <w:b w:val="0"/>
          <w:bCs/>
          <w:color w:val="auto"/>
          <w:spacing w:val="-4"/>
          <w:sz w:val="31"/>
          <w:szCs w:val="31"/>
          <w:highlight w:val="none"/>
          <w:lang w:val="en-US" w:eastAsia="zh-CN"/>
        </w:rPr>
      </w:pPr>
      <w:r>
        <w:rPr>
          <w:rStyle w:val="10"/>
          <w:rFonts w:hint="eastAsia" w:ascii="方正楷体_GBK" w:hAnsi="方正楷体_GBK" w:eastAsia="方正楷体_GBK" w:cs="方正楷体_GBK"/>
          <w:b w:val="0"/>
          <w:bCs/>
          <w:color w:val="auto"/>
          <w:spacing w:val="-4"/>
          <w:sz w:val="31"/>
          <w:szCs w:val="31"/>
          <w:highlight w:val="none"/>
          <w:lang w:val="en-US" w:eastAsia="zh-CN"/>
        </w:rPr>
        <w:t>（六）指标六：服务对象满意度</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both"/>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无此项指标。</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both"/>
        <w:textAlignment w:val="auto"/>
        <w:outlineLvl w:val="0"/>
        <w:rPr>
          <w:rFonts w:hint="eastAsia" w:ascii="方正黑体_GBK" w:hAnsi="方正黑体_GBK" w:eastAsia="方正黑体_GBK" w:cs="方正黑体_GBK"/>
          <w:b w:val="0"/>
          <w:bCs w:val="0"/>
          <w:color w:val="auto"/>
          <w:sz w:val="31"/>
          <w:szCs w:val="31"/>
          <w:highlight w:val="none"/>
          <w:lang w:val="en-US" w:eastAsia="zh-CN"/>
        </w:rPr>
      </w:pPr>
      <w:r>
        <w:rPr>
          <w:rFonts w:hint="eastAsia" w:ascii="方正黑体_GBK" w:hAnsi="方正黑体_GBK" w:eastAsia="方正黑体_GBK" w:cs="方正黑体_GBK"/>
          <w:b w:val="0"/>
          <w:bCs w:val="0"/>
          <w:color w:val="auto"/>
          <w:sz w:val="31"/>
          <w:szCs w:val="31"/>
          <w:highlight w:val="none"/>
          <w:lang w:val="en-US" w:eastAsia="zh-CN"/>
        </w:rPr>
        <w:t>四、评价结论</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both"/>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本部门严格按照科学公正、统筹兼顾、激励约束、公开透明的绩效评价原则，对本部门预算执行情况、部门单位整体支出管理及使用情况、部门单位整体支出绩效指标完成情况等进行了综合评价。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both"/>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2023年度部门整体支出绩效自评综合得分100分，评价结果为“优”。</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both"/>
        <w:textAlignment w:val="auto"/>
        <w:outlineLvl w:val="0"/>
        <w:rPr>
          <w:rFonts w:hint="eastAsia" w:ascii="方正黑体_GBK" w:hAnsi="方正黑体_GBK" w:eastAsia="方正黑体_GBK" w:cs="方正黑体_GBK"/>
          <w:b w:val="0"/>
          <w:bCs w:val="0"/>
          <w:color w:val="auto"/>
          <w:sz w:val="31"/>
          <w:szCs w:val="31"/>
          <w:highlight w:val="none"/>
          <w:lang w:val="en-US" w:eastAsia="zh-CN"/>
        </w:rPr>
      </w:pPr>
      <w:r>
        <w:rPr>
          <w:rFonts w:hint="eastAsia" w:ascii="方正黑体_GBK" w:hAnsi="方正黑体_GBK" w:eastAsia="方正黑体_GBK" w:cs="方正黑体_GBK"/>
          <w:b w:val="0"/>
          <w:bCs w:val="0"/>
          <w:color w:val="auto"/>
          <w:sz w:val="31"/>
          <w:szCs w:val="31"/>
          <w:highlight w:val="none"/>
          <w:lang w:val="en-US" w:eastAsia="zh-CN"/>
        </w:rPr>
        <w:t>五、存在的主要问题及原因分析</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both"/>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 xml:space="preserve">1、信息与沟通衔接不够。由于街道的会计核算由街道统一核算，各社区实行报帐制，双方沟通衔接不够，极易形成账物分离的资产管理现状，造成账实不符的问题。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both"/>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2、缺乏必要的内部监督机制。对内部控制的监控力度不够，监督考核机制不到位，内部监督机构对内部控制工作没有给予足够的重视和支持。内部监督仅限于对财务控制的监督，缺乏对内部控制六大业务运行的有效性分析及监督，以及做出客观公正的评价。</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both"/>
        <w:textAlignment w:val="auto"/>
        <w:outlineLvl w:val="0"/>
        <w:rPr>
          <w:rFonts w:hint="eastAsia" w:ascii="方正黑体_GBK" w:hAnsi="方正黑体_GBK" w:eastAsia="方正黑体_GBK" w:cs="方正黑体_GBK"/>
          <w:b w:val="0"/>
          <w:bCs w:val="0"/>
          <w:color w:val="auto"/>
          <w:sz w:val="31"/>
          <w:szCs w:val="31"/>
          <w:highlight w:val="none"/>
          <w:lang w:val="en-US" w:eastAsia="zh-CN"/>
        </w:rPr>
      </w:pPr>
      <w:r>
        <w:rPr>
          <w:rFonts w:hint="eastAsia" w:ascii="方正黑体_GBK" w:hAnsi="方正黑体_GBK" w:eastAsia="方正黑体_GBK" w:cs="方正黑体_GBK"/>
          <w:b w:val="0"/>
          <w:bCs w:val="0"/>
          <w:color w:val="auto"/>
          <w:sz w:val="31"/>
          <w:szCs w:val="31"/>
          <w:highlight w:val="none"/>
          <w:lang w:val="en-US" w:eastAsia="zh-CN"/>
        </w:rPr>
        <w:t>六、改进措施和建议</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both"/>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1、根据《会计法》、《内部控制规范》及相关部门对健全和完善内部控制的要求，结合自身的业务特点和管理需要建立健全内控制度，细化固定资产计价、购置、验收、日常管理、调拨、清查、盘点及处置等管理措施，明确责任科室和使用人，压实使用人责任。并由综合协调办牵头联合各社区对机关各科室、各社区、网格阵地现有的固定资产进行全面清查。</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both"/>
        <w:textAlignment w:val="auto"/>
        <w:rPr>
          <w:rFonts w:hint="eastAsia" w:ascii="方正仿宋_GBK" w:hAnsi="方正仿宋_GBK" w:eastAsia="方正仿宋_GBK" w:cs="方正仿宋_GBK"/>
          <w:color w:val="auto"/>
          <w:spacing w:val="0"/>
          <w:sz w:val="31"/>
          <w:szCs w:val="31"/>
          <w:highlight w:val="none"/>
          <w:lang w:val="en-US" w:eastAsia="zh-CN"/>
        </w:rPr>
      </w:pPr>
      <w:r>
        <w:rPr>
          <w:rFonts w:hint="eastAsia" w:ascii="方正仿宋_GBK" w:hAnsi="方正仿宋_GBK" w:eastAsia="方正仿宋_GBK" w:cs="方正仿宋_GBK"/>
          <w:color w:val="auto"/>
          <w:spacing w:val="0"/>
          <w:sz w:val="31"/>
          <w:szCs w:val="31"/>
          <w:highlight w:val="none"/>
          <w:lang w:val="en-US" w:eastAsia="zh-CN"/>
        </w:rPr>
        <w:t>2、找准失控环节，明确自控重点，在日常绩效监控工作中存在着一定程度的“重分配、轻管理、重支出、轻绩效”的情况，对于预算管理、资金拨付与费用支出管理、报销审批程序以及对错误核算与错误支出的纠正等经济活动方面，确定单位自控的重点和目标，设立合理的组织结构，确认相关的管理职能和关系，为每个部门划分责任权限，明确建立授权和分配责任的方法，因事设人，视能授权，责任到位，且责权对等，以增加组织的绩效控制意识。</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20" w:firstLineChars="200"/>
        <w:jc w:val="both"/>
        <w:textAlignment w:val="auto"/>
        <w:outlineLvl w:val="0"/>
        <w:rPr>
          <w:rFonts w:hint="eastAsia" w:ascii="方正黑体_GBK" w:hAnsi="方正黑体_GBK" w:eastAsia="方正黑体_GBK" w:cs="方正黑体_GBK"/>
          <w:b w:val="0"/>
          <w:bCs w:val="0"/>
          <w:color w:val="auto"/>
          <w:sz w:val="31"/>
          <w:szCs w:val="31"/>
          <w:highlight w:val="none"/>
          <w:lang w:val="en-US" w:eastAsia="zh-CN"/>
        </w:rPr>
      </w:pPr>
      <w:r>
        <w:rPr>
          <w:rFonts w:hint="eastAsia" w:ascii="方正黑体_GBK" w:hAnsi="方正黑体_GBK" w:eastAsia="方正黑体_GBK" w:cs="方正黑体_GBK"/>
          <w:b w:val="0"/>
          <w:bCs w:val="0"/>
          <w:color w:val="auto"/>
          <w:sz w:val="31"/>
          <w:szCs w:val="31"/>
          <w:highlight w:val="none"/>
          <w:lang w:val="en-US" w:eastAsia="zh-CN"/>
        </w:rPr>
        <w:t>七、附表：《部门整体支出绩效自评表》</w:t>
      </w:r>
    </w:p>
    <w:sectPr>
      <w:headerReference r:id="rId4" w:type="first"/>
      <w:footerReference r:id="rId6" w:type="first"/>
      <w:headerReference r:id="rId3" w:type="even"/>
      <w:footerReference r:id="rId5" w:type="even"/>
      <w:pgSz w:w="11906" w:h="16838"/>
      <w:pgMar w:top="1928" w:right="1474" w:bottom="1474" w:left="1474" w:header="851" w:footer="992" w:gutter="0"/>
      <w:pgNumType w:fmt="numberInDash" w:start="25"/>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embedRegular r:id="rId1" w:fontKey="{B51BA93E-4E2C-4D16-918D-57BC2EB2553C}"/>
  </w:font>
  <w:font w:name="方正小标宋_GBK">
    <w:panose1 w:val="03000509000000000000"/>
    <w:charset w:val="86"/>
    <w:family w:val="auto"/>
    <w:pitch w:val="default"/>
    <w:sig w:usb0="00000001" w:usb1="080E0000" w:usb2="00000000" w:usb3="00000000" w:csb0="00040000" w:csb1="00000000"/>
    <w:embedRegular r:id="rId2" w:fontKey="{7329FB2C-003E-4E06-96B3-5EEEF2BC5397}"/>
  </w:font>
  <w:font w:name="方正仿宋_GBK">
    <w:panose1 w:val="03000509000000000000"/>
    <w:charset w:val="86"/>
    <w:family w:val="auto"/>
    <w:pitch w:val="default"/>
    <w:sig w:usb0="00000001" w:usb1="080E0000" w:usb2="00000000" w:usb3="00000000" w:csb0="00040000" w:csb1="00000000"/>
    <w:embedRegular r:id="rId3" w:fontKey="{571DDB5D-E469-4A81-9EC5-E93D0D06B265}"/>
  </w:font>
  <w:font w:name="仿宋_GB2312">
    <w:panose1 w:val="02010609030101010101"/>
    <w:charset w:val="86"/>
    <w:family w:val="modern"/>
    <w:pitch w:val="default"/>
    <w:sig w:usb0="00000000" w:usb1="00000000" w:usb2="00000000" w:usb3="00000000" w:csb0="00000000" w:csb1="00000000"/>
    <w:embedRegular r:id="rId4" w:fontKey="{AD3EB664-2BDF-4BDD-B988-E613C96A545A}"/>
  </w:font>
  <w:font w:name="方正黑体_GBK">
    <w:panose1 w:val="03000509000000000000"/>
    <w:charset w:val="86"/>
    <w:family w:val="auto"/>
    <w:pitch w:val="default"/>
    <w:sig w:usb0="00000001" w:usb1="080E0000" w:usb2="00000000" w:usb3="00000000" w:csb0="00040000" w:csb1="00000000"/>
    <w:embedRegular r:id="rId5" w:fontKey="{ED69B1EE-0F3A-4FC5-95B8-24C6A015684A}"/>
  </w:font>
  <w:font w:name="方正楷体_GBK">
    <w:panose1 w:val="03000509000000000000"/>
    <w:charset w:val="86"/>
    <w:family w:val="auto"/>
    <w:pitch w:val="default"/>
    <w:sig w:usb0="00000001" w:usb1="080E0000" w:usb2="00000000" w:usb3="00000000" w:csb0="00040000" w:csb1="00000000"/>
    <w:embedRegular r:id="rId6" w:fontKey="{28EE4E04-BAE5-418C-AF8C-69EECFDDA3A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3ZGIwMjhhMTEzMDg3ZWMyMmQ0OWQ5MDY4ODIzYmMifQ=="/>
    <w:docVar w:name="KSO_WPS_MARK_KEY" w:val="40e95650-004b-4697-ae2b-25bffeeac740"/>
  </w:docVars>
  <w:rsids>
    <w:rsidRoot w:val="00633862"/>
    <w:rsid w:val="000D3AFA"/>
    <w:rsid w:val="00191BA3"/>
    <w:rsid w:val="0022744B"/>
    <w:rsid w:val="005B1250"/>
    <w:rsid w:val="00633862"/>
    <w:rsid w:val="006C5BED"/>
    <w:rsid w:val="00702D4A"/>
    <w:rsid w:val="007115C8"/>
    <w:rsid w:val="00867FFD"/>
    <w:rsid w:val="0097614B"/>
    <w:rsid w:val="00AA5126"/>
    <w:rsid w:val="00AD16CD"/>
    <w:rsid w:val="00CD2F35"/>
    <w:rsid w:val="00DB1085"/>
    <w:rsid w:val="00EA14FA"/>
    <w:rsid w:val="00F84215"/>
    <w:rsid w:val="010E0C0C"/>
    <w:rsid w:val="013C5884"/>
    <w:rsid w:val="016D0077"/>
    <w:rsid w:val="02355837"/>
    <w:rsid w:val="023B0973"/>
    <w:rsid w:val="02610413"/>
    <w:rsid w:val="02810A7C"/>
    <w:rsid w:val="02F163A2"/>
    <w:rsid w:val="02FE786C"/>
    <w:rsid w:val="03341650"/>
    <w:rsid w:val="036F2FCB"/>
    <w:rsid w:val="03B2599D"/>
    <w:rsid w:val="043C5F8E"/>
    <w:rsid w:val="04683B1B"/>
    <w:rsid w:val="049941F3"/>
    <w:rsid w:val="04A60F90"/>
    <w:rsid w:val="04D2103C"/>
    <w:rsid w:val="04D550AF"/>
    <w:rsid w:val="0648365F"/>
    <w:rsid w:val="06B83B39"/>
    <w:rsid w:val="06DE29E2"/>
    <w:rsid w:val="071579E5"/>
    <w:rsid w:val="07702E6D"/>
    <w:rsid w:val="07A86AAB"/>
    <w:rsid w:val="07C65825"/>
    <w:rsid w:val="08E6788B"/>
    <w:rsid w:val="09067414"/>
    <w:rsid w:val="09170A81"/>
    <w:rsid w:val="09C15536"/>
    <w:rsid w:val="0A3107DC"/>
    <w:rsid w:val="0AC27E84"/>
    <w:rsid w:val="0AD007F3"/>
    <w:rsid w:val="0B0F5B25"/>
    <w:rsid w:val="0BCC4820"/>
    <w:rsid w:val="0BD256C9"/>
    <w:rsid w:val="0C1E733C"/>
    <w:rsid w:val="0C8310F1"/>
    <w:rsid w:val="0D3F0613"/>
    <w:rsid w:val="0D617282"/>
    <w:rsid w:val="0EB65F51"/>
    <w:rsid w:val="0F661726"/>
    <w:rsid w:val="0F772EC6"/>
    <w:rsid w:val="0F783207"/>
    <w:rsid w:val="0F877334"/>
    <w:rsid w:val="10182B28"/>
    <w:rsid w:val="109160DD"/>
    <w:rsid w:val="10947BCD"/>
    <w:rsid w:val="114B3E5E"/>
    <w:rsid w:val="114E06C3"/>
    <w:rsid w:val="115E3FEE"/>
    <w:rsid w:val="116B384E"/>
    <w:rsid w:val="11DD16C8"/>
    <w:rsid w:val="12413D84"/>
    <w:rsid w:val="127A77C1"/>
    <w:rsid w:val="12C87C1D"/>
    <w:rsid w:val="130A20A3"/>
    <w:rsid w:val="13352CE1"/>
    <w:rsid w:val="13E07D60"/>
    <w:rsid w:val="14065285"/>
    <w:rsid w:val="146B158C"/>
    <w:rsid w:val="14A423A8"/>
    <w:rsid w:val="150177FB"/>
    <w:rsid w:val="15735EBE"/>
    <w:rsid w:val="15875F52"/>
    <w:rsid w:val="15B73666"/>
    <w:rsid w:val="15C42D02"/>
    <w:rsid w:val="16421E79"/>
    <w:rsid w:val="168A2EA6"/>
    <w:rsid w:val="17D5194F"/>
    <w:rsid w:val="180A4FDB"/>
    <w:rsid w:val="1840056E"/>
    <w:rsid w:val="185C1918"/>
    <w:rsid w:val="18683816"/>
    <w:rsid w:val="18CD0120"/>
    <w:rsid w:val="192177D8"/>
    <w:rsid w:val="196A001E"/>
    <w:rsid w:val="198331C0"/>
    <w:rsid w:val="19A846E9"/>
    <w:rsid w:val="19AD1CFF"/>
    <w:rsid w:val="19C92FDD"/>
    <w:rsid w:val="19DB061A"/>
    <w:rsid w:val="19E576EB"/>
    <w:rsid w:val="19FA13E8"/>
    <w:rsid w:val="19FF664E"/>
    <w:rsid w:val="1A091F78"/>
    <w:rsid w:val="1A6D6D72"/>
    <w:rsid w:val="1A840CB2"/>
    <w:rsid w:val="1AEB4D61"/>
    <w:rsid w:val="1C230AC0"/>
    <w:rsid w:val="1C615CEF"/>
    <w:rsid w:val="1CDA72AF"/>
    <w:rsid w:val="1D632B53"/>
    <w:rsid w:val="1D7602A9"/>
    <w:rsid w:val="1D8D2573"/>
    <w:rsid w:val="1DC83D3D"/>
    <w:rsid w:val="1E6058EF"/>
    <w:rsid w:val="1E613949"/>
    <w:rsid w:val="1EAE0073"/>
    <w:rsid w:val="1EF121DA"/>
    <w:rsid w:val="1F195A2C"/>
    <w:rsid w:val="1FCD6C57"/>
    <w:rsid w:val="20413A7F"/>
    <w:rsid w:val="205102FB"/>
    <w:rsid w:val="20762FC4"/>
    <w:rsid w:val="207848CC"/>
    <w:rsid w:val="212C60E2"/>
    <w:rsid w:val="21DB6E7F"/>
    <w:rsid w:val="21DE15EF"/>
    <w:rsid w:val="22433200"/>
    <w:rsid w:val="22C81958"/>
    <w:rsid w:val="23021A8B"/>
    <w:rsid w:val="2320540D"/>
    <w:rsid w:val="23254B60"/>
    <w:rsid w:val="236B2A0F"/>
    <w:rsid w:val="236E0539"/>
    <w:rsid w:val="23A40E61"/>
    <w:rsid w:val="23E6478B"/>
    <w:rsid w:val="2422471A"/>
    <w:rsid w:val="245301AB"/>
    <w:rsid w:val="24A85EE5"/>
    <w:rsid w:val="24DB72C2"/>
    <w:rsid w:val="263962DE"/>
    <w:rsid w:val="263A491A"/>
    <w:rsid w:val="276460F3"/>
    <w:rsid w:val="27660FAF"/>
    <w:rsid w:val="277166D1"/>
    <w:rsid w:val="277B4318"/>
    <w:rsid w:val="27B7194D"/>
    <w:rsid w:val="27E37B45"/>
    <w:rsid w:val="280600C8"/>
    <w:rsid w:val="28081174"/>
    <w:rsid w:val="28481571"/>
    <w:rsid w:val="286521B4"/>
    <w:rsid w:val="28722F64"/>
    <w:rsid w:val="289B5D70"/>
    <w:rsid w:val="290A1EBC"/>
    <w:rsid w:val="296B40D0"/>
    <w:rsid w:val="29980ADF"/>
    <w:rsid w:val="29B460DC"/>
    <w:rsid w:val="29D532D8"/>
    <w:rsid w:val="29E057D9"/>
    <w:rsid w:val="29E74DB9"/>
    <w:rsid w:val="2A0B6FEB"/>
    <w:rsid w:val="2A2A3694"/>
    <w:rsid w:val="2A6B1740"/>
    <w:rsid w:val="2A6D4248"/>
    <w:rsid w:val="2AB71864"/>
    <w:rsid w:val="2AD30362"/>
    <w:rsid w:val="2B161A0E"/>
    <w:rsid w:val="2B1D67DB"/>
    <w:rsid w:val="2B2D4A4E"/>
    <w:rsid w:val="2B8C79C6"/>
    <w:rsid w:val="2BCA3DF7"/>
    <w:rsid w:val="2BFA5278"/>
    <w:rsid w:val="2C3F44FD"/>
    <w:rsid w:val="2C8903AA"/>
    <w:rsid w:val="2CD01740"/>
    <w:rsid w:val="2CE43832"/>
    <w:rsid w:val="2D297497"/>
    <w:rsid w:val="2DAA6B58"/>
    <w:rsid w:val="2DB034FA"/>
    <w:rsid w:val="2E4A4A48"/>
    <w:rsid w:val="2F8715FA"/>
    <w:rsid w:val="2FA21EAE"/>
    <w:rsid w:val="2FB43990"/>
    <w:rsid w:val="2FC040E2"/>
    <w:rsid w:val="2FFB63E5"/>
    <w:rsid w:val="30143D58"/>
    <w:rsid w:val="30240D0F"/>
    <w:rsid w:val="306B44D9"/>
    <w:rsid w:val="308158E7"/>
    <w:rsid w:val="308E7498"/>
    <w:rsid w:val="309817B5"/>
    <w:rsid w:val="30A86679"/>
    <w:rsid w:val="31505F30"/>
    <w:rsid w:val="3177520D"/>
    <w:rsid w:val="31C7249B"/>
    <w:rsid w:val="31FB7654"/>
    <w:rsid w:val="325454D5"/>
    <w:rsid w:val="32565D7D"/>
    <w:rsid w:val="335C42EF"/>
    <w:rsid w:val="336E47B8"/>
    <w:rsid w:val="337D2302"/>
    <w:rsid w:val="33935522"/>
    <w:rsid w:val="33AD4BF3"/>
    <w:rsid w:val="33D87636"/>
    <w:rsid w:val="33DE0EF4"/>
    <w:rsid w:val="3416678C"/>
    <w:rsid w:val="34486A39"/>
    <w:rsid w:val="349A13A6"/>
    <w:rsid w:val="34C13400"/>
    <w:rsid w:val="34F32864"/>
    <w:rsid w:val="35386E11"/>
    <w:rsid w:val="35612ABD"/>
    <w:rsid w:val="35977BFB"/>
    <w:rsid w:val="35B00755"/>
    <w:rsid w:val="368E0694"/>
    <w:rsid w:val="375B2943"/>
    <w:rsid w:val="38086A4E"/>
    <w:rsid w:val="386A108F"/>
    <w:rsid w:val="38C32119"/>
    <w:rsid w:val="38EE054F"/>
    <w:rsid w:val="39440A0C"/>
    <w:rsid w:val="398231F5"/>
    <w:rsid w:val="398443D3"/>
    <w:rsid w:val="398C3287"/>
    <w:rsid w:val="39A60AF6"/>
    <w:rsid w:val="3AA12D62"/>
    <w:rsid w:val="3B2319C9"/>
    <w:rsid w:val="3B5D5890"/>
    <w:rsid w:val="3B7350BE"/>
    <w:rsid w:val="3BA6683D"/>
    <w:rsid w:val="3BC431AC"/>
    <w:rsid w:val="3BF53366"/>
    <w:rsid w:val="3C012639"/>
    <w:rsid w:val="3D4F4CF8"/>
    <w:rsid w:val="3D7F26BB"/>
    <w:rsid w:val="3DA52B6A"/>
    <w:rsid w:val="3DE90617"/>
    <w:rsid w:val="3E833FCF"/>
    <w:rsid w:val="3EE3321B"/>
    <w:rsid w:val="3EE93EED"/>
    <w:rsid w:val="3F177A97"/>
    <w:rsid w:val="3F6E36BB"/>
    <w:rsid w:val="3FF57BF1"/>
    <w:rsid w:val="40532D51"/>
    <w:rsid w:val="40A9471F"/>
    <w:rsid w:val="41590DEA"/>
    <w:rsid w:val="416C231C"/>
    <w:rsid w:val="41C31810"/>
    <w:rsid w:val="41D659E7"/>
    <w:rsid w:val="428A15BF"/>
    <w:rsid w:val="42BB7663"/>
    <w:rsid w:val="432A3936"/>
    <w:rsid w:val="434765EB"/>
    <w:rsid w:val="43A3164E"/>
    <w:rsid w:val="43AD2778"/>
    <w:rsid w:val="43C43532"/>
    <w:rsid w:val="43F77637"/>
    <w:rsid w:val="44332E1A"/>
    <w:rsid w:val="44692B43"/>
    <w:rsid w:val="44BF2CE3"/>
    <w:rsid w:val="44BF6C07"/>
    <w:rsid w:val="459A3E5E"/>
    <w:rsid w:val="45DF7921"/>
    <w:rsid w:val="462C7B1B"/>
    <w:rsid w:val="46BF2EEE"/>
    <w:rsid w:val="47013FF5"/>
    <w:rsid w:val="47794E4B"/>
    <w:rsid w:val="484A2C8B"/>
    <w:rsid w:val="48500FEB"/>
    <w:rsid w:val="49284D7B"/>
    <w:rsid w:val="4929464F"/>
    <w:rsid w:val="49487285"/>
    <w:rsid w:val="49543DC1"/>
    <w:rsid w:val="49D97E23"/>
    <w:rsid w:val="4A0F39E7"/>
    <w:rsid w:val="4B364032"/>
    <w:rsid w:val="4B3B68BB"/>
    <w:rsid w:val="4B443785"/>
    <w:rsid w:val="4B537C75"/>
    <w:rsid w:val="4BE53646"/>
    <w:rsid w:val="4C431ECB"/>
    <w:rsid w:val="4C7511B6"/>
    <w:rsid w:val="4CC254E6"/>
    <w:rsid w:val="4CC33C9F"/>
    <w:rsid w:val="4CEC5CDF"/>
    <w:rsid w:val="4D9E1AAF"/>
    <w:rsid w:val="4E760D0B"/>
    <w:rsid w:val="4E8F65E3"/>
    <w:rsid w:val="4EA01857"/>
    <w:rsid w:val="4EC80245"/>
    <w:rsid w:val="4ED65AC3"/>
    <w:rsid w:val="4F0911AA"/>
    <w:rsid w:val="4F0B7DD0"/>
    <w:rsid w:val="4F596A69"/>
    <w:rsid w:val="4FFF6109"/>
    <w:rsid w:val="50063DD3"/>
    <w:rsid w:val="504133D8"/>
    <w:rsid w:val="505863A4"/>
    <w:rsid w:val="50591CBD"/>
    <w:rsid w:val="50A240F7"/>
    <w:rsid w:val="51337C39"/>
    <w:rsid w:val="516A3A56"/>
    <w:rsid w:val="5176227A"/>
    <w:rsid w:val="51971C1E"/>
    <w:rsid w:val="51FF2E33"/>
    <w:rsid w:val="525877BC"/>
    <w:rsid w:val="5272504D"/>
    <w:rsid w:val="52CA50F4"/>
    <w:rsid w:val="543D24BF"/>
    <w:rsid w:val="54617393"/>
    <w:rsid w:val="548754B8"/>
    <w:rsid w:val="54CA318A"/>
    <w:rsid w:val="55517AB0"/>
    <w:rsid w:val="55F81F79"/>
    <w:rsid w:val="55F84E8F"/>
    <w:rsid w:val="56A8574D"/>
    <w:rsid w:val="57192BB8"/>
    <w:rsid w:val="5734671F"/>
    <w:rsid w:val="57423EBA"/>
    <w:rsid w:val="57813298"/>
    <w:rsid w:val="57AE7CE9"/>
    <w:rsid w:val="57BB500C"/>
    <w:rsid w:val="58753EBA"/>
    <w:rsid w:val="58E426FC"/>
    <w:rsid w:val="58FC3B2E"/>
    <w:rsid w:val="59063548"/>
    <w:rsid w:val="592810AD"/>
    <w:rsid w:val="5A0742A2"/>
    <w:rsid w:val="5A6776CD"/>
    <w:rsid w:val="5ADD1E8F"/>
    <w:rsid w:val="5AE6303A"/>
    <w:rsid w:val="5B155A7C"/>
    <w:rsid w:val="5B33135D"/>
    <w:rsid w:val="5B442B97"/>
    <w:rsid w:val="5B745BFD"/>
    <w:rsid w:val="5B977B3E"/>
    <w:rsid w:val="5C5B0B6B"/>
    <w:rsid w:val="5C9B540C"/>
    <w:rsid w:val="5CB643E4"/>
    <w:rsid w:val="5D8D11F8"/>
    <w:rsid w:val="5E2D5305"/>
    <w:rsid w:val="5EB84053"/>
    <w:rsid w:val="5EDF7832"/>
    <w:rsid w:val="5F1D65AC"/>
    <w:rsid w:val="5F230066"/>
    <w:rsid w:val="5F41229A"/>
    <w:rsid w:val="5F814D8D"/>
    <w:rsid w:val="5FA47678"/>
    <w:rsid w:val="5FE455B0"/>
    <w:rsid w:val="60504E56"/>
    <w:rsid w:val="60535261"/>
    <w:rsid w:val="605B3830"/>
    <w:rsid w:val="60DB04CD"/>
    <w:rsid w:val="6170330B"/>
    <w:rsid w:val="627A5057"/>
    <w:rsid w:val="62A033DD"/>
    <w:rsid w:val="62B113CD"/>
    <w:rsid w:val="62BB4062"/>
    <w:rsid w:val="62D376AD"/>
    <w:rsid w:val="63002758"/>
    <w:rsid w:val="63484489"/>
    <w:rsid w:val="63886101"/>
    <w:rsid w:val="63E072F9"/>
    <w:rsid w:val="63E738F2"/>
    <w:rsid w:val="648B2856"/>
    <w:rsid w:val="64AD2180"/>
    <w:rsid w:val="64F46001"/>
    <w:rsid w:val="658E5B0E"/>
    <w:rsid w:val="65D86017"/>
    <w:rsid w:val="65E6594A"/>
    <w:rsid w:val="660E1EAC"/>
    <w:rsid w:val="661600DA"/>
    <w:rsid w:val="66DF5346"/>
    <w:rsid w:val="66E14AAB"/>
    <w:rsid w:val="670047E9"/>
    <w:rsid w:val="6736630B"/>
    <w:rsid w:val="67CC7965"/>
    <w:rsid w:val="67EE0E11"/>
    <w:rsid w:val="68DF3109"/>
    <w:rsid w:val="68E85E7D"/>
    <w:rsid w:val="693F2885"/>
    <w:rsid w:val="699F5DE9"/>
    <w:rsid w:val="6A222CC8"/>
    <w:rsid w:val="6A7554EE"/>
    <w:rsid w:val="6A9776F8"/>
    <w:rsid w:val="6A98100F"/>
    <w:rsid w:val="6AAF0A00"/>
    <w:rsid w:val="6AEF34F2"/>
    <w:rsid w:val="6B234F4A"/>
    <w:rsid w:val="6C5F0204"/>
    <w:rsid w:val="6C69186D"/>
    <w:rsid w:val="6C7D443F"/>
    <w:rsid w:val="6C8851EE"/>
    <w:rsid w:val="6CCF1622"/>
    <w:rsid w:val="6CE7035E"/>
    <w:rsid w:val="6DB1246A"/>
    <w:rsid w:val="6DC36570"/>
    <w:rsid w:val="6E7206C2"/>
    <w:rsid w:val="6E7F332F"/>
    <w:rsid w:val="6E9D3265"/>
    <w:rsid w:val="6EAE5472"/>
    <w:rsid w:val="6FB90E41"/>
    <w:rsid w:val="702F5608"/>
    <w:rsid w:val="7080205B"/>
    <w:rsid w:val="70830D8D"/>
    <w:rsid w:val="708F2CC4"/>
    <w:rsid w:val="709444F0"/>
    <w:rsid w:val="71182116"/>
    <w:rsid w:val="71205936"/>
    <w:rsid w:val="71477CCB"/>
    <w:rsid w:val="715C20BD"/>
    <w:rsid w:val="7178018F"/>
    <w:rsid w:val="71BA40BB"/>
    <w:rsid w:val="71CD052F"/>
    <w:rsid w:val="720A29C0"/>
    <w:rsid w:val="72AD47EC"/>
    <w:rsid w:val="72D07765"/>
    <w:rsid w:val="72E74AAF"/>
    <w:rsid w:val="733C4DFB"/>
    <w:rsid w:val="73740A39"/>
    <w:rsid w:val="73D43285"/>
    <w:rsid w:val="73F92CEC"/>
    <w:rsid w:val="742B746E"/>
    <w:rsid w:val="74736F42"/>
    <w:rsid w:val="74842DE5"/>
    <w:rsid w:val="74CA7F29"/>
    <w:rsid w:val="752B1D3E"/>
    <w:rsid w:val="75913D16"/>
    <w:rsid w:val="75BE65FF"/>
    <w:rsid w:val="75D5768B"/>
    <w:rsid w:val="763C0048"/>
    <w:rsid w:val="767C123A"/>
    <w:rsid w:val="77135965"/>
    <w:rsid w:val="77161E07"/>
    <w:rsid w:val="77262B54"/>
    <w:rsid w:val="77277B70"/>
    <w:rsid w:val="772D4414"/>
    <w:rsid w:val="773A5C43"/>
    <w:rsid w:val="775947BB"/>
    <w:rsid w:val="77AD276B"/>
    <w:rsid w:val="77B87094"/>
    <w:rsid w:val="77C96E08"/>
    <w:rsid w:val="77FF289B"/>
    <w:rsid w:val="78E27C50"/>
    <w:rsid w:val="79500F4C"/>
    <w:rsid w:val="7986195D"/>
    <w:rsid w:val="79E005EE"/>
    <w:rsid w:val="79E848E3"/>
    <w:rsid w:val="7A044DC4"/>
    <w:rsid w:val="7A865511"/>
    <w:rsid w:val="7AA20E97"/>
    <w:rsid w:val="7AAA4D40"/>
    <w:rsid w:val="7ABC4A73"/>
    <w:rsid w:val="7AC10876"/>
    <w:rsid w:val="7B2F16E9"/>
    <w:rsid w:val="7B334ED0"/>
    <w:rsid w:val="7C4B6886"/>
    <w:rsid w:val="7C71236F"/>
    <w:rsid w:val="7C7B25BC"/>
    <w:rsid w:val="7C8D2B6B"/>
    <w:rsid w:val="7CC16371"/>
    <w:rsid w:val="7D360B0D"/>
    <w:rsid w:val="7D55069E"/>
    <w:rsid w:val="7D670C49"/>
    <w:rsid w:val="7D711B45"/>
    <w:rsid w:val="7DE247F1"/>
    <w:rsid w:val="7E013117"/>
    <w:rsid w:val="7E5F5E41"/>
    <w:rsid w:val="7E78432D"/>
    <w:rsid w:val="7E8E02D3"/>
    <w:rsid w:val="7EA902C5"/>
    <w:rsid w:val="7EAA3560"/>
    <w:rsid w:val="7ECF553C"/>
    <w:rsid w:val="7EF10E29"/>
    <w:rsid w:val="7F390D88"/>
    <w:rsid w:val="7FB36445"/>
    <w:rsid w:val="7FE4485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3"/>
    <w:basedOn w:val="1"/>
    <w:next w:val="1"/>
    <w:qFormat/>
    <w:uiPriority w:val="0"/>
    <w:pPr>
      <w:keepNext/>
      <w:keepLines/>
      <w:spacing w:line="560" w:lineRule="exact"/>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99"/>
    <w:pPr>
      <w:ind w:firstLine="880" w:firstLineChars="200"/>
    </w:pPr>
    <w:rPr>
      <w:rFonts w:ascii="Times New Roman" w:hAnsi="Times New Roman"/>
    </w:rPr>
  </w:style>
  <w:style w:type="paragraph" w:styleId="3">
    <w:name w:val="Body Text First Indent"/>
    <w:basedOn w:val="2"/>
    <w:next w:val="1"/>
    <w:qFormat/>
    <w:uiPriority w:val="0"/>
    <w:pPr>
      <w:spacing w:after="0"/>
      <w:ind w:firstLine="200" w:firstLineChars="200"/>
    </w:p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character" w:styleId="10">
    <w:name w:val="Strong"/>
    <w:basedOn w:val="9"/>
    <w:qFormat/>
    <w:uiPriority w:val="0"/>
    <w:rPr>
      <w:b/>
      <w:bCs/>
    </w:rPr>
  </w:style>
  <w:style w:type="character" w:customStyle="1" w:styleId="11">
    <w:name w:val="页眉 Char"/>
    <w:basedOn w:val="9"/>
    <w:link w:val="6"/>
    <w:qFormat/>
    <w:uiPriority w:val="99"/>
    <w:rPr>
      <w:sz w:val="18"/>
      <w:szCs w:val="18"/>
    </w:rPr>
  </w:style>
  <w:style w:type="character" w:customStyle="1" w:styleId="12">
    <w:name w:val="页脚 Char"/>
    <w:basedOn w:val="9"/>
    <w:link w:val="5"/>
    <w:qFormat/>
    <w:uiPriority w:val="99"/>
    <w:rPr>
      <w:sz w:val="18"/>
      <w:szCs w:val="18"/>
    </w:rPr>
  </w:style>
  <w:style w:type="paragraph" w:styleId="1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409</Words>
  <Characters>422</Characters>
  <Lines>9</Lines>
  <Paragraphs>2</Paragraphs>
  <TotalTime>13</TotalTime>
  <ScaleCrop>false</ScaleCrop>
  <LinksUpToDate>false</LinksUpToDate>
  <CharactersWithSpaces>444</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2019-01-16T17:12:00Z</dcterms:created>
  <dc:creator>jc</dc:creator>
  <cp:lastModifiedBy>Administrator</cp:lastModifiedBy>
  <cp:lastPrinted>2024-03-04T11:32:00Z</cp:lastPrinted>
  <dcterms:modified xsi:type="dcterms:W3CDTF">2024-08-19T03:01:45Z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7B718A08F4AD449EB4F3ABBB2F254500_13</vt:lpwstr>
  </property>
</Properties>
</file>