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bidi w:val="0"/>
        <w:adjustRightInd/>
        <w:snapToGrid/>
        <w:spacing w:line="240" w:lineRule="auto"/>
        <w:textAlignment w:val="auto"/>
        <w:rPr>
          <w:rFonts w:ascii="黑体" w:hAnsi="黑体" w:eastAsia="黑体"/>
          <w:color w:val="auto"/>
          <w:sz w:val="32"/>
          <w:szCs w:val="32"/>
          <w:highlight w:val="none"/>
        </w:rPr>
      </w:pPr>
    </w:p>
    <w:p>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default" w:ascii="Times New Roman" w:hAnsi="Times New Roman" w:eastAsia="方正小标宋_GBK" w:cs="Times New Roman"/>
          <w:color w:val="auto"/>
          <w:sz w:val="40"/>
          <w:szCs w:val="40"/>
          <w:highlight w:val="none"/>
        </w:rPr>
      </w:pPr>
    </w:p>
    <w:p>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default" w:ascii="Times New Roman" w:hAnsi="Times New Roman" w:eastAsia="方正小标宋_GBK" w:cs="Times New Roman"/>
          <w:color w:val="auto"/>
          <w:sz w:val="40"/>
          <w:szCs w:val="40"/>
          <w:highlight w:val="none"/>
        </w:rPr>
      </w:pPr>
    </w:p>
    <w:p>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default" w:ascii="Times New Roman" w:hAnsi="Times New Roman" w:eastAsia="方正小标宋_GBK" w:cs="Times New Roman"/>
          <w:color w:val="auto"/>
          <w:sz w:val="40"/>
          <w:szCs w:val="40"/>
          <w:highlight w:val="none"/>
        </w:rPr>
      </w:pPr>
    </w:p>
    <w:p>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default" w:ascii="Times New Roman" w:hAnsi="Times New Roman" w:eastAsia="方正小标宋_GBK" w:cs="Times New Roman"/>
          <w:color w:val="auto"/>
          <w:sz w:val="40"/>
          <w:szCs w:val="40"/>
          <w:highlight w:val="none"/>
        </w:rPr>
      </w:pPr>
    </w:p>
    <w:p>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Times New Roman" w:hAnsi="Times New Roman" w:eastAsia="方正小标宋_GBK" w:cs="Times New Roman"/>
          <w:color w:val="auto"/>
          <w:sz w:val="40"/>
          <w:szCs w:val="40"/>
          <w:highlight w:val="none"/>
        </w:rPr>
      </w:pPr>
      <w:r>
        <w:rPr>
          <w:rFonts w:hint="default" w:ascii="Times New Roman" w:hAnsi="Times New Roman" w:eastAsia="方正小标宋_GBK" w:cs="Times New Roman"/>
          <w:color w:val="auto"/>
          <w:sz w:val="40"/>
          <w:szCs w:val="40"/>
          <w:highlight w:val="none"/>
        </w:rPr>
        <w:t>202</w:t>
      </w:r>
      <w:r>
        <w:rPr>
          <w:rFonts w:hint="eastAsia" w:ascii="Times New Roman" w:hAnsi="Times New Roman" w:eastAsia="方正小标宋_GBK" w:cs="Times New Roman"/>
          <w:color w:val="auto"/>
          <w:sz w:val="40"/>
          <w:szCs w:val="40"/>
          <w:highlight w:val="none"/>
          <w:lang w:val="en-US" w:eastAsia="zh-CN"/>
        </w:rPr>
        <w:t>3</w:t>
      </w:r>
      <w:r>
        <w:rPr>
          <w:rFonts w:hint="default" w:ascii="Times New Roman" w:hAnsi="Times New Roman" w:eastAsia="方正小标宋_GBK" w:cs="Times New Roman"/>
          <w:color w:val="auto"/>
          <w:sz w:val="40"/>
          <w:szCs w:val="40"/>
          <w:highlight w:val="none"/>
        </w:rPr>
        <w:t>年度新疆巴州库尔勒市</w:t>
      </w:r>
      <w:r>
        <w:rPr>
          <w:rFonts w:hint="default" w:ascii="Times New Roman" w:hAnsi="Times New Roman" w:eastAsia="方正小标宋_GBK" w:cs="Times New Roman"/>
          <w:color w:val="auto"/>
          <w:sz w:val="40"/>
          <w:szCs w:val="40"/>
          <w:highlight w:val="none"/>
          <w:lang w:eastAsia="zh-CN"/>
        </w:rPr>
        <w:t>团结街道办事处</w:t>
      </w:r>
    </w:p>
    <w:p>
      <w:pPr>
        <w:keepNext w:val="0"/>
        <w:keepLines w:val="0"/>
        <w:pageBreakBefore w:val="0"/>
        <w:widowControl w:val="0"/>
        <w:kinsoku/>
        <w:wordWrap/>
        <w:overflowPunct/>
        <w:topLinePunct w:val="0"/>
        <w:autoSpaceDE/>
        <w:autoSpaceDN/>
        <w:bidi w:val="0"/>
        <w:adjustRightInd/>
        <w:snapToGrid/>
        <w:spacing w:line="560" w:lineRule="exact"/>
        <w:ind w:firstLine="800" w:firstLineChars="200"/>
        <w:jc w:val="center"/>
        <w:textAlignment w:val="auto"/>
        <w:rPr>
          <w:rFonts w:hint="default" w:ascii="Times New Roman" w:hAnsi="Times New Roman" w:eastAsia="方正小标宋_GBK" w:cs="Times New Roman"/>
          <w:color w:val="auto"/>
          <w:sz w:val="40"/>
          <w:szCs w:val="40"/>
          <w:highlight w:val="none"/>
        </w:rPr>
      </w:pPr>
      <w:r>
        <w:rPr>
          <w:rFonts w:hint="default" w:ascii="Times New Roman" w:hAnsi="Times New Roman" w:eastAsia="方正小标宋_GBK" w:cs="Times New Roman"/>
          <w:color w:val="auto"/>
          <w:sz w:val="40"/>
          <w:szCs w:val="40"/>
          <w:highlight w:val="none"/>
        </w:rPr>
        <w:t>部门决算公开说明</w:t>
      </w:r>
    </w:p>
    <w:p>
      <w:pPr>
        <w:keepNext w:val="0"/>
        <w:keepLines w:val="0"/>
        <w:pageBreakBefore w:val="0"/>
        <w:widowControl w:val="0"/>
        <w:kinsoku/>
        <w:wordWrap/>
        <w:overflowPunct/>
        <w:topLinePunct w:val="0"/>
        <w:autoSpaceDE/>
        <w:autoSpaceDN/>
        <w:bidi w:val="0"/>
        <w:adjustRightInd/>
        <w:snapToGrid/>
        <w:spacing w:line="240" w:lineRule="auto"/>
        <w:ind w:left="0" w:leftChars="0"/>
        <w:jc w:val="center"/>
        <w:textAlignment w:val="auto"/>
        <w:rPr>
          <w:rFonts w:hint="eastAsia" w:ascii="仿宋_GB2312" w:hAnsi="仿宋_GB2312" w:eastAsia="仿宋_GB2312" w:cs="仿宋_GB2312"/>
          <w:b/>
          <w:bCs w:val="0"/>
          <w:color w:val="auto"/>
          <w:kern w:val="0"/>
          <w:sz w:val="36"/>
          <w:szCs w:val="36"/>
          <w:highlight w:val="none"/>
        </w:rPr>
        <w:sectPr>
          <w:pgSz w:w="11906" w:h="16838"/>
          <w:pgMar w:top="1928" w:right="1474" w:bottom="1474" w:left="1474" w:header="851" w:footer="992" w:gutter="0"/>
          <w:pgNumType w:fmt="decimal" w:start="1"/>
          <w:cols w:space="720" w:num="1"/>
          <w:rtlGutter w:val="0"/>
          <w:docGrid w:type="lines" w:linePitch="312" w:charSpace="0"/>
        </w:sectPr>
      </w:pPr>
    </w:p>
    <w:p>
      <w:pPr>
        <w:keepNext w:val="0"/>
        <w:keepLines w:val="0"/>
        <w:pageBreakBefore w:val="0"/>
        <w:widowControl w:val="0"/>
        <w:kinsoku/>
        <w:wordWrap/>
        <w:overflowPunct/>
        <w:topLinePunct w:val="0"/>
        <w:autoSpaceDE/>
        <w:autoSpaceDN/>
        <w:bidi w:val="0"/>
        <w:adjustRightInd/>
        <w:snapToGrid/>
        <w:spacing w:line="560" w:lineRule="exact"/>
        <w:ind w:firstLine="800" w:firstLineChars="200"/>
        <w:jc w:val="center"/>
        <w:textAlignment w:val="auto"/>
        <w:rPr>
          <w:rFonts w:hint="default" w:ascii="Times New Roman" w:hAnsi="Times New Roman" w:eastAsia="仿宋_GB2312" w:cs="Times New Roman"/>
          <w:bCs/>
          <w:color w:val="auto"/>
          <w:kern w:val="0"/>
          <w:sz w:val="32"/>
          <w:szCs w:val="32"/>
          <w:highlight w:val="none"/>
        </w:rPr>
      </w:pPr>
      <w:r>
        <w:rPr>
          <w:rFonts w:hint="default" w:ascii="Times New Roman" w:hAnsi="Times New Roman" w:eastAsia="方正小标宋_GBK" w:cs="Times New Roman"/>
          <w:color w:val="auto"/>
          <w:sz w:val="40"/>
          <w:szCs w:val="40"/>
          <w:highlight w:val="none"/>
        </w:rPr>
        <w:t>目  录</w:t>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eastAsia" w:ascii="方正黑体_GBK" w:hAnsi="方正黑体_GBK" w:eastAsia="方正黑体_GBK" w:cs="方正黑体_GBK"/>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TOC \o "1-3" \n  \h \u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eastAsia" w:ascii="方正黑体_GBK" w:hAnsi="方正黑体_GBK" w:eastAsia="方正黑体_GBK" w:cs="方正黑体_GBK"/>
          <w:bCs/>
          <w:kern w:val="0"/>
          <w:sz w:val="31"/>
          <w:szCs w:val="31"/>
          <w:highlight w:val="none"/>
          <w:lang w:val="en-US" w:eastAsia="zh-CN" w:bidi="ar-SA"/>
        </w:rPr>
        <w:fldChar w:fldCharType="begin"/>
      </w:r>
      <w:r>
        <w:rPr>
          <w:rFonts w:hint="eastAsia" w:ascii="方正黑体_GBK" w:hAnsi="方正黑体_GBK" w:eastAsia="方正黑体_GBK" w:cs="方正黑体_GBK"/>
          <w:bCs/>
          <w:kern w:val="0"/>
          <w:sz w:val="31"/>
          <w:szCs w:val="31"/>
          <w:highlight w:val="none"/>
          <w:lang w:val="en-US" w:eastAsia="zh-CN" w:bidi="ar-SA"/>
        </w:rPr>
        <w:instrText xml:space="preserve"> HYPERLINK \l _Toc32314 </w:instrText>
      </w:r>
      <w:r>
        <w:rPr>
          <w:rFonts w:hint="eastAsia" w:ascii="方正黑体_GBK" w:hAnsi="方正黑体_GBK" w:eastAsia="方正黑体_GBK" w:cs="方正黑体_GBK"/>
          <w:bCs/>
          <w:kern w:val="0"/>
          <w:sz w:val="31"/>
          <w:szCs w:val="31"/>
          <w:highlight w:val="none"/>
          <w:lang w:val="en-US" w:eastAsia="zh-CN" w:bidi="ar-SA"/>
        </w:rPr>
        <w:fldChar w:fldCharType="separate"/>
      </w:r>
      <w:r>
        <w:rPr>
          <w:rFonts w:hint="eastAsia" w:ascii="方正黑体_GBK" w:hAnsi="方正黑体_GBK" w:eastAsia="方正黑体_GBK" w:cs="方正黑体_GBK"/>
          <w:bCs/>
          <w:kern w:val="0"/>
          <w:sz w:val="31"/>
          <w:szCs w:val="31"/>
          <w:highlight w:val="none"/>
          <w:lang w:val="en-US" w:eastAsia="zh-CN" w:bidi="ar-SA"/>
        </w:rPr>
        <w:t>第一部分 单位概况</w:t>
      </w:r>
      <w:r>
        <w:rPr>
          <w:rFonts w:hint="eastAsia" w:ascii="方正黑体_GBK" w:hAnsi="方正黑体_GBK" w:eastAsia="方正黑体_GBK" w:cs="方正黑体_GBK"/>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_Toc30567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一、主要职能</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_Toc2151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二、机构设置及人员情况</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eastAsia" w:ascii="方正黑体_GBK" w:hAnsi="方正黑体_GBK" w:eastAsia="方正黑体_GBK" w:cs="方正黑体_GBK"/>
          <w:bCs/>
          <w:kern w:val="0"/>
          <w:sz w:val="31"/>
          <w:szCs w:val="31"/>
          <w:highlight w:val="none"/>
          <w:lang w:val="en-US" w:eastAsia="zh-CN" w:bidi="ar-SA"/>
        </w:rPr>
      </w:pPr>
      <w:r>
        <w:rPr>
          <w:rFonts w:hint="eastAsia" w:ascii="方正黑体_GBK" w:hAnsi="方正黑体_GBK" w:eastAsia="方正黑体_GBK" w:cs="方正黑体_GBK"/>
          <w:bCs/>
          <w:kern w:val="0"/>
          <w:sz w:val="31"/>
          <w:szCs w:val="31"/>
          <w:highlight w:val="none"/>
          <w:lang w:val="en-US" w:eastAsia="zh-CN" w:bidi="ar-SA"/>
        </w:rPr>
        <w:fldChar w:fldCharType="begin"/>
      </w:r>
      <w:r>
        <w:rPr>
          <w:rFonts w:hint="eastAsia" w:ascii="方正黑体_GBK" w:hAnsi="方正黑体_GBK" w:eastAsia="方正黑体_GBK" w:cs="方正黑体_GBK"/>
          <w:bCs/>
          <w:kern w:val="0"/>
          <w:sz w:val="31"/>
          <w:szCs w:val="31"/>
          <w:highlight w:val="none"/>
          <w:lang w:val="en-US" w:eastAsia="zh-CN" w:bidi="ar-SA"/>
        </w:rPr>
        <w:instrText xml:space="preserve"> HYPERLINK \l _Toc29374 </w:instrText>
      </w:r>
      <w:r>
        <w:rPr>
          <w:rFonts w:hint="eastAsia" w:ascii="方正黑体_GBK" w:hAnsi="方正黑体_GBK" w:eastAsia="方正黑体_GBK" w:cs="方正黑体_GBK"/>
          <w:bCs/>
          <w:kern w:val="0"/>
          <w:sz w:val="31"/>
          <w:szCs w:val="31"/>
          <w:highlight w:val="none"/>
          <w:lang w:val="en-US" w:eastAsia="zh-CN" w:bidi="ar-SA"/>
        </w:rPr>
        <w:fldChar w:fldCharType="separate"/>
      </w:r>
      <w:r>
        <w:rPr>
          <w:rFonts w:hint="eastAsia" w:ascii="方正黑体_GBK" w:hAnsi="方正黑体_GBK" w:eastAsia="方正黑体_GBK" w:cs="方正黑体_GBK"/>
          <w:bCs/>
          <w:kern w:val="0"/>
          <w:sz w:val="31"/>
          <w:szCs w:val="31"/>
          <w:highlight w:val="none"/>
          <w:lang w:val="en-US" w:eastAsia="zh-CN" w:bidi="ar-SA"/>
        </w:rPr>
        <w:t>第二部分 部门决算情况说明</w:t>
      </w:r>
      <w:r>
        <w:rPr>
          <w:rFonts w:hint="eastAsia" w:ascii="方正黑体_GBK" w:hAnsi="方正黑体_GBK" w:eastAsia="方正黑体_GBK" w:cs="方正黑体_GBK"/>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_Toc25314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一、收入支出决算总体情况说明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_Toc12142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二、收入决算情况说明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_Toc13201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三、支出决算情况说明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_Toc26564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四、财政拨款收入支出决算总体情况说明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_Toc20360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五、一般公共预算财政拨款支出决算情况说明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_Toc30870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六、一般公共预算财政拨款基本支出决算情况说明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_Toc21518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七、财政拨款“三公”经费支出决算情况说明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_Toc5810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八、政府性基金预算财政拨款收入支出决算情况说明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_Toc5810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九、国有资本经营预算财政拨款收入支出决算情况说明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_Toc1235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十、其他重要事项的情况说明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_Toc14519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（一）机关运行经费支出情况</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_Toc227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（二）政府采购情况</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_Toc8391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（三）国有资产占用情况说明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_Toc11283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十一、预算绩效的情况说明</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_Toc11283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十</w:t>
      </w:r>
      <w:r>
        <w:rPr>
          <w:rFonts w:hint="eastAsia" w:eastAsia="方正仿宋_GBK" w:cs="Times New Roman"/>
          <w:bCs/>
          <w:kern w:val="0"/>
          <w:sz w:val="31"/>
          <w:szCs w:val="31"/>
          <w:highlight w:val="none"/>
          <w:lang w:val="en-US" w:eastAsia="zh-CN" w:bidi="ar-SA"/>
        </w:rPr>
        <w:t>二</w:t>
      </w:r>
      <w:r>
        <w:rPr>
          <w:rFonts w:hint="default" w:ascii="Times New Roman" w:hAnsi="Times New Roman" w:eastAsia="方正仿宋_GBK" w:cs="Times New Roman"/>
          <w:bCs/>
          <w:kern w:val="0"/>
          <w:sz w:val="31"/>
          <w:szCs w:val="31"/>
          <w:highlight w:val="none"/>
          <w:lang w:val="en-US" w:eastAsia="zh-CN" w:bidi="ar-SA"/>
        </w:rPr>
        <w:t>、</w:t>
      </w:r>
      <w:r>
        <w:rPr>
          <w:rFonts w:hint="eastAsia" w:eastAsia="方正仿宋_GBK" w:cs="Times New Roman"/>
          <w:bCs/>
          <w:kern w:val="0"/>
          <w:sz w:val="31"/>
          <w:szCs w:val="31"/>
          <w:highlight w:val="none"/>
          <w:lang w:val="en-US" w:eastAsia="zh-CN" w:bidi="ar-SA"/>
        </w:rPr>
        <w:t>其他需说明</w:t>
      </w:r>
      <w:r>
        <w:rPr>
          <w:rFonts w:hint="default" w:ascii="Times New Roman" w:hAnsi="Times New Roman" w:eastAsia="方正仿宋_GBK" w:cs="Times New Roman"/>
          <w:bCs/>
          <w:kern w:val="0"/>
          <w:sz w:val="31"/>
          <w:szCs w:val="31"/>
          <w:highlight w:val="none"/>
          <w:lang w:val="en-US" w:eastAsia="zh-CN" w:bidi="ar-SA"/>
        </w:rPr>
        <w:t>的</w:t>
      </w:r>
      <w:r>
        <w:rPr>
          <w:rFonts w:hint="eastAsia" w:eastAsia="方正仿宋_GBK" w:cs="Times New Roman"/>
          <w:bCs/>
          <w:kern w:val="0"/>
          <w:sz w:val="31"/>
          <w:szCs w:val="31"/>
          <w:highlight w:val="none"/>
          <w:lang w:val="en-US" w:eastAsia="zh-CN" w:bidi="ar-SA"/>
        </w:rPr>
        <w:t>事</w:t>
      </w:r>
      <w:r>
        <w:rPr>
          <w:rFonts w:hint="default" w:ascii="Times New Roman" w:hAnsi="Times New Roman" w:eastAsia="方正仿宋_GBK" w:cs="Times New Roman"/>
          <w:bCs/>
          <w:kern w:val="0"/>
          <w:sz w:val="31"/>
          <w:szCs w:val="31"/>
          <w:highlight w:val="none"/>
          <w:lang w:val="en-US" w:eastAsia="zh-CN" w:bidi="ar-SA"/>
        </w:rPr>
        <w:fldChar w:fldCharType="end"/>
      </w:r>
      <w:r>
        <w:rPr>
          <w:rFonts w:hint="eastAsia" w:eastAsia="方正仿宋_GBK" w:cs="Times New Roman"/>
          <w:bCs/>
          <w:kern w:val="0"/>
          <w:sz w:val="31"/>
          <w:szCs w:val="31"/>
          <w:highlight w:val="none"/>
          <w:lang w:val="en-US" w:eastAsia="zh-CN" w:bidi="ar-SA"/>
        </w:rPr>
        <w:t>项</w:t>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eastAsia" w:ascii="方正黑体_GBK" w:hAnsi="方正黑体_GBK" w:eastAsia="方正黑体_GBK" w:cs="方正黑体_GBK"/>
          <w:bCs/>
          <w:kern w:val="0"/>
          <w:sz w:val="31"/>
          <w:szCs w:val="31"/>
          <w:highlight w:val="none"/>
          <w:lang w:val="en-US" w:eastAsia="zh-CN" w:bidi="ar-SA"/>
        </w:rPr>
      </w:pPr>
      <w:r>
        <w:rPr>
          <w:rFonts w:hint="eastAsia" w:ascii="方正黑体_GBK" w:hAnsi="方正黑体_GBK" w:eastAsia="方正黑体_GBK" w:cs="方正黑体_GBK"/>
          <w:bCs/>
          <w:kern w:val="0"/>
          <w:sz w:val="31"/>
          <w:szCs w:val="31"/>
          <w:highlight w:val="none"/>
          <w:lang w:val="en-US" w:eastAsia="zh-CN" w:bidi="ar-SA"/>
        </w:rPr>
        <w:fldChar w:fldCharType="begin"/>
      </w:r>
      <w:r>
        <w:rPr>
          <w:rFonts w:hint="eastAsia" w:ascii="方正黑体_GBK" w:hAnsi="方正黑体_GBK" w:eastAsia="方正黑体_GBK" w:cs="方正黑体_GBK"/>
          <w:bCs/>
          <w:kern w:val="0"/>
          <w:sz w:val="31"/>
          <w:szCs w:val="31"/>
          <w:highlight w:val="none"/>
          <w:lang w:val="en-US" w:eastAsia="zh-CN" w:bidi="ar-SA"/>
        </w:rPr>
        <w:instrText xml:space="preserve"> HYPERLINK \l _Toc3250 </w:instrText>
      </w:r>
      <w:r>
        <w:rPr>
          <w:rFonts w:hint="eastAsia" w:ascii="方正黑体_GBK" w:hAnsi="方正黑体_GBK" w:eastAsia="方正黑体_GBK" w:cs="方正黑体_GBK"/>
          <w:bCs/>
          <w:kern w:val="0"/>
          <w:sz w:val="31"/>
          <w:szCs w:val="31"/>
          <w:highlight w:val="none"/>
          <w:lang w:val="en-US" w:eastAsia="zh-CN" w:bidi="ar-SA"/>
        </w:rPr>
        <w:fldChar w:fldCharType="separate"/>
      </w:r>
      <w:r>
        <w:rPr>
          <w:rFonts w:hint="eastAsia" w:ascii="方正黑体_GBK" w:hAnsi="方正黑体_GBK" w:eastAsia="方正黑体_GBK" w:cs="方正黑体_GBK"/>
          <w:bCs/>
          <w:kern w:val="0"/>
          <w:sz w:val="31"/>
          <w:szCs w:val="31"/>
          <w:highlight w:val="none"/>
          <w:lang w:val="en-US" w:eastAsia="zh-CN" w:bidi="ar-SA"/>
        </w:rPr>
        <w:t>第三部分 专业名词解释</w:t>
      </w:r>
      <w:r>
        <w:rPr>
          <w:rFonts w:hint="eastAsia" w:ascii="方正黑体_GBK" w:hAnsi="方正黑体_GBK" w:eastAsia="方正黑体_GBK" w:cs="方正黑体_GBK"/>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eastAsia" w:ascii="方正黑体_GBK" w:hAnsi="方正黑体_GBK" w:eastAsia="方正黑体_GBK" w:cs="方正黑体_GBK"/>
          <w:bCs/>
          <w:kern w:val="0"/>
          <w:sz w:val="31"/>
          <w:szCs w:val="31"/>
          <w:highlight w:val="none"/>
          <w:lang w:val="en-US" w:eastAsia="zh-CN" w:bidi="ar-SA"/>
        </w:rPr>
      </w:pPr>
      <w:r>
        <w:rPr>
          <w:rFonts w:hint="eastAsia" w:ascii="方正黑体_GBK" w:hAnsi="方正黑体_GBK" w:eastAsia="方正黑体_GBK" w:cs="方正黑体_GBK"/>
          <w:bCs/>
          <w:kern w:val="0"/>
          <w:sz w:val="31"/>
          <w:szCs w:val="31"/>
          <w:highlight w:val="none"/>
          <w:lang w:val="en-US" w:eastAsia="zh-CN" w:bidi="ar-SA"/>
        </w:rPr>
        <w:fldChar w:fldCharType="begin"/>
      </w:r>
      <w:r>
        <w:rPr>
          <w:rFonts w:hint="eastAsia" w:ascii="方正黑体_GBK" w:hAnsi="方正黑体_GBK" w:eastAsia="方正黑体_GBK" w:cs="方正黑体_GBK"/>
          <w:bCs/>
          <w:kern w:val="0"/>
          <w:sz w:val="31"/>
          <w:szCs w:val="31"/>
          <w:highlight w:val="none"/>
          <w:lang w:val="en-US" w:eastAsia="zh-CN" w:bidi="ar-SA"/>
        </w:rPr>
        <w:instrText xml:space="preserve"> HYPERLINK \l _Toc22784 </w:instrText>
      </w:r>
      <w:r>
        <w:rPr>
          <w:rFonts w:hint="eastAsia" w:ascii="方正黑体_GBK" w:hAnsi="方正黑体_GBK" w:eastAsia="方正黑体_GBK" w:cs="方正黑体_GBK"/>
          <w:bCs/>
          <w:kern w:val="0"/>
          <w:sz w:val="31"/>
          <w:szCs w:val="31"/>
          <w:highlight w:val="none"/>
          <w:lang w:val="en-US" w:eastAsia="zh-CN" w:bidi="ar-SA"/>
        </w:rPr>
        <w:fldChar w:fldCharType="separate"/>
      </w:r>
      <w:r>
        <w:rPr>
          <w:rFonts w:hint="eastAsia" w:ascii="方正黑体_GBK" w:hAnsi="方正黑体_GBK" w:eastAsia="方正黑体_GBK" w:cs="方正黑体_GBK"/>
          <w:bCs/>
          <w:kern w:val="0"/>
          <w:sz w:val="31"/>
          <w:szCs w:val="31"/>
          <w:highlight w:val="none"/>
          <w:lang w:val="en-US" w:eastAsia="zh-CN" w:bidi="ar-SA"/>
        </w:rPr>
        <w:t>第四部分 部门决算报表（见附表）</w:t>
      </w:r>
      <w:r>
        <w:rPr>
          <w:rFonts w:hint="eastAsia" w:ascii="方正黑体_GBK" w:hAnsi="方正黑体_GBK" w:eastAsia="方正黑体_GBK" w:cs="方正黑体_GBK"/>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_Toc2183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一、《收入支出决算总表》</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_Toc24532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二、《收入决算表》</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_Toc32434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三、《支出决算表》</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_Toc28786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四、《财政拨款收入支出决算总表》</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_Toc14869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五、《一般公共预算财政拨款支出决算表》</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_Toc8884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六、《一般公共预算财政拨款基本支出决算表》</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_Toc29106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七、《财政拨款“三公”经费支出决算表》</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fldChar w:fldCharType="begin"/>
      </w:r>
      <w:r>
        <w:rPr>
          <w:rFonts w:hint="default" w:ascii="Times New Roman" w:hAnsi="Times New Roman" w:eastAsia="方正仿宋_GBK" w:cs="Times New Roman"/>
          <w:bCs/>
          <w:kern w:val="0"/>
          <w:sz w:val="31"/>
          <w:szCs w:val="31"/>
          <w:highlight w:val="none"/>
          <w:lang w:val="en-US" w:eastAsia="zh-CN" w:bidi="ar-SA"/>
        </w:rPr>
        <w:instrText xml:space="preserve"> HYPERLINK \l _Toc7643 </w:instrText>
      </w:r>
      <w:r>
        <w:rPr>
          <w:rFonts w:hint="default" w:ascii="Times New Roman" w:hAnsi="Times New Roman" w:eastAsia="方正仿宋_GBK" w:cs="Times New Roman"/>
          <w:bCs/>
          <w:kern w:val="0"/>
          <w:sz w:val="31"/>
          <w:szCs w:val="31"/>
          <w:highlight w:val="none"/>
          <w:lang w:val="en-US" w:eastAsia="zh-CN" w:bidi="ar-SA"/>
        </w:rPr>
        <w:fldChar w:fldCharType="separate"/>
      </w:r>
      <w:r>
        <w:rPr>
          <w:rFonts w:hint="default" w:ascii="Times New Roman" w:hAnsi="Times New Roman" w:eastAsia="方正仿宋_GBK" w:cs="Times New Roman"/>
          <w:bCs/>
          <w:kern w:val="0"/>
          <w:sz w:val="31"/>
          <w:szCs w:val="31"/>
          <w:highlight w:val="none"/>
          <w:lang w:val="en-US" w:eastAsia="zh-CN" w:bidi="ar-SA"/>
        </w:rPr>
        <w:t>八、《政府性基金预算财政拨款收入支出决算表》</w:t>
      </w:r>
      <w:r>
        <w:rPr>
          <w:rFonts w:hint="default" w:ascii="Times New Roman" w:hAnsi="Times New Roman" w:eastAsia="方正仿宋_GBK" w:cs="Times New Roman"/>
          <w:bCs/>
          <w:kern w:val="0"/>
          <w:sz w:val="31"/>
          <w:szCs w:val="31"/>
          <w:highlight w:val="none"/>
          <w:lang w:val="en-US" w:eastAsia="zh-CN" w:bidi="ar-SA"/>
        </w:rPr>
        <w:fldChar w:fldCharType="end"/>
      </w:r>
    </w:p>
    <w:p>
      <w:pPr>
        <w:pStyle w:val="6"/>
        <w:keepNext w:val="0"/>
        <w:keepLines w:val="0"/>
        <w:pageBreakBefore w:val="0"/>
        <w:widowControl w:val="0"/>
        <w:tabs>
          <w:tab w:val="right" w:pos="8306"/>
        </w:tabs>
        <w:kinsoku/>
        <w:wordWrap/>
        <w:overflowPunct/>
        <w:topLinePunct w:val="0"/>
        <w:autoSpaceDE/>
        <w:autoSpaceDN/>
        <w:bidi w:val="0"/>
        <w:adjustRightInd/>
        <w:snapToGrid/>
        <w:spacing w:line="560" w:lineRule="exact"/>
        <w:ind w:firstLine="620" w:firstLineChars="200"/>
        <w:jc w:val="left"/>
        <w:textAlignment w:val="auto"/>
        <w:rPr>
          <w:rFonts w:hint="default" w:ascii="Times New Roman" w:hAnsi="Times New Roman" w:eastAsia="方正仿宋_GBK" w:cs="Times New Roman"/>
          <w:bCs/>
          <w:kern w:val="0"/>
          <w:sz w:val="31"/>
          <w:szCs w:val="31"/>
          <w:highlight w:val="none"/>
          <w:lang w:val="en-US" w:eastAsia="zh-CN" w:bidi="ar-SA"/>
        </w:rPr>
      </w:pPr>
      <w:r>
        <w:rPr>
          <w:rFonts w:hint="default" w:ascii="Times New Roman" w:hAnsi="Times New Roman" w:eastAsia="方正仿宋_GBK" w:cs="Times New Roman"/>
          <w:bCs/>
          <w:kern w:val="0"/>
          <w:sz w:val="31"/>
          <w:szCs w:val="31"/>
          <w:highlight w:val="none"/>
          <w:lang w:val="en-US" w:eastAsia="zh-CN" w:bidi="ar-SA"/>
        </w:rPr>
        <w:t>九、《国有资本经营预算财政拨款收入支出决算表》</w:t>
      </w:r>
    </w:p>
    <w:p>
      <w:pPr>
        <w:keepNext w:val="0"/>
        <w:keepLines w:val="0"/>
        <w:pageBreakBefore w:val="0"/>
        <w:widowControl w:val="0"/>
        <w:kinsoku/>
        <w:wordWrap/>
        <w:overflowPunct/>
        <w:topLinePunct w:val="0"/>
        <w:autoSpaceDE/>
        <w:autoSpaceDN/>
        <w:bidi w:val="0"/>
        <w:adjustRightInd/>
        <w:snapToGrid/>
        <w:spacing w:line="560" w:lineRule="exact"/>
        <w:ind w:left="0" w:leftChars="0"/>
        <w:jc w:val="both"/>
        <w:textAlignment w:val="auto"/>
        <w:rPr>
          <w:color w:val="auto"/>
          <w:highlight w:val="none"/>
        </w:rPr>
      </w:pPr>
      <w:r>
        <w:rPr>
          <w:rFonts w:hint="default" w:ascii="Times New Roman" w:hAnsi="Times New Roman" w:eastAsia="方正仿宋_GBK" w:cs="Times New Roman"/>
          <w:bCs/>
          <w:kern w:val="0"/>
          <w:sz w:val="31"/>
          <w:szCs w:val="31"/>
          <w:highlight w:val="none"/>
          <w:lang w:val="en-US" w:eastAsia="zh-CN" w:bidi="ar-SA"/>
        </w:rPr>
        <w:fldChar w:fldCharType="end"/>
      </w:r>
    </w:p>
    <w:p>
      <w:pPr>
        <w:keepNext w:val="0"/>
        <w:keepLines w:val="0"/>
        <w:pageBreakBefore w:val="0"/>
        <w:widowControl w:val="0"/>
        <w:kinsoku/>
        <w:wordWrap/>
        <w:overflowPunct/>
        <w:topLinePunct w:val="0"/>
        <w:bidi w:val="0"/>
        <w:adjustRightInd/>
        <w:snapToGrid/>
        <w:spacing w:line="560" w:lineRule="exact"/>
        <w:textAlignment w:val="auto"/>
        <w:rPr>
          <w:rFonts w:hint="eastAsia" w:ascii="仿宋_GB2312" w:eastAsia="仿宋_GB2312"/>
          <w:color w:val="auto"/>
          <w:sz w:val="32"/>
          <w:szCs w:val="32"/>
          <w:highlight w:val="none"/>
        </w:rPr>
      </w:pPr>
      <w:r>
        <w:rPr>
          <w:rFonts w:hint="eastAsia" w:ascii="仿宋_GB2312" w:eastAsia="仿宋_GB2312"/>
          <w:color w:val="auto"/>
          <w:sz w:val="32"/>
          <w:szCs w:val="32"/>
          <w:highlight w:val="none"/>
        </w:rPr>
        <w:br w:type="page"/>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outlineLvl w:val="0"/>
        <w:rPr>
          <w:rFonts w:hint="eastAsia" w:ascii="方正小标宋_GBK" w:hAnsi="方正小标宋_GBK" w:eastAsia="方正小标宋_GBK" w:cs="方正小标宋_GBK"/>
          <w:color w:val="auto"/>
          <w:sz w:val="31"/>
          <w:szCs w:val="31"/>
          <w:highlight w:val="none"/>
        </w:rPr>
      </w:pPr>
      <w:bookmarkStart w:id="0" w:name="_Toc24028"/>
      <w:bookmarkStart w:id="1" w:name="_Toc32314"/>
      <w:r>
        <w:rPr>
          <w:rFonts w:hint="eastAsia" w:ascii="方正小标宋_GBK" w:hAnsi="方正小标宋_GBK" w:eastAsia="方正小标宋_GBK" w:cs="方正小标宋_GBK"/>
          <w:color w:val="auto"/>
          <w:sz w:val="31"/>
          <w:szCs w:val="31"/>
          <w:highlight w:val="none"/>
        </w:rPr>
        <w:t xml:space="preserve">第一部分 </w:t>
      </w:r>
      <w:r>
        <w:rPr>
          <w:rFonts w:hint="eastAsia" w:ascii="方正小标宋_GBK" w:hAnsi="方正小标宋_GBK" w:eastAsia="方正小标宋_GBK" w:cs="方正小标宋_GBK"/>
          <w:color w:val="auto"/>
          <w:sz w:val="31"/>
          <w:szCs w:val="31"/>
          <w:highlight w:val="none"/>
          <w:lang w:eastAsia="zh-CN"/>
        </w:rPr>
        <w:t>单位</w:t>
      </w:r>
      <w:r>
        <w:rPr>
          <w:rFonts w:hint="eastAsia" w:ascii="方正小标宋_GBK" w:hAnsi="方正小标宋_GBK" w:eastAsia="方正小标宋_GBK" w:cs="方正小标宋_GBK"/>
          <w:color w:val="auto"/>
          <w:sz w:val="31"/>
          <w:szCs w:val="31"/>
          <w:highlight w:val="none"/>
        </w:rPr>
        <w:t>概况</w:t>
      </w:r>
      <w:bookmarkEnd w:id="0"/>
      <w:bookmarkEnd w:id="1"/>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黑体_GBK" w:hAnsi="方正黑体_GBK" w:eastAsia="方正黑体_GBK" w:cs="方正黑体_GBK"/>
          <w:bCs/>
          <w:color w:val="auto"/>
          <w:kern w:val="0"/>
          <w:sz w:val="31"/>
          <w:szCs w:val="31"/>
          <w:highlight w:val="none"/>
        </w:rPr>
      </w:pPr>
      <w:bookmarkStart w:id="2" w:name="_Toc30567"/>
      <w:bookmarkStart w:id="3" w:name="_Toc30738"/>
      <w:r>
        <w:rPr>
          <w:rFonts w:hint="eastAsia" w:ascii="方正黑体_GBK" w:hAnsi="方正黑体_GBK" w:eastAsia="方正黑体_GBK" w:cs="方正黑体_GBK"/>
          <w:bCs/>
          <w:color w:val="auto"/>
          <w:kern w:val="0"/>
          <w:sz w:val="31"/>
          <w:szCs w:val="31"/>
          <w:highlight w:val="none"/>
        </w:rPr>
        <w:t>一、主要职能</w:t>
      </w:r>
      <w:bookmarkEnd w:id="2"/>
      <w:bookmarkEnd w:id="3"/>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bookmarkStart w:id="4" w:name="_Toc31238"/>
      <w:bookmarkStart w:id="5" w:name="_Toc2151"/>
      <w:r>
        <w:rPr>
          <w:rFonts w:hint="eastAsia" w:ascii="方正仿宋_GBK" w:hAnsi="方正仿宋_GBK" w:eastAsia="方正仿宋_GBK" w:cs="方正仿宋_GBK"/>
          <w:color w:val="auto"/>
          <w:spacing w:val="0"/>
          <w:sz w:val="31"/>
          <w:szCs w:val="31"/>
          <w:highlight w:val="none"/>
          <w:lang w:val="en-US" w:eastAsia="zh-CN"/>
        </w:rPr>
        <w:t xml:space="preserve">1、贯彻执行党和国家的各项方针、政策、法规和上级人民政府关于街道工作方面的决定，制定具体的管理办法并组织实施。  </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 xml:space="preserve">2、负责辖区内的社会管理综合治理，人民调解、法律服务工作，依照有关规定管理外来流动人员。 </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 xml:space="preserve">3、开展社区服务、拥军优属工作，负责社区优抚、社会救济、社会福利工作，做好社区文化、科普、体育、教育工作。 </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 xml:space="preserve">4、按照职责范围做好计划生育、爱国卫生、绿化、环境保护、劳动就业、安全生产等管理工作。    </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5、配合有关部门做好防汛、防风、防火、防震、抢险和防灾救灾工作。</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6、会同有关部门做好本辖区综合治理等工作；</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7、负责辖区内市容市貌和环境卫生的日常管理工作，发动辖区单位和群众保护环境，开展爱国卫生运动；</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8、指导和帮助居民委员会的工作，调解解决行政事务、社会管理和公共服务方面的问题，促进居民委员会的依法建设。</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9、协助武装部门做好国防动员、民兵训练和公民服兵役工作；</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10、维护老年人、妇女、青少年、儿童和残疾人的合法权益。</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 xml:space="preserve">11、动员和领导居民及各单位、各部门开展社区建设工作；制定并实施社区建设规划和年度计划； </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12、承办市党委、市政府交办的其他事项。</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黑体_GBK" w:hAnsi="方正黑体_GBK" w:eastAsia="方正黑体_GBK" w:cs="方正黑体_GBK"/>
          <w:bCs/>
          <w:color w:val="auto"/>
          <w:kern w:val="0"/>
          <w:sz w:val="31"/>
          <w:szCs w:val="31"/>
          <w:highlight w:val="none"/>
        </w:rPr>
      </w:pPr>
      <w:r>
        <w:rPr>
          <w:rFonts w:hint="eastAsia" w:ascii="方正黑体_GBK" w:hAnsi="方正黑体_GBK" w:eastAsia="方正黑体_GBK" w:cs="方正黑体_GBK"/>
          <w:bCs/>
          <w:color w:val="auto"/>
          <w:kern w:val="0"/>
          <w:sz w:val="31"/>
          <w:szCs w:val="31"/>
          <w:highlight w:val="none"/>
        </w:rPr>
        <w:t>二、机构设置</w:t>
      </w:r>
      <w:r>
        <w:rPr>
          <w:rFonts w:hint="eastAsia" w:ascii="方正黑体_GBK" w:hAnsi="方正黑体_GBK" w:eastAsia="方正黑体_GBK" w:cs="方正黑体_GBK"/>
          <w:bCs/>
          <w:color w:val="auto"/>
          <w:kern w:val="0"/>
          <w:sz w:val="31"/>
          <w:szCs w:val="31"/>
          <w:highlight w:val="none"/>
          <w:lang w:eastAsia="zh-CN"/>
        </w:rPr>
        <w:t>及</w:t>
      </w:r>
      <w:bookmarkEnd w:id="4"/>
      <w:r>
        <w:rPr>
          <w:rFonts w:hint="eastAsia" w:ascii="方正黑体_GBK" w:hAnsi="方正黑体_GBK" w:eastAsia="方正黑体_GBK" w:cs="方正黑体_GBK"/>
          <w:bCs/>
          <w:color w:val="auto"/>
          <w:kern w:val="0"/>
          <w:sz w:val="31"/>
          <w:szCs w:val="31"/>
          <w:highlight w:val="none"/>
          <w:lang w:eastAsia="zh-CN"/>
        </w:rPr>
        <w:t>人员</w:t>
      </w:r>
      <w:r>
        <w:rPr>
          <w:rFonts w:hint="eastAsia" w:ascii="方正黑体_GBK" w:hAnsi="方正黑体_GBK" w:eastAsia="方正黑体_GBK" w:cs="方正黑体_GBK"/>
          <w:bCs/>
          <w:color w:val="auto"/>
          <w:kern w:val="0"/>
          <w:sz w:val="31"/>
          <w:szCs w:val="31"/>
          <w:highlight w:val="none"/>
        </w:rPr>
        <w:t>情况</w:t>
      </w:r>
      <w:bookmarkEnd w:id="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库尔勒市团结街道办事处2023年度，实有人数</w:t>
      </w:r>
      <w:r>
        <w:rPr>
          <w:rFonts w:hint="eastAsia" w:ascii="Times New Roman" w:hAnsi="Times New Roman" w:eastAsia="方正仿宋_GBK" w:cs="Times New Roman"/>
          <w:bCs/>
          <w:kern w:val="0"/>
          <w:sz w:val="31"/>
          <w:szCs w:val="31"/>
          <w:highlight w:val="none"/>
          <w:lang w:val="zh-CN" w:eastAsia="zh-CN" w:bidi="ar-SA"/>
        </w:rPr>
        <w:t>74</w:t>
      </w:r>
      <w:r>
        <w:rPr>
          <w:rFonts w:hint="eastAsia" w:ascii="Times New Roman" w:hAnsi="Times New Roman" w:eastAsia="方正仿宋_GBK" w:cs="Times New Roman"/>
          <w:bCs/>
          <w:kern w:val="0"/>
          <w:sz w:val="31"/>
          <w:szCs w:val="31"/>
          <w:highlight w:val="none"/>
          <w:lang w:val="en-US" w:eastAsia="zh-CN" w:bidi="ar-SA"/>
        </w:rPr>
        <w:t>人，其中：在职人员</w:t>
      </w:r>
      <w:r>
        <w:rPr>
          <w:rFonts w:hint="eastAsia" w:ascii="Times New Roman" w:hAnsi="Times New Roman" w:eastAsia="方正仿宋_GBK" w:cs="Times New Roman"/>
          <w:bCs/>
          <w:kern w:val="0"/>
          <w:sz w:val="31"/>
          <w:szCs w:val="31"/>
          <w:highlight w:val="none"/>
          <w:lang w:val="zh-CN" w:eastAsia="zh-CN" w:bidi="ar-SA"/>
        </w:rPr>
        <w:t>54</w:t>
      </w:r>
      <w:r>
        <w:rPr>
          <w:rFonts w:hint="eastAsia" w:ascii="Times New Roman" w:hAnsi="Times New Roman" w:eastAsia="方正仿宋_GBK" w:cs="Times New Roman"/>
          <w:bCs/>
          <w:kern w:val="0"/>
          <w:sz w:val="31"/>
          <w:szCs w:val="31"/>
          <w:highlight w:val="none"/>
          <w:lang w:val="en-US" w:eastAsia="zh-CN" w:bidi="ar-SA"/>
        </w:rPr>
        <w:t>人，离休人员</w:t>
      </w:r>
      <w:r>
        <w:rPr>
          <w:rFonts w:hint="eastAsia" w:ascii="Times New Roman" w:hAnsi="Times New Roman" w:eastAsia="方正仿宋_GBK" w:cs="Times New Roman"/>
          <w:bCs/>
          <w:kern w:val="0"/>
          <w:sz w:val="31"/>
          <w:szCs w:val="31"/>
          <w:highlight w:val="none"/>
          <w:lang w:val="zh-CN" w:eastAsia="zh-CN" w:bidi="ar-SA"/>
        </w:rPr>
        <w:t>0</w:t>
      </w:r>
      <w:r>
        <w:rPr>
          <w:rFonts w:hint="eastAsia" w:ascii="Times New Roman" w:hAnsi="Times New Roman" w:eastAsia="方正仿宋_GBK" w:cs="Times New Roman"/>
          <w:bCs/>
          <w:kern w:val="0"/>
          <w:sz w:val="31"/>
          <w:szCs w:val="31"/>
          <w:highlight w:val="none"/>
          <w:lang w:val="en-US" w:eastAsia="zh-CN" w:bidi="ar-SA"/>
        </w:rPr>
        <w:t>人，退休人员</w:t>
      </w:r>
      <w:r>
        <w:rPr>
          <w:rFonts w:hint="eastAsia" w:ascii="Times New Roman" w:hAnsi="Times New Roman" w:eastAsia="方正仿宋_GBK" w:cs="Times New Roman"/>
          <w:bCs/>
          <w:kern w:val="0"/>
          <w:sz w:val="31"/>
          <w:szCs w:val="31"/>
          <w:highlight w:val="none"/>
          <w:lang w:val="zh-CN" w:eastAsia="zh-CN" w:bidi="ar-SA"/>
        </w:rPr>
        <w:t>20</w:t>
      </w:r>
      <w:r>
        <w:rPr>
          <w:rFonts w:hint="eastAsia" w:ascii="Times New Roman" w:hAnsi="Times New Roman" w:eastAsia="方正仿宋_GBK" w:cs="Times New Roman"/>
          <w:bCs/>
          <w:kern w:val="0"/>
          <w:sz w:val="31"/>
          <w:szCs w:val="31"/>
          <w:highlight w:val="none"/>
          <w:lang w:val="en-US" w:eastAsia="zh-CN" w:bidi="ar-SA"/>
        </w:rPr>
        <w:t>人。</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sectPr>
          <w:footerReference r:id="rId3" w:type="default"/>
          <w:pgSz w:w="11906" w:h="16838"/>
          <w:pgMar w:top="1928" w:right="1474" w:bottom="1474" w:left="1474" w:header="851" w:footer="992" w:gutter="0"/>
          <w:pgNumType w:fmt="decimal" w:start="1"/>
          <w:cols w:space="720" w:num="1"/>
          <w:rtlGutter w:val="0"/>
          <w:docGrid w:type="lines" w:linePitch="312" w:charSpace="0"/>
        </w:sectPr>
      </w:pPr>
      <w:r>
        <w:rPr>
          <w:rFonts w:hint="eastAsia" w:ascii="Times New Roman" w:hAnsi="Times New Roman" w:eastAsia="方正仿宋_GBK" w:cs="Times New Roman"/>
          <w:bCs/>
          <w:kern w:val="0"/>
          <w:sz w:val="31"/>
          <w:szCs w:val="31"/>
          <w:highlight w:val="none"/>
          <w:lang w:val="en-US" w:eastAsia="zh-CN" w:bidi="ar-SA"/>
        </w:rPr>
        <w:t>单位无下属预算单位，下设6个处室，分别是：党建办公室、综合协调办公室、综合执法办公室、党群服务中心、社会事务（统计）服务中心（退役军人服务站）、综治中心（网格化服务中心）。</w:t>
      </w:r>
    </w:p>
    <w:p>
      <w:pPr>
        <w:keepNext w:val="0"/>
        <w:keepLines w:val="0"/>
        <w:pageBreakBefore w:val="0"/>
        <w:widowControl w:val="0"/>
        <w:kinsoku/>
        <w:wordWrap/>
        <w:overflowPunct/>
        <w:topLinePunct w:val="0"/>
        <w:autoSpaceDE/>
        <w:autoSpaceDN/>
        <w:bidi w:val="0"/>
        <w:adjustRightInd/>
        <w:snapToGrid/>
        <w:spacing w:line="560" w:lineRule="exact"/>
        <w:ind w:firstLine="0" w:firstLineChars="0"/>
        <w:jc w:val="center"/>
        <w:textAlignment w:val="auto"/>
        <w:outlineLvl w:val="0"/>
        <w:rPr>
          <w:rFonts w:hint="eastAsia" w:ascii="方正小标宋_GBK" w:hAnsi="方正小标宋_GBK" w:eastAsia="方正小标宋_GBK" w:cs="方正小标宋_GBK"/>
          <w:color w:val="auto"/>
          <w:sz w:val="31"/>
          <w:szCs w:val="31"/>
          <w:highlight w:val="none"/>
        </w:rPr>
      </w:pPr>
      <w:bookmarkStart w:id="6" w:name="_Toc29374"/>
      <w:bookmarkStart w:id="7" w:name="_Toc3092"/>
      <w:r>
        <w:rPr>
          <w:rFonts w:hint="eastAsia" w:ascii="方正小标宋_GBK" w:hAnsi="方正小标宋_GBK" w:eastAsia="方正小标宋_GBK" w:cs="方正小标宋_GBK"/>
          <w:color w:val="auto"/>
          <w:sz w:val="31"/>
          <w:szCs w:val="31"/>
          <w:highlight w:val="none"/>
        </w:rPr>
        <w:t>第</w:t>
      </w:r>
      <w:r>
        <w:rPr>
          <w:rFonts w:hint="eastAsia" w:ascii="方正小标宋_GBK" w:hAnsi="方正小标宋_GBK" w:eastAsia="方正小标宋_GBK" w:cs="方正小标宋_GBK"/>
          <w:color w:val="auto"/>
          <w:sz w:val="31"/>
          <w:szCs w:val="31"/>
          <w:highlight w:val="none"/>
          <w:lang w:val="en-US" w:eastAsia="zh-CN"/>
        </w:rPr>
        <w:t>二</w:t>
      </w:r>
      <w:r>
        <w:rPr>
          <w:rFonts w:hint="eastAsia" w:ascii="方正小标宋_GBK" w:hAnsi="方正小标宋_GBK" w:eastAsia="方正小标宋_GBK" w:cs="方正小标宋_GBK"/>
          <w:color w:val="auto"/>
          <w:sz w:val="31"/>
          <w:szCs w:val="31"/>
          <w:highlight w:val="none"/>
        </w:rPr>
        <w:t>部分 部门决算情况说明</w:t>
      </w:r>
      <w:bookmarkEnd w:id="6"/>
      <w:bookmarkEnd w:id="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黑体_GBK" w:hAnsi="方正黑体_GBK" w:eastAsia="方正黑体_GBK" w:cs="方正黑体_GBK"/>
          <w:bCs/>
          <w:color w:val="auto"/>
          <w:kern w:val="0"/>
          <w:sz w:val="31"/>
          <w:szCs w:val="31"/>
          <w:highlight w:val="none"/>
        </w:rPr>
      </w:pPr>
      <w:bookmarkStart w:id="8" w:name="_Toc25314"/>
      <w:bookmarkStart w:id="9" w:name="_Toc12566"/>
      <w:r>
        <w:rPr>
          <w:rFonts w:hint="eastAsia" w:ascii="方正黑体_GBK" w:hAnsi="方正黑体_GBK" w:eastAsia="方正黑体_GBK" w:cs="方正黑体_GBK"/>
          <w:bCs/>
          <w:color w:val="auto"/>
          <w:kern w:val="0"/>
          <w:sz w:val="31"/>
          <w:szCs w:val="31"/>
          <w:highlight w:val="none"/>
        </w:rPr>
        <w:t>一、收入支出决算总体情况说明</w:t>
      </w:r>
      <w:bookmarkEnd w:id="8"/>
      <w:bookmarkEnd w:id="9"/>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2023年度收入总计2,039.12万元，其中：本年收入合计2,039.12万元，使用非财政拨款结余0.00万元，年初结转和结余0.00万元。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2023年度支出总计2,039.12万元，其中：本年支出合计2,039.12万元，结余分配0.00万元，年末结转和结余0.00万元。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收入支出总体与上年相比，</w:t>
      </w:r>
      <w:r>
        <w:rPr>
          <w:rFonts w:hint="eastAsia" w:ascii="Times New Roman" w:hAnsi="Times New Roman" w:eastAsia="方正仿宋_GBK" w:cs="Times New Roman"/>
          <w:bCs/>
          <w:kern w:val="0"/>
          <w:sz w:val="31"/>
          <w:szCs w:val="31"/>
          <w:highlight w:val="none"/>
          <w:lang w:val="zh-CN" w:eastAsia="zh-CN" w:bidi="ar-SA"/>
        </w:rPr>
        <w:t>减少465.56万元</w:t>
      </w:r>
      <w:r>
        <w:rPr>
          <w:rFonts w:hint="eastAsia" w:ascii="Times New Roman" w:hAnsi="Times New Roman" w:eastAsia="方正仿宋_GBK" w:cs="Times New Roman"/>
          <w:bCs/>
          <w:kern w:val="0"/>
          <w:sz w:val="31"/>
          <w:szCs w:val="31"/>
          <w:highlight w:val="none"/>
          <w:lang w:val="en-US" w:eastAsia="zh-CN" w:bidi="ar-SA"/>
        </w:rPr>
        <w:t>，下降18.59%，主要原因是：2023年长期聘用人员比上年减少13人；2022年度偿还以前年度“三化”设备款405万元；行政在编辞职2人。</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rPr>
      </w:pPr>
      <w:bookmarkStart w:id="10" w:name="_Toc12142"/>
      <w:bookmarkStart w:id="11" w:name="_Toc1979"/>
      <w:r>
        <w:rPr>
          <w:rFonts w:hint="eastAsia" w:ascii="方正黑体_GBK" w:hAnsi="方正黑体_GBK" w:eastAsia="方正黑体_GBK" w:cs="方正黑体_GBK"/>
          <w:bCs/>
          <w:color w:val="auto"/>
          <w:kern w:val="0"/>
          <w:sz w:val="31"/>
          <w:szCs w:val="31"/>
          <w:highlight w:val="none"/>
          <w:lang w:eastAsia="zh-CN"/>
        </w:rPr>
        <w:t>二、</w:t>
      </w:r>
      <w:r>
        <w:rPr>
          <w:rFonts w:hint="eastAsia" w:ascii="方正黑体_GBK" w:hAnsi="方正黑体_GBK" w:eastAsia="方正黑体_GBK" w:cs="方正黑体_GBK"/>
          <w:bCs/>
          <w:color w:val="auto"/>
          <w:kern w:val="0"/>
          <w:sz w:val="31"/>
          <w:szCs w:val="31"/>
          <w:highlight w:val="none"/>
        </w:rPr>
        <w:t>收入</w:t>
      </w:r>
      <w:r>
        <w:rPr>
          <w:rFonts w:hint="eastAsia" w:ascii="方正黑体_GBK" w:hAnsi="方正黑体_GBK" w:eastAsia="方正黑体_GBK" w:cs="方正黑体_GBK"/>
          <w:bCs/>
          <w:color w:val="auto"/>
          <w:kern w:val="0"/>
          <w:sz w:val="31"/>
          <w:szCs w:val="31"/>
          <w:highlight w:val="none"/>
          <w:lang w:eastAsia="zh-CN"/>
        </w:rPr>
        <w:t>决算</w:t>
      </w:r>
      <w:r>
        <w:rPr>
          <w:rFonts w:hint="eastAsia" w:ascii="方正黑体_GBK" w:hAnsi="方正黑体_GBK" w:eastAsia="方正黑体_GBK" w:cs="方正黑体_GBK"/>
          <w:bCs/>
          <w:color w:val="auto"/>
          <w:kern w:val="0"/>
          <w:sz w:val="31"/>
          <w:szCs w:val="31"/>
          <w:highlight w:val="none"/>
        </w:rPr>
        <w:t>情况说明</w:t>
      </w:r>
      <w:bookmarkEnd w:id="10"/>
      <w:bookmarkEnd w:id="11"/>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本年收入2,039.12万元，其中：财政拨款收入</w:t>
      </w:r>
      <w:r>
        <w:rPr>
          <w:rFonts w:hint="eastAsia" w:ascii="Times New Roman" w:hAnsi="Times New Roman" w:eastAsia="方正仿宋_GBK" w:cs="Times New Roman"/>
          <w:bCs/>
          <w:kern w:val="0"/>
          <w:sz w:val="31"/>
          <w:szCs w:val="31"/>
          <w:highlight w:val="none"/>
          <w:lang w:val="zh-CN" w:eastAsia="zh-CN" w:bidi="ar-SA"/>
        </w:rPr>
        <w:t>2,039.12</w:t>
      </w:r>
      <w:r>
        <w:rPr>
          <w:rFonts w:hint="eastAsia" w:ascii="Times New Roman" w:hAnsi="Times New Roman" w:eastAsia="方正仿宋_GBK" w:cs="Times New Roman"/>
          <w:bCs/>
          <w:kern w:val="0"/>
          <w:sz w:val="31"/>
          <w:szCs w:val="31"/>
          <w:highlight w:val="none"/>
          <w:lang w:val="en-US" w:eastAsia="zh-CN" w:bidi="ar-SA"/>
        </w:rPr>
        <w:t>万元，占</w:t>
      </w:r>
      <w:r>
        <w:rPr>
          <w:rFonts w:hint="eastAsia" w:ascii="Times New Roman" w:hAnsi="Times New Roman" w:eastAsia="方正仿宋_GBK" w:cs="Times New Roman"/>
          <w:bCs/>
          <w:kern w:val="0"/>
          <w:sz w:val="31"/>
          <w:szCs w:val="31"/>
          <w:highlight w:val="none"/>
          <w:lang w:val="zh-CN" w:eastAsia="zh-CN" w:bidi="ar-SA"/>
        </w:rPr>
        <w:t>100.00</w:t>
      </w:r>
      <w:r>
        <w:rPr>
          <w:rFonts w:hint="eastAsia" w:ascii="Times New Roman" w:hAnsi="Times New Roman" w:eastAsia="方正仿宋_GBK" w:cs="Times New Roman"/>
          <w:bCs/>
          <w:kern w:val="0"/>
          <w:sz w:val="31"/>
          <w:szCs w:val="31"/>
          <w:highlight w:val="none"/>
          <w:lang w:val="en-US" w:eastAsia="zh-CN" w:bidi="ar-SA"/>
        </w:rPr>
        <w:t>%；上级补助收入</w:t>
      </w:r>
      <w:r>
        <w:rPr>
          <w:rFonts w:hint="eastAsia" w:ascii="Times New Roman" w:hAnsi="Times New Roman" w:eastAsia="方正仿宋_GBK" w:cs="Times New Roman"/>
          <w:bCs/>
          <w:kern w:val="0"/>
          <w:sz w:val="31"/>
          <w:szCs w:val="31"/>
          <w:highlight w:val="none"/>
          <w:lang w:val="zh-CN" w:eastAsia="zh-CN" w:bidi="ar-SA"/>
        </w:rPr>
        <w:t>0.00</w:t>
      </w:r>
      <w:r>
        <w:rPr>
          <w:rFonts w:hint="eastAsia" w:ascii="Times New Roman" w:hAnsi="Times New Roman" w:eastAsia="方正仿宋_GBK" w:cs="Times New Roman"/>
          <w:bCs/>
          <w:kern w:val="0"/>
          <w:sz w:val="31"/>
          <w:szCs w:val="31"/>
          <w:highlight w:val="none"/>
          <w:lang w:val="en-US" w:eastAsia="zh-CN" w:bidi="ar-SA"/>
        </w:rPr>
        <w:t>万元，占</w:t>
      </w:r>
      <w:r>
        <w:rPr>
          <w:rFonts w:hint="eastAsia" w:ascii="Times New Roman" w:hAnsi="Times New Roman" w:eastAsia="方正仿宋_GBK" w:cs="Times New Roman"/>
          <w:bCs/>
          <w:kern w:val="0"/>
          <w:sz w:val="31"/>
          <w:szCs w:val="31"/>
          <w:highlight w:val="none"/>
          <w:lang w:val="zh-CN" w:eastAsia="zh-CN" w:bidi="ar-SA"/>
        </w:rPr>
        <w:t>0.00</w:t>
      </w:r>
      <w:r>
        <w:rPr>
          <w:rFonts w:hint="eastAsia" w:ascii="Times New Roman" w:hAnsi="Times New Roman" w:eastAsia="方正仿宋_GBK" w:cs="Times New Roman"/>
          <w:bCs/>
          <w:kern w:val="0"/>
          <w:sz w:val="31"/>
          <w:szCs w:val="31"/>
          <w:highlight w:val="none"/>
          <w:lang w:val="en-US" w:eastAsia="zh-CN" w:bidi="ar-SA"/>
        </w:rPr>
        <w:t>%；事业收入</w:t>
      </w:r>
      <w:r>
        <w:rPr>
          <w:rFonts w:hint="eastAsia" w:ascii="Times New Roman" w:hAnsi="Times New Roman" w:eastAsia="方正仿宋_GBK" w:cs="Times New Roman"/>
          <w:bCs/>
          <w:kern w:val="0"/>
          <w:sz w:val="31"/>
          <w:szCs w:val="31"/>
          <w:highlight w:val="none"/>
          <w:lang w:val="zh-CN" w:eastAsia="zh-CN" w:bidi="ar-SA"/>
        </w:rPr>
        <w:t>0.00</w:t>
      </w:r>
      <w:r>
        <w:rPr>
          <w:rFonts w:hint="eastAsia" w:ascii="Times New Roman" w:hAnsi="Times New Roman" w:eastAsia="方正仿宋_GBK" w:cs="Times New Roman"/>
          <w:bCs/>
          <w:kern w:val="0"/>
          <w:sz w:val="31"/>
          <w:szCs w:val="31"/>
          <w:highlight w:val="none"/>
          <w:lang w:val="en-US" w:eastAsia="zh-CN" w:bidi="ar-SA"/>
        </w:rPr>
        <w:t>万元，占</w:t>
      </w:r>
      <w:r>
        <w:rPr>
          <w:rFonts w:hint="eastAsia" w:ascii="Times New Roman" w:hAnsi="Times New Roman" w:eastAsia="方正仿宋_GBK" w:cs="Times New Roman"/>
          <w:bCs/>
          <w:kern w:val="0"/>
          <w:sz w:val="31"/>
          <w:szCs w:val="31"/>
          <w:highlight w:val="none"/>
          <w:lang w:val="zh-CN" w:eastAsia="zh-CN" w:bidi="ar-SA"/>
        </w:rPr>
        <w:t>0.00</w:t>
      </w:r>
      <w:r>
        <w:rPr>
          <w:rFonts w:hint="eastAsia" w:ascii="Times New Roman" w:hAnsi="Times New Roman" w:eastAsia="方正仿宋_GBK" w:cs="Times New Roman"/>
          <w:bCs/>
          <w:kern w:val="0"/>
          <w:sz w:val="31"/>
          <w:szCs w:val="31"/>
          <w:highlight w:val="none"/>
          <w:lang w:val="en-US" w:eastAsia="zh-CN" w:bidi="ar-SA"/>
        </w:rPr>
        <w:t>%；经营收入</w:t>
      </w:r>
      <w:r>
        <w:rPr>
          <w:rFonts w:hint="eastAsia" w:ascii="Times New Roman" w:hAnsi="Times New Roman" w:eastAsia="方正仿宋_GBK" w:cs="Times New Roman"/>
          <w:bCs/>
          <w:kern w:val="0"/>
          <w:sz w:val="31"/>
          <w:szCs w:val="31"/>
          <w:highlight w:val="none"/>
          <w:lang w:val="zh-CN" w:eastAsia="zh-CN" w:bidi="ar-SA"/>
        </w:rPr>
        <w:t>0.00</w:t>
      </w:r>
      <w:r>
        <w:rPr>
          <w:rFonts w:hint="eastAsia" w:ascii="Times New Roman" w:hAnsi="Times New Roman" w:eastAsia="方正仿宋_GBK" w:cs="Times New Roman"/>
          <w:bCs/>
          <w:kern w:val="0"/>
          <w:sz w:val="31"/>
          <w:szCs w:val="31"/>
          <w:highlight w:val="none"/>
          <w:lang w:val="en-US" w:eastAsia="zh-CN" w:bidi="ar-SA"/>
        </w:rPr>
        <w:t>万元，占</w:t>
      </w:r>
      <w:r>
        <w:rPr>
          <w:rFonts w:hint="eastAsia" w:ascii="Times New Roman" w:hAnsi="Times New Roman" w:eastAsia="方正仿宋_GBK" w:cs="Times New Roman"/>
          <w:bCs/>
          <w:kern w:val="0"/>
          <w:sz w:val="31"/>
          <w:szCs w:val="31"/>
          <w:highlight w:val="none"/>
          <w:lang w:val="zh-CN" w:eastAsia="zh-CN" w:bidi="ar-SA"/>
        </w:rPr>
        <w:t>0.00</w:t>
      </w:r>
      <w:r>
        <w:rPr>
          <w:rFonts w:hint="eastAsia" w:ascii="Times New Roman" w:hAnsi="Times New Roman" w:eastAsia="方正仿宋_GBK" w:cs="Times New Roman"/>
          <w:bCs/>
          <w:kern w:val="0"/>
          <w:sz w:val="31"/>
          <w:szCs w:val="31"/>
          <w:highlight w:val="none"/>
          <w:lang w:val="en-US" w:eastAsia="zh-CN" w:bidi="ar-SA"/>
        </w:rPr>
        <w:t>%；附属单位上缴收入</w:t>
      </w:r>
      <w:r>
        <w:rPr>
          <w:rFonts w:hint="eastAsia" w:ascii="Times New Roman" w:hAnsi="Times New Roman" w:eastAsia="方正仿宋_GBK" w:cs="Times New Roman"/>
          <w:bCs/>
          <w:kern w:val="0"/>
          <w:sz w:val="31"/>
          <w:szCs w:val="31"/>
          <w:highlight w:val="none"/>
          <w:lang w:val="zh-CN" w:eastAsia="zh-CN" w:bidi="ar-SA"/>
        </w:rPr>
        <w:t>0.00</w:t>
      </w:r>
      <w:r>
        <w:rPr>
          <w:rFonts w:hint="eastAsia" w:ascii="Times New Roman" w:hAnsi="Times New Roman" w:eastAsia="方正仿宋_GBK" w:cs="Times New Roman"/>
          <w:bCs/>
          <w:kern w:val="0"/>
          <w:sz w:val="31"/>
          <w:szCs w:val="31"/>
          <w:highlight w:val="none"/>
          <w:lang w:val="en-US" w:eastAsia="zh-CN" w:bidi="ar-SA"/>
        </w:rPr>
        <w:t>万元，占</w:t>
      </w:r>
      <w:r>
        <w:rPr>
          <w:rFonts w:hint="eastAsia" w:ascii="Times New Roman" w:hAnsi="Times New Roman" w:eastAsia="方正仿宋_GBK" w:cs="Times New Roman"/>
          <w:bCs/>
          <w:kern w:val="0"/>
          <w:sz w:val="31"/>
          <w:szCs w:val="31"/>
          <w:highlight w:val="none"/>
          <w:lang w:val="zh-CN" w:eastAsia="zh-CN" w:bidi="ar-SA"/>
        </w:rPr>
        <w:t>0.00</w:t>
      </w:r>
      <w:r>
        <w:rPr>
          <w:rFonts w:hint="eastAsia" w:ascii="Times New Roman" w:hAnsi="Times New Roman" w:eastAsia="方正仿宋_GBK" w:cs="Times New Roman"/>
          <w:bCs/>
          <w:kern w:val="0"/>
          <w:sz w:val="31"/>
          <w:szCs w:val="31"/>
          <w:highlight w:val="none"/>
          <w:lang w:val="en-US" w:eastAsia="zh-CN" w:bidi="ar-SA"/>
        </w:rPr>
        <w:t>%；其他收入</w:t>
      </w:r>
      <w:r>
        <w:rPr>
          <w:rFonts w:hint="eastAsia" w:ascii="Times New Roman" w:hAnsi="Times New Roman" w:eastAsia="方正仿宋_GBK" w:cs="Times New Roman"/>
          <w:bCs/>
          <w:kern w:val="0"/>
          <w:sz w:val="31"/>
          <w:szCs w:val="31"/>
          <w:highlight w:val="none"/>
          <w:lang w:val="zh-CN" w:eastAsia="zh-CN" w:bidi="ar-SA"/>
        </w:rPr>
        <w:t>0.00</w:t>
      </w:r>
      <w:r>
        <w:rPr>
          <w:rFonts w:hint="eastAsia" w:ascii="Times New Roman" w:hAnsi="Times New Roman" w:eastAsia="方正仿宋_GBK" w:cs="Times New Roman"/>
          <w:bCs/>
          <w:kern w:val="0"/>
          <w:sz w:val="31"/>
          <w:szCs w:val="31"/>
          <w:highlight w:val="none"/>
          <w:lang w:val="en-US" w:eastAsia="zh-CN" w:bidi="ar-SA"/>
        </w:rPr>
        <w:t>万元，占</w:t>
      </w:r>
      <w:r>
        <w:rPr>
          <w:rFonts w:hint="eastAsia" w:ascii="Times New Roman" w:hAnsi="Times New Roman" w:eastAsia="方正仿宋_GBK" w:cs="Times New Roman"/>
          <w:bCs/>
          <w:kern w:val="0"/>
          <w:sz w:val="31"/>
          <w:szCs w:val="31"/>
          <w:highlight w:val="none"/>
          <w:lang w:val="zh-CN" w:eastAsia="zh-CN" w:bidi="ar-SA"/>
        </w:rPr>
        <w:t>0.00</w:t>
      </w:r>
      <w:r>
        <w:rPr>
          <w:rFonts w:hint="eastAsia" w:ascii="Times New Roman" w:hAnsi="Times New Roman" w:eastAsia="方正仿宋_GBK" w:cs="Times New Roman"/>
          <w:bCs/>
          <w:kern w:val="0"/>
          <w:sz w:val="31"/>
          <w:szCs w:val="31"/>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bookmarkStart w:id="12" w:name="_Toc13201"/>
      <w:bookmarkStart w:id="13" w:name="_Toc27961"/>
      <w:r>
        <w:rPr>
          <w:rFonts w:hint="eastAsia" w:ascii="Times New Roman" w:hAnsi="Times New Roman" w:eastAsia="方正仿宋_GBK" w:cs="Times New Roman"/>
          <w:bCs/>
          <w:kern w:val="0"/>
          <w:sz w:val="31"/>
          <w:szCs w:val="31"/>
          <w:highlight w:val="none"/>
          <w:lang w:val="en-US" w:eastAsia="zh-CN" w:bidi="ar-SA"/>
        </w:rPr>
        <w:t>三、支出决算情况说明</w:t>
      </w:r>
      <w:bookmarkEnd w:id="12"/>
      <w:bookmarkEnd w:id="13"/>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本年支出2,039.12万元，其中：基本支出2,006.64万元，占98.41%；项目支出32.48万元，占1.59%；上缴上级支出0.00万元，占0.00%；经营支出0.00万元，占0.00%；对附属单位补助支出0.00万元，占0.00%。</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bookmarkStart w:id="14" w:name="_Toc4393"/>
      <w:bookmarkStart w:id="15" w:name="_Toc26564"/>
      <w:r>
        <w:rPr>
          <w:rFonts w:hint="eastAsia" w:ascii="方正黑体_GBK" w:hAnsi="方正黑体_GBK" w:eastAsia="方正黑体_GBK" w:cs="方正黑体_GBK"/>
          <w:bCs/>
          <w:color w:val="auto"/>
          <w:kern w:val="0"/>
          <w:sz w:val="31"/>
          <w:szCs w:val="31"/>
          <w:highlight w:val="none"/>
          <w:lang w:eastAsia="zh-CN"/>
        </w:rPr>
        <w:t>四、财政拨款收入支出决算总体情况说明</w:t>
      </w:r>
      <w:bookmarkEnd w:id="14"/>
      <w:bookmarkEnd w:id="1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2023年度财政拨款收入</w:t>
      </w:r>
      <w:r>
        <w:rPr>
          <w:rFonts w:hint="eastAsia" w:ascii="Times New Roman" w:hAnsi="Times New Roman" w:eastAsia="方正仿宋_GBK" w:cs="Times New Roman"/>
          <w:bCs/>
          <w:kern w:val="0"/>
          <w:sz w:val="31"/>
          <w:szCs w:val="31"/>
          <w:highlight w:val="none"/>
          <w:lang w:val="en-US" w:eastAsia="zh-CN" w:bidi="ar-SA"/>
        </w:rPr>
        <w:t>总计</w:t>
      </w:r>
      <w:r>
        <w:rPr>
          <w:rFonts w:hint="eastAsia" w:ascii="Times New Roman" w:hAnsi="Times New Roman" w:eastAsia="方正仿宋_GBK" w:cs="Times New Roman"/>
          <w:bCs/>
          <w:kern w:val="0"/>
          <w:sz w:val="31"/>
          <w:szCs w:val="31"/>
          <w:highlight w:val="none"/>
          <w:lang w:val="zh-CN" w:eastAsia="zh-CN" w:bidi="ar-SA"/>
        </w:rPr>
        <w:t>2,039.12万元，</w:t>
      </w:r>
      <w:r>
        <w:rPr>
          <w:rFonts w:hint="eastAsia" w:ascii="Times New Roman" w:hAnsi="Times New Roman" w:eastAsia="方正仿宋_GBK" w:cs="Times New Roman"/>
          <w:bCs/>
          <w:kern w:val="0"/>
          <w:sz w:val="31"/>
          <w:szCs w:val="31"/>
          <w:highlight w:val="none"/>
          <w:lang w:val="en-US" w:eastAsia="zh-CN" w:bidi="ar-SA"/>
        </w:rPr>
        <w:t>其中：年初财政拨款结转和结余</w:t>
      </w:r>
      <w:r>
        <w:rPr>
          <w:rFonts w:hint="eastAsia" w:ascii="Times New Roman" w:hAnsi="Times New Roman" w:eastAsia="方正仿宋_GBK" w:cs="Times New Roman"/>
          <w:bCs/>
          <w:kern w:val="0"/>
          <w:sz w:val="31"/>
          <w:szCs w:val="31"/>
          <w:highlight w:val="none"/>
          <w:lang w:val="zh-CN" w:eastAsia="zh-CN" w:bidi="ar-SA"/>
        </w:rPr>
        <w:t>0.00万元，</w:t>
      </w:r>
      <w:r>
        <w:rPr>
          <w:rFonts w:hint="eastAsia" w:ascii="Times New Roman" w:hAnsi="Times New Roman" w:eastAsia="方正仿宋_GBK" w:cs="Times New Roman"/>
          <w:bCs/>
          <w:kern w:val="0"/>
          <w:sz w:val="31"/>
          <w:szCs w:val="31"/>
          <w:highlight w:val="none"/>
          <w:lang w:val="en-US" w:eastAsia="zh-CN" w:bidi="ar-SA"/>
        </w:rPr>
        <w:t>本年财政拨款收入</w:t>
      </w:r>
      <w:r>
        <w:rPr>
          <w:rFonts w:hint="eastAsia" w:ascii="Times New Roman" w:hAnsi="Times New Roman" w:eastAsia="方正仿宋_GBK" w:cs="Times New Roman"/>
          <w:bCs/>
          <w:kern w:val="0"/>
          <w:sz w:val="31"/>
          <w:szCs w:val="31"/>
          <w:highlight w:val="none"/>
          <w:lang w:val="zh-CN" w:eastAsia="zh-CN" w:bidi="ar-SA"/>
        </w:rPr>
        <w:t>2,039.12万元。财政拨款支出</w:t>
      </w:r>
      <w:r>
        <w:rPr>
          <w:rFonts w:hint="eastAsia" w:ascii="Times New Roman" w:hAnsi="Times New Roman" w:eastAsia="方正仿宋_GBK" w:cs="Times New Roman"/>
          <w:bCs/>
          <w:kern w:val="0"/>
          <w:sz w:val="31"/>
          <w:szCs w:val="31"/>
          <w:highlight w:val="none"/>
          <w:lang w:val="en-US" w:eastAsia="zh-CN" w:bidi="ar-SA"/>
        </w:rPr>
        <w:t>总计</w:t>
      </w:r>
      <w:r>
        <w:rPr>
          <w:rFonts w:hint="eastAsia" w:ascii="Times New Roman" w:hAnsi="Times New Roman" w:eastAsia="方正仿宋_GBK" w:cs="Times New Roman"/>
          <w:bCs/>
          <w:kern w:val="0"/>
          <w:sz w:val="31"/>
          <w:szCs w:val="31"/>
          <w:highlight w:val="none"/>
          <w:lang w:val="zh-CN" w:eastAsia="zh-CN" w:bidi="ar-SA"/>
        </w:rPr>
        <w:t>2,039.12万元，</w:t>
      </w:r>
      <w:r>
        <w:rPr>
          <w:rFonts w:hint="eastAsia" w:ascii="Times New Roman" w:hAnsi="Times New Roman" w:eastAsia="方正仿宋_GBK" w:cs="Times New Roman"/>
          <w:bCs/>
          <w:kern w:val="0"/>
          <w:sz w:val="31"/>
          <w:szCs w:val="31"/>
          <w:highlight w:val="none"/>
          <w:lang w:val="en-US" w:eastAsia="zh-CN" w:bidi="ar-SA"/>
        </w:rPr>
        <w:t>其中：年末财政拨款结转和结余</w:t>
      </w:r>
      <w:r>
        <w:rPr>
          <w:rFonts w:hint="eastAsia" w:ascii="Times New Roman" w:hAnsi="Times New Roman" w:eastAsia="方正仿宋_GBK" w:cs="Times New Roman"/>
          <w:bCs/>
          <w:kern w:val="0"/>
          <w:sz w:val="31"/>
          <w:szCs w:val="31"/>
          <w:highlight w:val="none"/>
          <w:lang w:val="zh-CN" w:eastAsia="zh-CN" w:bidi="ar-SA"/>
        </w:rPr>
        <w:t>0.00万元，</w:t>
      </w:r>
      <w:r>
        <w:rPr>
          <w:rFonts w:hint="eastAsia" w:ascii="Times New Roman" w:hAnsi="Times New Roman" w:eastAsia="方正仿宋_GBK" w:cs="Times New Roman"/>
          <w:bCs/>
          <w:kern w:val="0"/>
          <w:sz w:val="31"/>
          <w:szCs w:val="31"/>
          <w:highlight w:val="none"/>
          <w:lang w:val="en-US" w:eastAsia="zh-CN" w:bidi="ar-SA"/>
        </w:rPr>
        <w:t>本年财政拨款支出</w:t>
      </w:r>
      <w:r>
        <w:rPr>
          <w:rFonts w:hint="eastAsia" w:ascii="Times New Roman" w:hAnsi="Times New Roman" w:eastAsia="方正仿宋_GBK" w:cs="Times New Roman"/>
          <w:bCs/>
          <w:kern w:val="0"/>
          <w:sz w:val="31"/>
          <w:szCs w:val="31"/>
          <w:highlight w:val="none"/>
          <w:lang w:val="zh-CN" w:eastAsia="zh-CN" w:bidi="ar-SA"/>
        </w:rPr>
        <w:t>2,039.12万元。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zh-CN" w:eastAsia="zh-CN" w:bidi="ar-SA"/>
        </w:rPr>
        <w:t>财政拨款收入支出总体与上年相比</w:t>
      </w:r>
      <w:r>
        <w:rPr>
          <w:rFonts w:hint="eastAsia" w:ascii="Times New Roman" w:hAnsi="Times New Roman" w:eastAsia="方正仿宋_GBK" w:cs="Times New Roman"/>
          <w:bCs/>
          <w:kern w:val="0"/>
          <w:sz w:val="31"/>
          <w:szCs w:val="31"/>
          <w:highlight w:val="none"/>
          <w:lang w:val="en-US" w:eastAsia="zh-CN" w:bidi="ar-SA"/>
        </w:rPr>
        <w:t>,</w:t>
      </w:r>
      <w:r>
        <w:rPr>
          <w:rFonts w:hint="eastAsia" w:ascii="Times New Roman" w:hAnsi="Times New Roman" w:eastAsia="方正仿宋_GBK" w:cs="Times New Roman"/>
          <w:bCs/>
          <w:kern w:val="0"/>
          <w:sz w:val="31"/>
          <w:szCs w:val="31"/>
          <w:highlight w:val="none"/>
          <w:lang w:val="zh-CN" w:eastAsia="zh-CN" w:bidi="ar-SA"/>
        </w:rPr>
        <w:t>减少465.56万元，下降18.59%，主要原因是：2023年长期聘用人员比上年减少13人；</w:t>
      </w:r>
      <w:r>
        <w:rPr>
          <w:rFonts w:hint="eastAsia" w:ascii="Times New Roman" w:hAnsi="Times New Roman" w:eastAsia="方正仿宋_GBK" w:cs="Times New Roman"/>
          <w:bCs/>
          <w:kern w:val="0"/>
          <w:sz w:val="31"/>
          <w:szCs w:val="31"/>
          <w:highlight w:val="none"/>
          <w:lang w:val="en-US" w:eastAsia="zh-CN" w:bidi="ar-SA"/>
        </w:rPr>
        <w:t>2022</w:t>
      </w:r>
      <w:r>
        <w:rPr>
          <w:rFonts w:hint="eastAsia" w:ascii="Times New Roman" w:hAnsi="Times New Roman" w:eastAsia="方正仿宋_GBK" w:cs="Times New Roman"/>
          <w:bCs/>
          <w:kern w:val="0"/>
          <w:sz w:val="31"/>
          <w:szCs w:val="31"/>
          <w:highlight w:val="none"/>
          <w:lang w:val="zh-CN" w:eastAsia="zh-CN" w:bidi="ar-SA"/>
        </w:rPr>
        <w:t>年度偿还以前年度“三化”设备款</w:t>
      </w:r>
      <w:r>
        <w:rPr>
          <w:rFonts w:hint="eastAsia" w:ascii="Times New Roman" w:hAnsi="Times New Roman" w:eastAsia="方正仿宋_GBK" w:cs="Times New Roman"/>
          <w:bCs/>
          <w:kern w:val="0"/>
          <w:sz w:val="31"/>
          <w:szCs w:val="31"/>
          <w:highlight w:val="none"/>
          <w:lang w:val="en-US" w:eastAsia="zh-CN" w:bidi="ar-SA"/>
        </w:rPr>
        <w:t>405万元；</w:t>
      </w:r>
      <w:r>
        <w:rPr>
          <w:rFonts w:hint="eastAsia" w:ascii="Times New Roman" w:hAnsi="Times New Roman" w:eastAsia="方正仿宋_GBK" w:cs="Times New Roman"/>
          <w:bCs/>
          <w:kern w:val="0"/>
          <w:sz w:val="31"/>
          <w:szCs w:val="31"/>
          <w:highlight w:val="none"/>
          <w:lang w:val="zh-CN" w:eastAsia="zh-CN" w:bidi="ar-SA"/>
        </w:rPr>
        <w:t>行政在编辞职</w:t>
      </w:r>
      <w:r>
        <w:rPr>
          <w:rFonts w:hint="eastAsia" w:ascii="Times New Roman" w:hAnsi="Times New Roman" w:eastAsia="方正仿宋_GBK" w:cs="Times New Roman"/>
          <w:bCs/>
          <w:kern w:val="0"/>
          <w:sz w:val="31"/>
          <w:szCs w:val="31"/>
          <w:highlight w:val="none"/>
          <w:lang w:val="en-US" w:eastAsia="zh-CN" w:bidi="ar-SA"/>
        </w:rPr>
        <w:t>2人</w:t>
      </w:r>
      <w:r>
        <w:rPr>
          <w:rFonts w:hint="eastAsia" w:ascii="Times New Roman" w:hAnsi="Times New Roman" w:eastAsia="方正仿宋_GBK" w:cs="Times New Roman"/>
          <w:bCs/>
          <w:kern w:val="0"/>
          <w:sz w:val="31"/>
          <w:szCs w:val="31"/>
          <w:highlight w:val="none"/>
          <w:lang w:val="zh-CN" w:eastAsia="zh-CN" w:bidi="ar-SA"/>
        </w:rPr>
        <w:t>。与年初预算相比，年初预算数2,195.13万元，决算数2,039.12万元，预决算差异率-7.11%，主要原因是：2023年长期聘用人员比</w:t>
      </w:r>
      <w:bookmarkStart w:id="48" w:name="_GoBack"/>
      <w:bookmarkEnd w:id="48"/>
      <w:r>
        <w:rPr>
          <w:rFonts w:hint="eastAsia" w:eastAsia="方正仿宋_GBK" w:cs="Times New Roman"/>
          <w:bCs/>
          <w:kern w:val="0"/>
          <w:sz w:val="31"/>
          <w:szCs w:val="31"/>
          <w:highlight w:val="none"/>
          <w:lang w:val="en-US" w:eastAsia="zh-CN" w:bidi="ar-SA"/>
        </w:rPr>
        <w:t>年初</w:t>
      </w:r>
      <w:r>
        <w:rPr>
          <w:rFonts w:hint="eastAsia" w:ascii="Times New Roman" w:hAnsi="Times New Roman" w:eastAsia="方正仿宋_GBK" w:cs="Times New Roman"/>
          <w:bCs/>
          <w:kern w:val="0"/>
          <w:sz w:val="31"/>
          <w:szCs w:val="31"/>
          <w:highlight w:val="none"/>
          <w:lang w:val="zh-CN" w:eastAsia="zh-CN" w:bidi="ar-SA"/>
        </w:rPr>
        <w:t>减少13人；行政在编辞职</w:t>
      </w:r>
      <w:r>
        <w:rPr>
          <w:rFonts w:hint="eastAsia" w:ascii="Times New Roman" w:hAnsi="Times New Roman" w:eastAsia="方正仿宋_GBK" w:cs="Times New Roman"/>
          <w:bCs/>
          <w:kern w:val="0"/>
          <w:sz w:val="31"/>
          <w:szCs w:val="31"/>
          <w:highlight w:val="none"/>
          <w:lang w:val="en-US" w:eastAsia="zh-CN" w:bidi="ar-SA"/>
        </w:rPr>
        <w:t>2人</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bookmarkStart w:id="16" w:name="_Toc13833"/>
      <w:bookmarkStart w:id="17" w:name="_Toc20360"/>
      <w:r>
        <w:rPr>
          <w:rFonts w:hint="eastAsia" w:ascii="方正黑体_GBK" w:hAnsi="方正黑体_GBK" w:eastAsia="方正黑体_GBK" w:cs="方正黑体_GBK"/>
          <w:bCs/>
          <w:color w:val="auto"/>
          <w:kern w:val="0"/>
          <w:sz w:val="31"/>
          <w:szCs w:val="31"/>
          <w:highlight w:val="none"/>
          <w:lang w:eastAsia="zh-CN"/>
        </w:rPr>
        <w:t>五、一般公共预算财政拨款支出决算情况说明</w:t>
      </w:r>
      <w:bookmarkEnd w:id="16"/>
      <w:bookmarkEnd w:id="1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lang w:eastAsia="zh-CN"/>
        </w:rPr>
      </w:pPr>
      <w:r>
        <w:rPr>
          <w:rFonts w:hint="eastAsia" w:ascii="方正楷体_GBK" w:hAnsi="方正楷体_GBK" w:eastAsia="方正楷体_GBK" w:cs="方正楷体_GBK"/>
          <w:color w:val="auto"/>
          <w:sz w:val="31"/>
          <w:szCs w:val="31"/>
          <w:highlight w:val="none"/>
          <w:lang w:eastAsia="zh-CN"/>
        </w:rPr>
        <w:t>（一）一般公共预算财政拨款支出决算总体情况</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zh-CN" w:eastAsia="zh-CN" w:bidi="ar-SA"/>
        </w:rPr>
        <w:t>2023年度一般公共预算财政拨款支出2,009.63万元，占本年支出合计的98.55%。与上年相比，减少90.06万元，下降4.29%，主要原因是：2023年长期聘用人员比上年减少13人；行政在编辞职</w:t>
      </w:r>
      <w:r>
        <w:rPr>
          <w:rFonts w:hint="eastAsia" w:ascii="Times New Roman" w:hAnsi="Times New Roman" w:eastAsia="方正仿宋_GBK" w:cs="Times New Roman"/>
          <w:bCs/>
          <w:kern w:val="0"/>
          <w:sz w:val="31"/>
          <w:szCs w:val="31"/>
          <w:highlight w:val="none"/>
          <w:lang w:val="en-US" w:eastAsia="zh-CN" w:bidi="ar-SA"/>
        </w:rPr>
        <w:t>2人</w:t>
      </w:r>
      <w:r>
        <w:rPr>
          <w:rFonts w:hint="eastAsia" w:ascii="Times New Roman" w:hAnsi="Times New Roman" w:eastAsia="方正仿宋_GBK" w:cs="Times New Roman"/>
          <w:bCs/>
          <w:kern w:val="0"/>
          <w:sz w:val="31"/>
          <w:szCs w:val="31"/>
          <w:highlight w:val="none"/>
          <w:lang w:val="zh-CN" w:eastAsia="zh-CN" w:bidi="ar-SA"/>
        </w:rPr>
        <w:t>。与年初预算相比，年初预算数2,153.82万元，决算数2,009.63万元，预决算差异率-6.69%，主要原因是：2023年长期聘用人员比</w:t>
      </w:r>
      <w:r>
        <w:rPr>
          <w:rFonts w:hint="eastAsia" w:eastAsia="方正仿宋_GBK" w:cs="Times New Roman"/>
          <w:bCs/>
          <w:kern w:val="0"/>
          <w:sz w:val="31"/>
          <w:szCs w:val="31"/>
          <w:highlight w:val="none"/>
          <w:lang w:val="en-US" w:eastAsia="zh-CN" w:bidi="ar-SA"/>
        </w:rPr>
        <w:t>年初</w:t>
      </w:r>
      <w:r>
        <w:rPr>
          <w:rFonts w:hint="eastAsia" w:ascii="Times New Roman" w:hAnsi="Times New Roman" w:eastAsia="方正仿宋_GBK" w:cs="Times New Roman"/>
          <w:bCs/>
          <w:kern w:val="0"/>
          <w:sz w:val="31"/>
          <w:szCs w:val="31"/>
          <w:highlight w:val="none"/>
          <w:lang w:val="zh-CN" w:eastAsia="zh-CN" w:bidi="ar-SA"/>
        </w:rPr>
        <w:t>减少13人；行政在编辞职</w:t>
      </w:r>
      <w:r>
        <w:rPr>
          <w:rFonts w:hint="eastAsia" w:ascii="Times New Roman" w:hAnsi="Times New Roman" w:eastAsia="方正仿宋_GBK" w:cs="Times New Roman"/>
          <w:bCs/>
          <w:kern w:val="0"/>
          <w:sz w:val="31"/>
          <w:szCs w:val="31"/>
          <w:highlight w:val="none"/>
          <w:lang w:val="en-US" w:eastAsia="zh-CN" w:bidi="ar-SA"/>
        </w:rPr>
        <w:t>2人</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lang w:val="zh-CN" w:eastAsia="zh-CN"/>
        </w:rPr>
      </w:pPr>
      <w:r>
        <w:rPr>
          <w:rFonts w:hint="eastAsia" w:ascii="方正楷体_GBK" w:hAnsi="方正楷体_GBK" w:eastAsia="方正楷体_GBK" w:cs="方正楷体_GBK"/>
          <w:color w:val="auto"/>
          <w:sz w:val="31"/>
          <w:szCs w:val="31"/>
          <w:highlight w:val="none"/>
          <w:lang w:val="zh-CN" w:eastAsia="zh-CN"/>
        </w:rPr>
        <w:t>（二）一般公共预算</w:t>
      </w:r>
      <w:r>
        <w:rPr>
          <w:rFonts w:hint="eastAsia" w:ascii="方正楷体_GBK" w:hAnsi="方正楷体_GBK" w:eastAsia="方正楷体_GBK" w:cs="方正楷体_GBK"/>
          <w:color w:val="auto"/>
          <w:sz w:val="31"/>
          <w:szCs w:val="31"/>
          <w:highlight w:val="none"/>
          <w:lang w:val="en-US" w:eastAsia="zh-CN"/>
        </w:rPr>
        <w:t>财政拨款支出决算</w:t>
      </w:r>
      <w:r>
        <w:rPr>
          <w:rFonts w:hint="eastAsia" w:ascii="方正楷体_GBK" w:hAnsi="方正楷体_GBK" w:eastAsia="方正楷体_GBK" w:cs="方正楷体_GBK"/>
          <w:color w:val="auto"/>
          <w:sz w:val="31"/>
          <w:szCs w:val="31"/>
          <w:highlight w:val="none"/>
          <w:lang w:val="zh-CN" w:eastAsia="zh-CN"/>
        </w:rPr>
        <w:t>结构情况</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1.一般公共服务支出（类）1,719.60万元，占85.57%；</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2</w:t>
      </w:r>
      <w:r>
        <w:rPr>
          <w:rFonts w:hint="eastAsia" w:ascii="Times New Roman" w:hAnsi="Times New Roman" w:eastAsia="方正仿宋_GBK" w:cs="Times New Roman"/>
          <w:bCs/>
          <w:kern w:val="0"/>
          <w:sz w:val="31"/>
          <w:szCs w:val="31"/>
          <w:highlight w:val="none"/>
          <w:lang w:val="zh-CN" w:eastAsia="zh-CN" w:bidi="ar-SA"/>
        </w:rPr>
        <w:t>.教育支出（类）3.24万元，占0.16%；</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3</w:t>
      </w:r>
      <w:r>
        <w:rPr>
          <w:rFonts w:hint="eastAsia" w:ascii="Times New Roman" w:hAnsi="Times New Roman" w:eastAsia="方正仿宋_GBK" w:cs="Times New Roman"/>
          <w:bCs/>
          <w:kern w:val="0"/>
          <w:sz w:val="31"/>
          <w:szCs w:val="31"/>
          <w:highlight w:val="none"/>
          <w:lang w:val="zh-CN" w:eastAsia="zh-CN" w:bidi="ar-SA"/>
        </w:rPr>
        <w:t>.文化旅游体育与传媒支出（类）4.99万元，占0.25%；</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4</w:t>
      </w:r>
      <w:r>
        <w:rPr>
          <w:rFonts w:hint="eastAsia" w:ascii="Times New Roman" w:hAnsi="Times New Roman" w:eastAsia="方正仿宋_GBK" w:cs="Times New Roman"/>
          <w:bCs/>
          <w:kern w:val="0"/>
          <w:sz w:val="31"/>
          <w:szCs w:val="31"/>
          <w:highlight w:val="none"/>
          <w:lang w:val="zh-CN" w:eastAsia="zh-CN" w:bidi="ar-SA"/>
        </w:rPr>
        <w:t>.社会保障和就业支出（类）187.82万元，占9.35%；</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5</w:t>
      </w:r>
      <w:r>
        <w:rPr>
          <w:rFonts w:hint="eastAsia" w:ascii="Times New Roman" w:hAnsi="Times New Roman" w:eastAsia="方正仿宋_GBK" w:cs="Times New Roman"/>
          <w:bCs/>
          <w:kern w:val="0"/>
          <w:sz w:val="31"/>
          <w:szCs w:val="31"/>
          <w:highlight w:val="none"/>
          <w:lang w:val="zh-CN" w:eastAsia="zh-CN" w:bidi="ar-SA"/>
        </w:rPr>
        <w:t>.卫生健康支出（类）33.85万元，占1.68%；</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6</w:t>
      </w:r>
      <w:r>
        <w:rPr>
          <w:rFonts w:hint="eastAsia" w:ascii="Times New Roman" w:hAnsi="Times New Roman" w:eastAsia="方正仿宋_GBK" w:cs="Times New Roman"/>
          <w:bCs/>
          <w:kern w:val="0"/>
          <w:sz w:val="31"/>
          <w:szCs w:val="31"/>
          <w:highlight w:val="none"/>
          <w:lang w:val="zh-CN" w:eastAsia="zh-CN" w:bidi="ar-SA"/>
        </w:rPr>
        <w:t>.农林水支出（类）0.30万元，占0.01%；</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7</w:t>
      </w:r>
      <w:r>
        <w:rPr>
          <w:rFonts w:hint="eastAsia" w:ascii="Times New Roman" w:hAnsi="Times New Roman" w:eastAsia="方正仿宋_GBK" w:cs="Times New Roman"/>
          <w:bCs/>
          <w:kern w:val="0"/>
          <w:sz w:val="31"/>
          <w:szCs w:val="31"/>
          <w:highlight w:val="none"/>
          <w:lang w:val="zh-CN" w:eastAsia="zh-CN" w:bidi="ar-SA"/>
        </w:rPr>
        <w:t>.住房保障支出（类）59.83万元，占2.98%。</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lang w:val="zh-CN" w:eastAsia="zh-CN"/>
        </w:rPr>
      </w:pPr>
      <w:r>
        <w:rPr>
          <w:rFonts w:hint="eastAsia" w:ascii="方正楷体_GBK" w:hAnsi="方正楷体_GBK" w:eastAsia="方正楷体_GBK" w:cs="方正楷体_GBK"/>
          <w:color w:val="auto"/>
          <w:sz w:val="31"/>
          <w:szCs w:val="31"/>
          <w:highlight w:val="none"/>
          <w:lang w:val="zh-CN" w:eastAsia="zh-CN"/>
        </w:rPr>
        <w:t>（三）一般公共预算财政拨款支出决算具体情况</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1.一般公共服务支出（类）政协事务（款）其他政协事务支出（项）:支出决算数为0.00万元，比上年决算减少6.00万元，下降100%，主要原因是：本年度未安排此科目预算</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2.一般公共服务支出（类）政府办公厅（室）及相关机构事务（款）行政运行（项）:支出决算数为1,670.48万元，比上年决算增加75.76万元，增长4.75%，主要原因是：人员工资增长</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3.一般公共服务支出（类）政府办公厅（室）及相关机构事务（款）其他政府办公厅（室）及相关机构事务支出（项）:支出决算数为15.00万元，比上年决算减少41.21万元，下降73.32%，主要原因是：因2022年8-11月疫情防控，各项保运转支出比2023年增加</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4.一般公共服务支出（类）纪检监察事务（款）其他纪检监察事务支出（项）:支出决算数为1.50万元，比上年决算增加0.50万元，增长50.30%，主要原因是：为保障</w:t>
      </w:r>
      <w:r>
        <w:rPr>
          <w:rFonts w:hint="eastAsia" w:ascii="Times New Roman" w:hAnsi="Times New Roman" w:eastAsia="方正仿宋_GBK" w:cs="Times New Roman"/>
          <w:bCs/>
          <w:kern w:val="0"/>
          <w:sz w:val="31"/>
          <w:szCs w:val="31"/>
          <w:highlight w:val="none"/>
          <w:lang w:val="zh-CN" w:eastAsia="zh-CN" w:bidi="ar-SA"/>
        </w:rPr>
        <w:t>纪检各项工作顺利开展，本年度上级纪检专项经费下拨数增加，购买了纪检办案设备和办公用品等。</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5.一般公共服务支出（类）组织事务（款）其他组织事务支出（项）:支出决算数为23.25万元，比上年决算减少77.73万元，下降76.97%，主要原因是：因预算科目调整，上年度其他组织事务支出中含社区党建工作经费，本年度社区党建工作经费在其他政府办公厅（室）及相关机构事务支出科目预算</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6.一般公共服务支出（类）统战事务（款）宗教事务（项）:支出决算数为1.00万元，比上年决算增加1.00万元，增长100%，主要原因是：</w:t>
      </w:r>
      <w:r>
        <w:rPr>
          <w:rFonts w:hint="eastAsia" w:ascii="Times New Roman" w:hAnsi="Times New Roman" w:eastAsia="方正仿宋_GBK" w:cs="Times New Roman"/>
          <w:bCs/>
          <w:kern w:val="0"/>
          <w:sz w:val="31"/>
          <w:szCs w:val="31"/>
          <w:highlight w:val="none"/>
          <w:lang w:val="zh-CN" w:eastAsia="zh-CN" w:bidi="ar-SA"/>
        </w:rPr>
        <w:t>因上年度疫情原因，未能办理相关支付。</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7.一般公共服务支出（类）统战事务（款）其他统战事务支出（项）:支出决算数为8.37万元，比上年决算减少1.17万元，下降12.23%，主要原因是：</w:t>
      </w:r>
      <w:r>
        <w:rPr>
          <w:rFonts w:hint="eastAsia" w:ascii="Times New Roman" w:hAnsi="Times New Roman" w:eastAsia="方正仿宋_GBK" w:cs="Times New Roman"/>
          <w:bCs/>
          <w:kern w:val="0"/>
          <w:sz w:val="31"/>
          <w:szCs w:val="31"/>
          <w:highlight w:val="none"/>
          <w:lang w:val="zh-CN" w:eastAsia="zh-CN" w:bidi="ar-SA"/>
        </w:rPr>
        <w:t>本年度驻村管寺下派人数减少</w:t>
      </w:r>
      <w:r>
        <w:rPr>
          <w:rFonts w:hint="eastAsia" w:ascii="Times New Roman" w:hAnsi="Times New Roman" w:eastAsia="方正仿宋_GBK" w:cs="Times New Roman"/>
          <w:bCs/>
          <w:kern w:val="0"/>
          <w:sz w:val="31"/>
          <w:szCs w:val="31"/>
          <w:highlight w:val="none"/>
          <w:lang w:val="en-US" w:eastAsia="zh-CN" w:bidi="ar-SA"/>
        </w:rPr>
        <w:t>3人</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8.国防支出（类）国防动员（款）民兵（项）:支出决算数为0.00万元，比上年决算减少1.39万元，下降100%，主要原因是：</w:t>
      </w:r>
      <w:r>
        <w:rPr>
          <w:rFonts w:hint="eastAsia" w:ascii="Times New Roman" w:hAnsi="Times New Roman" w:eastAsia="方正仿宋_GBK" w:cs="Times New Roman"/>
          <w:bCs/>
          <w:kern w:val="0"/>
          <w:sz w:val="31"/>
          <w:szCs w:val="31"/>
          <w:highlight w:val="none"/>
          <w:lang w:val="zh-CN" w:eastAsia="zh-CN" w:bidi="ar-SA"/>
        </w:rPr>
        <w:t>此项补助自</w:t>
      </w:r>
      <w:r>
        <w:rPr>
          <w:rFonts w:hint="eastAsia" w:ascii="Times New Roman" w:hAnsi="Times New Roman" w:eastAsia="方正仿宋_GBK" w:cs="Times New Roman"/>
          <w:bCs/>
          <w:kern w:val="0"/>
          <w:sz w:val="31"/>
          <w:szCs w:val="31"/>
          <w:highlight w:val="none"/>
          <w:lang w:val="en-US" w:eastAsia="zh-CN" w:bidi="ar-SA"/>
        </w:rPr>
        <w:t>2023年</w:t>
      </w:r>
      <w:r>
        <w:rPr>
          <w:rFonts w:hint="eastAsia" w:ascii="Times New Roman" w:hAnsi="Times New Roman" w:eastAsia="方正仿宋_GBK" w:cs="Times New Roman"/>
          <w:bCs/>
          <w:kern w:val="0"/>
          <w:sz w:val="31"/>
          <w:szCs w:val="31"/>
          <w:highlight w:val="none"/>
          <w:lang w:val="zh-CN" w:eastAsia="zh-CN" w:bidi="ar-SA"/>
        </w:rPr>
        <w:t>由新疆维吾尔自治区军区直接打卡至民兵本人卡中，不通过单位打卡。</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9.教育支出（类）进修及培训（款）培训支出（项）:支出决算数为3.24万元，比上年决算增加2.86万元，增长761.83%，主要原因是：</w:t>
      </w:r>
      <w:r>
        <w:rPr>
          <w:rFonts w:hint="eastAsia" w:ascii="Times New Roman" w:hAnsi="Times New Roman" w:eastAsia="方正仿宋_GBK" w:cs="Times New Roman"/>
          <w:bCs/>
          <w:kern w:val="0"/>
          <w:sz w:val="31"/>
          <w:szCs w:val="31"/>
          <w:highlight w:val="none"/>
          <w:lang w:val="zh-CN" w:eastAsia="zh-CN" w:bidi="ar-SA"/>
        </w:rPr>
        <w:t>为提高基层干部工作能力，市委组织基层书记、干部到内地进行考察学习，所以培训费用较上年增加。</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10.文化旅游体育与传媒支出（类）文化和旅游（款）其他文化和旅游支出（项）:支出决算数为4.29万元，比上年决算增加4.29万元，增长100%，主要原因是：</w:t>
      </w:r>
      <w:r>
        <w:rPr>
          <w:rFonts w:hint="eastAsia" w:ascii="Times New Roman" w:hAnsi="Times New Roman" w:eastAsia="方正仿宋_GBK" w:cs="Times New Roman"/>
          <w:bCs/>
          <w:kern w:val="0"/>
          <w:sz w:val="31"/>
          <w:szCs w:val="31"/>
          <w:highlight w:val="none"/>
          <w:lang w:val="zh-CN" w:eastAsia="zh-CN" w:bidi="ar-SA"/>
        </w:rPr>
        <w:t>上年疫情未能开展此项工作。</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11.文化旅游体育与传媒支出（类）其他文化旅游体育与传媒支出（款）其他文化旅游体育与传媒支出（项）:支出决算数为0.70万元，比上年决算增加0.70万元，增长100%，主要原因是：</w:t>
      </w:r>
      <w:r>
        <w:rPr>
          <w:rFonts w:hint="eastAsia" w:ascii="Times New Roman" w:hAnsi="Times New Roman" w:eastAsia="方正仿宋_GBK" w:cs="Times New Roman"/>
          <w:bCs/>
          <w:kern w:val="0"/>
          <w:sz w:val="31"/>
          <w:szCs w:val="31"/>
          <w:highlight w:val="none"/>
          <w:lang w:val="zh-CN" w:eastAsia="zh-CN" w:bidi="ar-SA"/>
        </w:rPr>
        <w:t>上年疫情未能开展此项工作。</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12.社会保障和就业支出（类）行政事业单位养老支出（款）行政单位离退休（项）:支出决算数为14.21万元，比上年决算增加3.82万元，增长36.77%，主要原因是：一是本年度增加一名退休人员；二是本年度退休人员绩效奖较上年增加</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13.社会保障和就业支出（类）行政事业单位养老支出（款）机关事业单位基本养老保险缴费支出（项）:支出决算数为75.23万元，比上年决算增加11.26万元，增长17.60%，主要原因是：社保缴费基数提高</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14.社会保障和就业支出（类）行政事业单位养老支出（款）机关事业单位职业年金缴费支出（项）:支出决算数为6.94万元，比上年决算增加6.94万元，增长100%，主要原因是：</w:t>
      </w:r>
      <w:r>
        <w:rPr>
          <w:rFonts w:hint="eastAsia" w:ascii="Times New Roman" w:hAnsi="Times New Roman" w:eastAsia="方正仿宋_GBK" w:cs="Times New Roman"/>
          <w:bCs/>
          <w:kern w:val="0"/>
          <w:sz w:val="31"/>
          <w:szCs w:val="31"/>
          <w:highlight w:val="none"/>
          <w:lang w:val="zh-CN" w:eastAsia="zh-CN" w:bidi="ar-SA"/>
        </w:rPr>
        <w:t>本年度增加一名退休人员。</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15.社会保障和就业支出（类）企业改革补助（款）企业关闭破产补助（项）:支出决算数为0.00万元，比上年决算减少1.93万元，下降100%，主要原因是：因预算科目调整，本年度此科目纳入其他企业改革发展补助科目预算。</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16.社会保障和就业支出（类）企业改革补助（款）其他企业改革发展补助（项）:支出决算数为6.91万元，比上年决算增加1.84万元，增长36.33%，主要原因是：因预算科目调整，本年度此科目包含企业关闭破产补助科目预算。</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17.社会保障和就业支出（类）就业补助（款）公益性岗位补贴（项）:支出决算数为84.53万元，比上年决算减少38.66万元，下降31.38%，主要原因是：本年度</w:t>
      </w:r>
      <w:r>
        <w:rPr>
          <w:rFonts w:hint="eastAsia" w:ascii="Times New Roman" w:hAnsi="Times New Roman" w:eastAsia="方正仿宋_GBK" w:cs="Times New Roman"/>
          <w:bCs/>
          <w:kern w:val="0"/>
          <w:sz w:val="31"/>
          <w:szCs w:val="31"/>
          <w:highlight w:val="none"/>
          <w:lang w:val="zh-CN" w:eastAsia="zh-CN" w:bidi="ar-SA"/>
        </w:rPr>
        <w:t>辞职</w:t>
      </w:r>
      <w:r>
        <w:rPr>
          <w:rFonts w:hint="eastAsia" w:ascii="Times New Roman" w:hAnsi="Times New Roman" w:eastAsia="方正仿宋_GBK" w:cs="Times New Roman"/>
          <w:bCs/>
          <w:kern w:val="0"/>
          <w:sz w:val="31"/>
          <w:szCs w:val="31"/>
          <w:highlight w:val="none"/>
          <w:lang w:val="en-US" w:eastAsia="zh-CN" w:bidi="ar-SA"/>
        </w:rPr>
        <w:t>9人</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18.卫生健康支出（类）公共卫生（款）突发公共卫生事件应急处理（项）:支出决算数为0.00万元，比上年决算减少4.48万元，下降100%，主要原因是：此项经费为</w:t>
      </w:r>
      <w:r>
        <w:rPr>
          <w:rFonts w:hint="eastAsia" w:ascii="Times New Roman" w:hAnsi="Times New Roman" w:eastAsia="方正仿宋_GBK" w:cs="Times New Roman"/>
          <w:bCs/>
          <w:kern w:val="0"/>
          <w:sz w:val="31"/>
          <w:szCs w:val="31"/>
          <w:highlight w:val="none"/>
          <w:lang w:val="zh-CN" w:eastAsia="zh-CN" w:bidi="ar-SA"/>
        </w:rPr>
        <w:t>上年度疫情期间专项经费。</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19.卫生健康支出（类）计划生育事务（款）其他计划生育事务支出（项）:支出决算数为0.00万元，比上年决算减少21.03万元，下降100%，主要原因是：因预算科目调整，此科目纳入行政运行科目预算。</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20.卫生健康支出（类）行政事业单位医疗（款）行政单位医疗（项）:支出决算数为29.83万元，比上年决算减少7.28万元，下降19.62%，主要原因是：2023年行政编退休一人、辞职2人</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21.卫生健康支出（类）行政事业单位医疗（款）公务员医疗补助（项）:支出决算数为4.03万元，比上年决算减少2.74万元，下降40.54%，主要原因是：2023年行政编退休一人、辞职2人</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22.农林水支出（类）巩固脱贫攻坚成果衔接乡村振兴（款）其他巩固脱贫攻坚成果衔接乡村振兴支出（项）:支出决算数为0.30万元，比上年决算增加0.30万元，增长100%，主要原因是：</w:t>
      </w:r>
      <w:r>
        <w:rPr>
          <w:rFonts w:hint="eastAsia" w:ascii="Times New Roman" w:hAnsi="Times New Roman" w:eastAsia="方正仿宋_GBK" w:cs="Times New Roman"/>
          <w:bCs/>
          <w:kern w:val="0"/>
          <w:sz w:val="31"/>
          <w:szCs w:val="31"/>
          <w:highlight w:val="none"/>
          <w:lang w:val="zh-CN" w:eastAsia="zh-CN" w:bidi="ar-SA"/>
        </w:rPr>
        <w:t>此项经费为“雨露计划”资金，用于支付</w:t>
      </w:r>
      <w:r>
        <w:rPr>
          <w:rFonts w:hint="eastAsia" w:ascii="Times New Roman" w:hAnsi="Times New Roman" w:eastAsia="方正仿宋_GBK" w:cs="Times New Roman"/>
          <w:bCs/>
          <w:kern w:val="0"/>
          <w:sz w:val="31"/>
          <w:szCs w:val="31"/>
          <w:highlight w:val="none"/>
          <w:lang w:val="en-US" w:eastAsia="zh-CN" w:bidi="ar-SA"/>
        </w:rPr>
        <w:t>2022年秋季一名入学新生助学金，每学期0.15万元，本年度支付了2022年秋季和2023年春季两学期助学金0.3万元，所以比上年决算增加0.30万元</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23.住房保障支出（类）住房改革支出（款）住房公积金（项）:支出决算数为59.83万元，比上年决算增加5.36万元，增长9.85%，主要原因是：住房公积金缴费基数提高</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24.其他支出（类）其他支出（款）其他支出（项）:支出决算数为0.00万元，比上年决算减少1.09万元，下降100%，主要原因是：因预算科目调整，此科目纳入其他企业改革发展补助科目预算。</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r>
        <w:rPr>
          <w:rFonts w:hint="eastAsia" w:ascii="方正黑体_GBK" w:hAnsi="方正黑体_GBK" w:eastAsia="方正黑体_GBK" w:cs="方正黑体_GBK"/>
          <w:bCs/>
          <w:color w:val="auto"/>
          <w:kern w:val="0"/>
          <w:sz w:val="31"/>
          <w:szCs w:val="31"/>
          <w:highlight w:val="none"/>
          <w:lang w:eastAsia="zh-CN"/>
        </w:rPr>
        <w:t>六、一般公共预算财政拨款基本支出决算情况说明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2023年度一般公共预算财政拨款基本支出2,003.64万元，其中：人员经费1,958.82万元，包括：基本工资、津贴补贴、奖金、伙食补助费、机关事业单位基本养老保险缴费、职业年金缴费、职工基本医疗保险缴费、公务员医疗补助缴费、其他社会保障缴费、住房公积金、其他工资福利支出、退休费、生活补助、医疗费补助、助学金、奖励金。</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公用经费44.81万元，包括：办公费、水费、电费、邮电费、差旅费、维修（护）费、培训费、工会经费、公务用车运行维护费、其他交通费用、办公设备购置。</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r>
        <w:rPr>
          <w:rFonts w:hint="eastAsia" w:ascii="方正黑体_GBK" w:hAnsi="方正黑体_GBK" w:eastAsia="方正黑体_GBK" w:cs="方正黑体_GBK"/>
          <w:bCs/>
          <w:color w:val="auto"/>
          <w:kern w:val="0"/>
          <w:sz w:val="31"/>
          <w:szCs w:val="31"/>
          <w:highlight w:val="none"/>
          <w:lang w:val="en-US" w:eastAsia="zh-CN"/>
        </w:rPr>
        <w:t>七、</w:t>
      </w:r>
      <w:r>
        <w:rPr>
          <w:rFonts w:hint="eastAsia" w:ascii="方正黑体_GBK" w:hAnsi="方正黑体_GBK" w:eastAsia="方正黑体_GBK" w:cs="方正黑体_GBK"/>
          <w:bCs/>
          <w:color w:val="auto"/>
          <w:kern w:val="0"/>
          <w:sz w:val="31"/>
          <w:szCs w:val="31"/>
          <w:highlight w:val="none"/>
          <w:lang w:eastAsia="zh-CN"/>
        </w:rPr>
        <w:t>财政拨款</w:t>
      </w:r>
      <w:r>
        <w:rPr>
          <w:rFonts w:hint="eastAsia" w:ascii="方正黑体_GBK" w:hAnsi="方正黑体_GBK" w:eastAsia="方正黑体_GBK" w:cs="方正黑体_GBK"/>
          <w:bCs/>
          <w:color w:val="auto"/>
          <w:kern w:val="0"/>
          <w:sz w:val="31"/>
          <w:szCs w:val="31"/>
          <w:highlight w:val="none"/>
        </w:rPr>
        <w:t>“三公”经费支出</w:t>
      </w:r>
      <w:r>
        <w:rPr>
          <w:rFonts w:hint="eastAsia" w:ascii="方正黑体_GBK" w:hAnsi="方正黑体_GBK" w:eastAsia="方正黑体_GBK" w:cs="方正黑体_GBK"/>
          <w:bCs/>
          <w:color w:val="auto"/>
          <w:kern w:val="0"/>
          <w:sz w:val="31"/>
          <w:szCs w:val="31"/>
          <w:highlight w:val="none"/>
          <w:lang w:eastAsia="zh-CN"/>
        </w:rPr>
        <w:t>决算</w:t>
      </w:r>
      <w:r>
        <w:rPr>
          <w:rFonts w:hint="eastAsia" w:ascii="方正黑体_GBK" w:hAnsi="方正黑体_GBK" w:eastAsia="方正黑体_GBK" w:cs="方正黑体_GBK"/>
          <w:bCs/>
          <w:color w:val="auto"/>
          <w:kern w:val="0"/>
          <w:sz w:val="31"/>
          <w:szCs w:val="31"/>
          <w:highlight w:val="none"/>
        </w:rPr>
        <w:t>情况</w:t>
      </w:r>
      <w:r>
        <w:rPr>
          <w:rFonts w:hint="eastAsia" w:ascii="方正黑体_GBK" w:hAnsi="方正黑体_GBK" w:eastAsia="方正黑体_GBK" w:cs="方正黑体_GBK"/>
          <w:bCs/>
          <w:color w:val="auto"/>
          <w:kern w:val="0"/>
          <w:sz w:val="31"/>
          <w:szCs w:val="31"/>
          <w:highlight w:val="none"/>
          <w:lang w:eastAsia="zh-CN"/>
        </w:rPr>
        <w:t>说明</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2023年度</w:t>
      </w:r>
      <w:r>
        <w:rPr>
          <w:rFonts w:hint="eastAsia" w:ascii="Times New Roman" w:hAnsi="Times New Roman" w:eastAsia="方正仿宋_GBK" w:cs="Times New Roman"/>
          <w:bCs/>
          <w:kern w:val="0"/>
          <w:sz w:val="31"/>
          <w:szCs w:val="31"/>
          <w:highlight w:val="none"/>
          <w:lang w:val="en-US" w:eastAsia="zh-CN" w:bidi="ar-SA"/>
        </w:rPr>
        <w:t>财政拨款</w:t>
      </w:r>
      <w:r>
        <w:rPr>
          <w:rFonts w:hint="eastAsia" w:ascii="Times New Roman" w:hAnsi="Times New Roman" w:eastAsia="方正仿宋_GBK" w:cs="Times New Roman"/>
          <w:bCs/>
          <w:kern w:val="0"/>
          <w:sz w:val="31"/>
          <w:szCs w:val="31"/>
          <w:highlight w:val="none"/>
          <w:lang w:val="zh-CN" w:eastAsia="zh-CN" w:bidi="ar-SA"/>
        </w:rPr>
        <w:t>“三公”经费支出4.42万元，</w:t>
      </w:r>
      <w:r>
        <w:rPr>
          <w:rFonts w:hint="eastAsia" w:ascii="Times New Roman" w:hAnsi="Times New Roman" w:eastAsia="方正仿宋_GBK" w:cs="Times New Roman"/>
          <w:bCs/>
          <w:kern w:val="0"/>
          <w:sz w:val="31"/>
          <w:szCs w:val="31"/>
          <w:highlight w:val="none"/>
          <w:lang w:val="en-US" w:eastAsia="zh-CN" w:bidi="ar-SA"/>
        </w:rPr>
        <w:t>比上年</w:t>
      </w:r>
      <w:r>
        <w:rPr>
          <w:rFonts w:hint="eastAsia" w:ascii="Times New Roman" w:hAnsi="Times New Roman" w:eastAsia="方正仿宋_GBK" w:cs="Times New Roman"/>
          <w:bCs/>
          <w:kern w:val="0"/>
          <w:sz w:val="31"/>
          <w:szCs w:val="31"/>
          <w:highlight w:val="none"/>
          <w:lang w:val="zh-CN" w:eastAsia="zh-CN" w:bidi="ar-SA"/>
        </w:rPr>
        <w:t>减少0.00万元，下降0.01%，主要原因是：</w:t>
      </w:r>
      <w:r>
        <w:rPr>
          <w:rFonts w:hint="eastAsia" w:ascii="Times New Roman" w:hAnsi="Times New Roman" w:eastAsia="方正仿宋_GBK" w:cs="Times New Roman"/>
          <w:bCs/>
          <w:kern w:val="0"/>
          <w:sz w:val="31"/>
          <w:szCs w:val="31"/>
          <w:highlight w:val="none"/>
          <w:lang w:val="en-US" w:eastAsia="zh-CN" w:bidi="ar-SA"/>
        </w:rPr>
        <w:t>根据中央八项规定，厉行节约</w:t>
      </w:r>
      <w:r>
        <w:rPr>
          <w:rFonts w:hint="eastAsia" w:ascii="Times New Roman" w:hAnsi="Times New Roman" w:eastAsia="方正仿宋_GBK" w:cs="Times New Roman"/>
          <w:bCs/>
          <w:kern w:val="0"/>
          <w:sz w:val="31"/>
          <w:szCs w:val="31"/>
          <w:highlight w:val="none"/>
          <w:lang w:val="zh-CN" w:eastAsia="zh-CN" w:bidi="ar-SA"/>
        </w:rPr>
        <w:t>。其中：因公出国（境）费支出0.00万元，占0.00%，比上年增加0.00万元，增长0.00%，主要原因是：</w:t>
      </w:r>
      <w:r>
        <w:rPr>
          <w:rFonts w:hint="eastAsia" w:ascii="Times New Roman" w:hAnsi="Times New Roman" w:eastAsia="方正仿宋_GBK" w:cs="Times New Roman"/>
          <w:bCs/>
          <w:kern w:val="0"/>
          <w:sz w:val="31"/>
          <w:szCs w:val="31"/>
          <w:highlight w:val="none"/>
          <w:lang w:val="en-US" w:eastAsia="zh-CN" w:bidi="ar-SA"/>
        </w:rPr>
        <w:t>我单位无因公出国（境）费支出</w:t>
      </w:r>
      <w:r>
        <w:rPr>
          <w:rFonts w:hint="eastAsia" w:ascii="Times New Roman" w:hAnsi="Times New Roman" w:eastAsia="方正仿宋_GBK" w:cs="Times New Roman"/>
          <w:bCs/>
          <w:kern w:val="0"/>
          <w:sz w:val="31"/>
          <w:szCs w:val="31"/>
          <w:highlight w:val="none"/>
          <w:lang w:val="zh-CN" w:eastAsia="zh-CN" w:bidi="ar-SA"/>
        </w:rPr>
        <w:t>；公务用车购置及运行维护费支出4.42万元，占100.00%，比上年减少0.00万元，下降0.01%，主要原因是：</w:t>
      </w:r>
      <w:r>
        <w:rPr>
          <w:rFonts w:hint="eastAsia" w:ascii="Times New Roman" w:hAnsi="Times New Roman" w:eastAsia="方正仿宋_GBK" w:cs="Times New Roman"/>
          <w:bCs/>
          <w:kern w:val="0"/>
          <w:sz w:val="31"/>
          <w:szCs w:val="31"/>
          <w:highlight w:val="none"/>
          <w:lang w:val="en-US" w:eastAsia="zh-CN" w:bidi="ar-SA"/>
        </w:rPr>
        <w:t>根据中央八项规定，厉行节约，严格控制三公经费支出</w:t>
      </w:r>
      <w:r>
        <w:rPr>
          <w:rFonts w:hint="eastAsia" w:ascii="Times New Roman" w:hAnsi="Times New Roman" w:eastAsia="方正仿宋_GBK" w:cs="Times New Roman"/>
          <w:bCs/>
          <w:kern w:val="0"/>
          <w:sz w:val="31"/>
          <w:szCs w:val="31"/>
          <w:highlight w:val="none"/>
          <w:lang w:val="zh-CN" w:eastAsia="zh-CN" w:bidi="ar-SA"/>
        </w:rPr>
        <w:t>；公务接待费支出0.00万元，占0.00%，比上年增加0.00万元，增长0.00%，主要原因是：</w:t>
      </w:r>
      <w:r>
        <w:rPr>
          <w:rFonts w:hint="eastAsia" w:ascii="Times New Roman" w:hAnsi="Times New Roman" w:eastAsia="方正仿宋_GBK" w:cs="Times New Roman"/>
          <w:bCs/>
          <w:kern w:val="0"/>
          <w:sz w:val="31"/>
          <w:szCs w:val="31"/>
          <w:highlight w:val="none"/>
          <w:lang w:val="en-US" w:eastAsia="zh-CN" w:bidi="ar-SA"/>
        </w:rPr>
        <w:t>我单位无公务接待费支出。</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具体情况如下：</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因公出国（境）费支出0.00万元，开支内容包括</w:t>
      </w:r>
      <w:r>
        <w:rPr>
          <w:rFonts w:hint="eastAsia" w:ascii="Times New Roman" w:hAnsi="Times New Roman" w:eastAsia="方正仿宋_GBK" w:cs="Times New Roman"/>
          <w:bCs/>
          <w:kern w:val="0"/>
          <w:sz w:val="31"/>
          <w:szCs w:val="31"/>
          <w:highlight w:val="none"/>
          <w:lang w:val="en-US" w:eastAsia="zh-CN" w:bidi="ar-SA"/>
        </w:rPr>
        <w:t>开支内容包括我单位无因公出国（境）费支出</w:t>
      </w:r>
      <w:r>
        <w:rPr>
          <w:rFonts w:hint="eastAsia" w:ascii="Times New Roman" w:hAnsi="Times New Roman" w:eastAsia="方正仿宋_GBK" w:cs="Times New Roman"/>
          <w:bCs/>
          <w:kern w:val="0"/>
          <w:sz w:val="31"/>
          <w:szCs w:val="31"/>
          <w:highlight w:val="none"/>
          <w:lang w:val="zh-CN" w:eastAsia="zh-CN" w:bidi="ar-SA"/>
        </w:rPr>
        <w:t>。单位全年安排的因公出国（境）团组0个，因公出国（境）0人次。</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zh-CN" w:eastAsia="zh-CN" w:bidi="ar-SA"/>
        </w:rPr>
        <w:t>公务用车购置及运行维护费4.42万元，其中：公务用车购置费0.00万元，公务用车运行维护费4.42万元。公务用车运行维护费开支内容包括</w:t>
      </w:r>
      <w:r>
        <w:rPr>
          <w:rFonts w:hint="eastAsia" w:ascii="Times New Roman" w:hAnsi="Times New Roman" w:eastAsia="方正仿宋_GBK" w:cs="Times New Roman"/>
          <w:bCs/>
          <w:kern w:val="0"/>
          <w:sz w:val="31"/>
          <w:szCs w:val="31"/>
          <w:highlight w:val="none"/>
          <w:lang w:val="en-US" w:eastAsia="zh-CN" w:bidi="ar-SA"/>
        </w:rPr>
        <w:t>车辆燃油费、年审费、保险费、维修费等</w:t>
      </w:r>
      <w:r>
        <w:rPr>
          <w:rFonts w:hint="eastAsia" w:ascii="Times New Roman" w:hAnsi="Times New Roman" w:eastAsia="方正仿宋_GBK" w:cs="Times New Roman"/>
          <w:bCs/>
          <w:kern w:val="0"/>
          <w:sz w:val="31"/>
          <w:szCs w:val="31"/>
          <w:highlight w:val="none"/>
          <w:lang w:val="zh-CN" w:eastAsia="zh-CN" w:bidi="ar-SA"/>
        </w:rPr>
        <w:t>。公务用车购置数0辆，公务用车保有量5辆。国有资产占用情况</w:t>
      </w:r>
      <w:r>
        <w:rPr>
          <w:rFonts w:hint="eastAsia" w:ascii="Times New Roman" w:hAnsi="Times New Roman" w:eastAsia="方正仿宋_GBK" w:cs="Times New Roman"/>
          <w:bCs/>
          <w:kern w:val="0"/>
          <w:sz w:val="31"/>
          <w:szCs w:val="31"/>
          <w:highlight w:val="none"/>
          <w:lang w:val="en-US" w:eastAsia="zh-CN" w:bidi="ar-SA"/>
        </w:rPr>
        <w:t>中固定资产车辆</w:t>
      </w:r>
      <w:r>
        <w:rPr>
          <w:rFonts w:hint="eastAsia" w:ascii="Times New Roman" w:hAnsi="Times New Roman" w:eastAsia="方正仿宋_GBK" w:cs="Times New Roman"/>
          <w:bCs/>
          <w:kern w:val="0"/>
          <w:sz w:val="31"/>
          <w:szCs w:val="31"/>
          <w:highlight w:val="none"/>
          <w:lang w:val="zh-CN" w:eastAsia="zh-CN" w:bidi="ar-SA"/>
        </w:rPr>
        <w:t>8辆，</w:t>
      </w:r>
      <w:r>
        <w:rPr>
          <w:rFonts w:hint="eastAsia" w:ascii="Times New Roman" w:hAnsi="Times New Roman" w:eastAsia="方正仿宋_GBK" w:cs="Times New Roman"/>
          <w:bCs/>
          <w:kern w:val="0"/>
          <w:sz w:val="31"/>
          <w:szCs w:val="31"/>
          <w:highlight w:val="none"/>
          <w:lang w:val="en-US" w:eastAsia="zh-CN" w:bidi="ar-SA"/>
        </w:rPr>
        <w:t>与</w:t>
      </w:r>
      <w:r>
        <w:rPr>
          <w:rFonts w:hint="eastAsia" w:ascii="Times New Roman" w:hAnsi="Times New Roman" w:eastAsia="方正仿宋_GBK" w:cs="Times New Roman"/>
          <w:bCs/>
          <w:kern w:val="0"/>
          <w:sz w:val="31"/>
          <w:szCs w:val="31"/>
          <w:highlight w:val="none"/>
          <w:lang w:val="zh-CN" w:eastAsia="zh-CN" w:bidi="ar-SA"/>
        </w:rPr>
        <w:t>公务用车</w:t>
      </w:r>
      <w:r>
        <w:rPr>
          <w:rFonts w:hint="eastAsia" w:ascii="Times New Roman" w:hAnsi="Times New Roman" w:eastAsia="方正仿宋_GBK" w:cs="Times New Roman"/>
          <w:bCs/>
          <w:kern w:val="0"/>
          <w:sz w:val="31"/>
          <w:szCs w:val="31"/>
          <w:highlight w:val="none"/>
          <w:lang w:val="en-US" w:eastAsia="zh-CN" w:bidi="ar-SA"/>
        </w:rPr>
        <w:t>保有量差异</w:t>
      </w:r>
      <w:r>
        <w:rPr>
          <w:rFonts w:hint="eastAsia" w:ascii="Times New Roman" w:hAnsi="Times New Roman" w:eastAsia="方正仿宋_GBK" w:cs="Times New Roman"/>
          <w:bCs/>
          <w:kern w:val="0"/>
          <w:sz w:val="31"/>
          <w:szCs w:val="31"/>
          <w:highlight w:val="none"/>
          <w:lang w:val="zh-CN" w:eastAsia="zh-CN" w:bidi="ar-SA"/>
        </w:rPr>
        <w:t>原因是：有三辆巡逻执法用车不在编制内。</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公务接待费0.00万元，开支内容包括</w:t>
      </w:r>
      <w:r>
        <w:rPr>
          <w:rFonts w:hint="eastAsia" w:ascii="Times New Roman" w:hAnsi="Times New Roman" w:eastAsia="方正仿宋_GBK" w:cs="Times New Roman"/>
          <w:bCs/>
          <w:kern w:val="0"/>
          <w:sz w:val="31"/>
          <w:szCs w:val="31"/>
          <w:highlight w:val="none"/>
          <w:lang w:val="en-US" w:eastAsia="zh-CN" w:bidi="ar-SA"/>
        </w:rPr>
        <w:t>我单位无公务接待费支出</w:t>
      </w:r>
      <w:r>
        <w:rPr>
          <w:rFonts w:hint="eastAsia" w:ascii="Times New Roman" w:hAnsi="Times New Roman" w:eastAsia="方正仿宋_GBK" w:cs="Times New Roman"/>
          <w:bCs/>
          <w:kern w:val="0"/>
          <w:sz w:val="31"/>
          <w:szCs w:val="31"/>
          <w:highlight w:val="none"/>
          <w:lang w:val="zh-CN" w:eastAsia="zh-CN" w:bidi="ar-SA"/>
        </w:rPr>
        <w:t>。单位全年安排的国内公务接待0批次，0人次。</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与</w:t>
      </w:r>
      <w:r>
        <w:rPr>
          <w:rFonts w:hint="eastAsia" w:ascii="Times New Roman" w:hAnsi="Times New Roman" w:eastAsia="方正仿宋_GBK" w:cs="Times New Roman"/>
          <w:bCs/>
          <w:kern w:val="0"/>
          <w:sz w:val="31"/>
          <w:szCs w:val="31"/>
          <w:highlight w:val="none"/>
          <w:lang w:val="en-US" w:eastAsia="zh-CN" w:bidi="ar-SA"/>
        </w:rPr>
        <w:t>全年</w:t>
      </w:r>
      <w:r>
        <w:rPr>
          <w:rFonts w:hint="eastAsia" w:ascii="Times New Roman" w:hAnsi="Times New Roman" w:eastAsia="方正仿宋_GBK" w:cs="Times New Roman"/>
          <w:bCs/>
          <w:kern w:val="0"/>
          <w:sz w:val="31"/>
          <w:szCs w:val="31"/>
          <w:highlight w:val="none"/>
          <w:lang w:val="zh-CN" w:eastAsia="zh-CN" w:bidi="ar-SA"/>
        </w:rPr>
        <w:t>预算相比</w:t>
      </w:r>
      <w:r>
        <w:rPr>
          <w:rFonts w:hint="eastAsia" w:ascii="Times New Roman" w:hAnsi="Times New Roman" w:eastAsia="方正仿宋_GBK" w:cs="Times New Roman"/>
          <w:bCs/>
          <w:kern w:val="0"/>
          <w:sz w:val="31"/>
          <w:szCs w:val="31"/>
          <w:highlight w:val="none"/>
          <w:lang w:val="en-US" w:eastAsia="zh-CN" w:bidi="ar-SA"/>
        </w:rPr>
        <w:t>,</w:t>
      </w:r>
      <w:r>
        <w:rPr>
          <w:rFonts w:hint="eastAsia" w:ascii="Times New Roman" w:hAnsi="Times New Roman" w:eastAsia="方正仿宋_GBK" w:cs="Times New Roman"/>
          <w:bCs/>
          <w:kern w:val="0"/>
          <w:sz w:val="31"/>
          <w:szCs w:val="31"/>
          <w:highlight w:val="none"/>
          <w:lang w:val="zh-CN" w:eastAsia="zh-CN" w:bidi="ar-SA"/>
        </w:rPr>
        <w:t>财政拨款“三公”经费支出</w:t>
      </w:r>
      <w:r>
        <w:rPr>
          <w:rFonts w:hint="eastAsia" w:ascii="Times New Roman" w:hAnsi="Times New Roman" w:eastAsia="方正仿宋_GBK" w:cs="Times New Roman"/>
          <w:bCs/>
          <w:kern w:val="0"/>
          <w:sz w:val="31"/>
          <w:szCs w:val="31"/>
          <w:highlight w:val="none"/>
          <w:lang w:val="en-US" w:eastAsia="zh-CN" w:bidi="ar-SA"/>
        </w:rPr>
        <w:t>全年</w:t>
      </w:r>
      <w:r>
        <w:rPr>
          <w:rFonts w:hint="eastAsia" w:ascii="Times New Roman" w:hAnsi="Times New Roman" w:eastAsia="方正仿宋_GBK" w:cs="Times New Roman"/>
          <w:bCs/>
          <w:kern w:val="0"/>
          <w:sz w:val="31"/>
          <w:szCs w:val="31"/>
          <w:highlight w:val="none"/>
          <w:lang w:val="zh-CN" w:eastAsia="zh-CN" w:bidi="ar-SA"/>
        </w:rPr>
        <w:t>预算数4.42万元，决算数4.42万元，预决算差异率0.00%，主要原因是：</w:t>
      </w:r>
      <w:r>
        <w:rPr>
          <w:rFonts w:hint="eastAsia" w:ascii="Times New Roman" w:hAnsi="Times New Roman" w:eastAsia="方正仿宋_GBK" w:cs="Times New Roman"/>
          <w:bCs/>
          <w:kern w:val="0"/>
          <w:sz w:val="31"/>
          <w:szCs w:val="31"/>
          <w:highlight w:val="none"/>
          <w:lang w:val="en-US" w:eastAsia="zh-CN" w:bidi="ar-SA"/>
        </w:rPr>
        <w:t>严格控制三公经费，预决算无差异</w:t>
      </w:r>
      <w:r>
        <w:rPr>
          <w:rFonts w:hint="eastAsia" w:ascii="Times New Roman" w:hAnsi="Times New Roman" w:eastAsia="方正仿宋_GBK" w:cs="Times New Roman"/>
          <w:bCs/>
          <w:kern w:val="0"/>
          <w:sz w:val="31"/>
          <w:szCs w:val="31"/>
          <w:highlight w:val="none"/>
          <w:lang w:val="zh-CN" w:eastAsia="zh-CN" w:bidi="ar-SA"/>
        </w:rPr>
        <w:t>。其中：因公出国（境）费</w:t>
      </w:r>
      <w:r>
        <w:rPr>
          <w:rFonts w:hint="eastAsia" w:ascii="Times New Roman" w:hAnsi="Times New Roman" w:eastAsia="方正仿宋_GBK" w:cs="Times New Roman"/>
          <w:bCs/>
          <w:kern w:val="0"/>
          <w:sz w:val="31"/>
          <w:szCs w:val="31"/>
          <w:highlight w:val="none"/>
          <w:lang w:val="en-US" w:eastAsia="zh-CN" w:bidi="ar-SA"/>
        </w:rPr>
        <w:t>全年预算数</w:t>
      </w:r>
      <w:r>
        <w:rPr>
          <w:rFonts w:hint="eastAsia" w:ascii="Times New Roman" w:hAnsi="Times New Roman" w:eastAsia="方正仿宋_GBK" w:cs="Times New Roman"/>
          <w:bCs/>
          <w:kern w:val="0"/>
          <w:sz w:val="31"/>
          <w:szCs w:val="31"/>
          <w:highlight w:val="none"/>
          <w:lang w:val="zh-CN" w:eastAsia="zh-CN" w:bidi="ar-SA"/>
        </w:rPr>
        <w:t>0.00万元，决算数0.00万元，预决算差异率0.00%，主要原因是：</w:t>
      </w:r>
      <w:r>
        <w:rPr>
          <w:rFonts w:hint="eastAsia" w:ascii="Times New Roman" w:hAnsi="Times New Roman" w:eastAsia="方正仿宋_GBK" w:cs="Times New Roman"/>
          <w:bCs/>
          <w:kern w:val="0"/>
          <w:sz w:val="31"/>
          <w:szCs w:val="31"/>
          <w:highlight w:val="none"/>
          <w:lang w:val="en-US" w:eastAsia="zh-CN" w:bidi="ar-SA"/>
        </w:rPr>
        <w:t>严格控制三公经费，预决算无差异</w:t>
      </w:r>
      <w:r>
        <w:rPr>
          <w:rFonts w:hint="eastAsia" w:ascii="Times New Roman" w:hAnsi="Times New Roman" w:eastAsia="方正仿宋_GBK" w:cs="Times New Roman"/>
          <w:bCs/>
          <w:kern w:val="0"/>
          <w:sz w:val="31"/>
          <w:szCs w:val="31"/>
          <w:highlight w:val="none"/>
          <w:lang w:val="zh-CN" w:eastAsia="zh-CN" w:bidi="ar-SA"/>
        </w:rPr>
        <w:t>；公务用车购置费</w:t>
      </w:r>
      <w:r>
        <w:rPr>
          <w:rFonts w:hint="eastAsia" w:ascii="Times New Roman" w:hAnsi="Times New Roman" w:eastAsia="方正仿宋_GBK" w:cs="Times New Roman"/>
          <w:bCs/>
          <w:kern w:val="0"/>
          <w:sz w:val="31"/>
          <w:szCs w:val="31"/>
          <w:highlight w:val="none"/>
          <w:lang w:val="en-US" w:eastAsia="zh-CN" w:bidi="ar-SA"/>
        </w:rPr>
        <w:t>全年</w:t>
      </w:r>
      <w:r>
        <w:rPr>
          <w:rFonts w:hint="eastAsia" w:ascii="Times New Roman" w:hAnsi="Times New Roman" w:eastAsia="方正仿宋_GBK" w:cs="Times New Roman"/>
          <w:bCs/>
          <w:kern w:val="0"/>
          <w:sz w:val="31"/>
          <w:szCs w:val="31"/>
          <w:highlight w:val="none"/>
          <w:lang w:val="zh-CN" w:eastAsia="zh-CN" w:bidi="ar-SA"/>
        </w:rPr>
        <w:t>预算数0.00万元，决算数0.00万元，预决算差异率0.00%，主要原因是：</w:t>
      </w:r>
      <w:r>
        <w:rPr>
          <w:rFonts w:hint="eastAsia" w:ascii="Times New Roman" w:hAnsi="Times New Roman" w:eastAsia="方正仿宋_GBK" w:cs="Times New Roman"/>
          <w:bCs/>
          <w:kern w:val="0"/>
          <w:sz w:val="31"/>
          <w:szCs w:val="31"/>
          <w:highlight w:val="none"/>
          <w:lang w:val="en-US" w:eastAsia="zh-CN" w:bidi="ar-SA"/>
        </w:rPr>
        <w:t>严格控制三公经费，预决算无差异</w:t>
      </w:r>
      <w:r>
        <w:rPr>
          <w:rFonts w:hint="eastAsia" w:ascii="Times New Roman" w:hAnsi="Times New Roman" w:eastAsia="方正仿宋_GBK" w:cs="Times New Roman"/>
          <w:bCs/>
          <w:kern w:val="0"/>
          <w:sz w:val="31"/>
          <w:szCs w:val="31"/>
          <w:highlight w:val="none"/>
          <w:lang w:val="zh-CN" w:eastAsia="zh-CN" w:bidi="ar-SA"/>
        </w:rPr>
        <w:t>；公务用车运行费</w:t>
      </w:r>
      <w:r>
        <w:rPr>
          <w:rFonts w:hint="eastAsia" w:ascii="Times New Roman" w:hAnsi="Times New Roman" w:eastAsia="方正仿宋_GBK" w:cs="Times New Roman"/>
          <w:bCs/>
          <w:kern w:val="0"/>
          <w:sz w:val="31"/>
          <w:szCs w:val="31"/>
          <w:highlight w:val="none"/>
          <w:lang w:val="en-US" w:eastAsia="zh-CN" w:bidi="ar-SA"/>
        </w:rPr>
        <w:t>全年</w:t>
      </w:r>
      <w:r>
        <w:rPr>
          <w:rFonts w:hint="eastAsia" w:ascii="Times New Roman" w:hAnsi="Times New Roman" w:eastAsia="方正仿宋_GBK" w:cs="Times New Roman"/>
          <w:bCs/>
          <w:kern w:val="0"/>
          <w:sz w:val="31"/>
          <w:szCs w:val="31"/>
          <w:highlight w:val="none"/>
          <w:lang w:val="zh-CN" w:eastAsia="zh-CN" w:bidi="ar-SA"/>
        </w:rPr>
        <w:t>预算数4.42万元，决算数4.42万元，预决算差异率0.00%，主要原因是：</w:t>
      </w:r>
      <w:r>
        <w:rPr>
          <w:rFonts w:hint="eastAsia" w:ascii="Times New Roman" w:hAnsi="Times New Roman" w:eastAsia="方正仿宋_GBK" w:cs="Times New Roman"/>
          <w:bCs/>
          <w:kern w:val="0"/>
          <w:sz w:val="31"/>
          <w:szCs w:val="31"/>
          <w:highlight w:val="none"/>
          <w:lang w:val="en-US" w:eastAsia="zh-CN" w:bidi="ar-SA"/>
        </w:rPr>
        <w:t>严格控制三公经费，预决算无差异</w:t>
      </w:r>
      <w:r>
        <w:rPr>
          <w:rFonts w:hint="eastAsia" w:ascii="Times New Roman" w:hAnsi="Times New Roman" w:eastAsia="方正仿宋_GBK" w:cs="Times New Roman"/>
          <w:bCs/>
          <w:kern w:val="0"/>
          <w:sz w:val="31"/>
          <w:szCs w:val="31"/>
          <w:highlight w:val="none"/>
          <w:lang w:val="zh-CN" w:eastAsia="zh-CN" w:bidi="ar-SA"/>
        </w:rPr>
        <w:t>；公务接待费</w:t>
      </w:r>
      <w:r>
        <w:rPr>
          <w:rFonts w:hint="eastAsia" w:ascii="Times New Roman" w:hAnsi="Times New Roman" w:eastAsia="方正仿宋_GBK" w:cs="Times New Roman"/>
          <w:bCs/>
          <w:kern w:val="0"/>
          <w:sz w:val="31"/>
          <w:szCs w:val="31"/>
          <w:highlight w:val="none"/>
          <w:lang w:val="en-US" w:eastAsia="zh-CN" w:bidi="ar-SA"/>
        </w:rPr>
        <w:t>全年</w:t>
      </w:r>
      <w:r>
        <w:rPr>
          <w:rFonts w:hint="eastAsia" w:ascii="Times New Roman" w:hAnsi="Times New Roman" w:eastAsia="方正仿宋_GBK" w:cs="Times New Roman"/>
          <w:bCs/>
          <w:kern w:val="0"/>
          <w:sz w:val="31"/>
          <w:szCs w:val="31"/>
          <w:highlight w:val="none"/>
          <w:lang w:val="zh-CN" w:eastAsia="zh-CN" w:bidi="ar-SA"/>
        </w:rPr>
        <w:t>预算数0.00万元，决算数0.00万元，预决算差异率0.00%，主要原因是：</w:t>
      </w:r>
      <w:r>
        <w:rPr>
          <w:rFonts w:hint="eastAsia" w:ascii="Times New Roman" w:hAnsi="Times New Roman" w:eastAsia="方正仿宋_GBK" w:cs="Times New Roman"/>
          <w:bCs/>
          <w:kern w:val="0"/>
          <w:sz w:val="31"/>
          <w:szCs w:val="31"/>
          <w:highlight w:val="none"/>
          <w:lang w:val="en-US" w:eastAsia="zh-CN" w:bidi="ar-SA"/>
        </w:rPr>
        <w:t>严格控制三公经费，预决算无差异</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bookmarkStart w:id="18" w:name="_Toc5810"/>
      <w:bookmarkStart w:id="19" w:name="_Toc7927"/>
      <w:r>
        <w:rPr>
          <w:rFonts w:hint="eastAsia" w:ascii="方正黑体_GBK" w:hAnsi="方正黑体_GBK" w:eastAsia="方正黑体_GBK" w:cs="方正黑体_GBK"/>
          <w:bCs/>
          <w:color w:val="auto"/>
          <w:kern w:val="0"/>
          <w:sz w:val="31"/>
          <w:szCs w:val="31"/>
          <w:highlight w:val="none"/>
          <w:lang w:val="en-US" w:eastAsia="zh-CN"/>
        </w:rPr>
        <w:t>八</w:t>
      </w:r>
      <w:r>
        <w:rPr>
          <w:rFonts w:hint="eastAsia" w:ascii="方正黑体_GBK" w:hAnsi="方正黑体_GBK" w:eastAsia="方正黑体_GBK" w:cs="方正黑体_GBK"/>
          <w:bCs/>
          <w:color w:val="auto"/>
          <w:kern w:val="0"/>
          <w:sz w:val="31"/>
          <w:szCs w:val="31"/>
          <w:highlight w:val="none"/>
          <w:lang w:eastAsia="zh-CN"/>
        </w:rPr>
        <w:t>、政府性基金预算财政拨款收入支出决算情况说明</w:t>
      </w:r>
      <w:bookmarkEnd w:id="18"/>
      <w:bookmarkEnd w:id="19"/>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2023年度政府性基金预算</w:t>
      </w:r>
      <w:r>
        <w:rPr>
          <w:rFonts w:hint="eastAsia" w:ascii="Times New Roman" w:hAnsi="Times New Roman" w:eastAsia="方正仿宋_GBK" w:cs="Times New Roman"/>
          <w:bCs/>
          <w:kern w:val="0"/>
          <w:sz w:val="31"/>
          <w:szCs w:val="31"/>
          <w:highlight w:val="none"/>
          <w:lang w:val="en-US" w:eastAsia="zh-CN" w:bidi="ar-SA"/>
        </w:rPr>
        <w:t>财政拨款</w:t>
      </w:r>
      <w:r>
        <w:rPr>
          <w:rFonts w:hint="eastAsia" w:ascii="Times New Roman" w:hAnsi="Times New Roman" w:eastAsia="方正仿宋_GBK" w:cs="Times New Roman"/>
          <w:bCs/>
          <w:kern w:val="0"/>
          <w:sz w:val="31"/>
          <w:szCs w:val="31"/>
          <w:highlight w:val="none"/>
          <w:lang w:val="zh-CN" w:eastAsia="zh-CN" w:bidi="ar-SA"/>
        </w:rPr>
        <w:t>收入</w:t>
      </w:r>
      <w:r>
        <w:rPr>
          <w:rFonts w:hint="eastAsia" w:ascii="Times New Roman" w:hAnsi="Times New Roman" w:eastAsia="方正仿宋_GBK" w:cs="Times New Roman"/>
          <w:bCs/>
          <w:kern w:val="0"/>
          <w:sz w:val="31"/>
          <w:szCs w:val="31"/>
          <w:highlight w:val="none"/>
          <w:lang w:val="en-US" w:eastAsia="zh-CN" w:bidi="ar-SA"/>
        </w:rPr>
        <w:t>总计6.00</w:t>
      </w:r>
      <w:r>
        <w:rPr>
          <w:rFonts w:hint="eastAsia" w:ascii="Times New Roman" w:hAnsi="Times New Roman" w:eastAsia="方正仿宋_GBK" w:cs="Times New Roman"/>
          <w:bCs/>
          <w:kern w:val="0"/>
          <w:sz w:val="31"/>
          <w:szCs w:val="31"/>
          <w:highlight w:val="none"/>
          <w:lang w:val="zh-CN" w:eastAsia="zh-CN" w:bidi="ar-SA"/>
        </w:rPr>
        <w:t>万元，</w:t>
      </w:r>
      <w:r>
        <w:rPr>
          <w:rFonts w:hint="eastAsia" w:ascii="Times New Roman" w:hAnsi="Times New Roman" w:eastAsia="方正仿宋_GBK" w:cs="Times New Roman"/>
          <w:bCs/>
          <w:kern w:val="0"/>
          <w:sz w:val="31"/>
          <w:szCs w:val="31"/>
          <w:highlight w:val="none"/>
          <w:lang w:val="en-US" w:eastAsia="zh-CN" w:bidi="ar-SA"/>
        </w:rPr>
        <w:t>其中：年初结转和结余0.00</w:t>
      </w:r>
      <w:r>
        <w:rPr>
          <w:rFonts w:hint="eastAsia" w:ascii="Times New Roman" w:hAnsi="Times New Roman" w:eastAsia="方正仿宋_GBK" w:cs="Times New Roman"/>
          <w:bCs/>
          <w:kern w:val="0"/>
          <w:sz w:val="31"/>
          <w:szCs w:val="31"/>
          <w:highlight w:val="none"/>
          <w:lang w:val="zh-CN" w:eastAsia="zh-CN" w:bidi="ar-SA"/>
        </w:rPr>
        <w:t>万元，</w:t>
      </w:r>
      <w:r>
        <w:rPr>
          <w:rFonts w:hint="eastAsia" w:ascii="Times New Roman" w:hAnsi="Times New Roman" w:eastAsia="方正仿宋_GBK" w:cs="Times New Roman"/>
          <w:bCs/>
          <w:kern w:val="0"/>
          <w:sz w:val="31"/>
          <w:szCs w:val="31"/>
          <w:highlight w:val="none"/>
          <w:lang w:val="en-US" w:eastAsia="zh-CN" w:bidi="ar-SA"/>
        </w:rPr>
        <w:t>本年收入6.00</w:t>
      </w:r>
      <w:r>
        <w:rPr>
          <w:rFonts w:hint="eastAsia" w:ascii="Times New Roman" w:hAnsi="Times New Roman" w:eastAsia="方正仿宋_GBK" w:cs="Times New Roman"/>
          <w:bCs/>
          <w:kern w:val="0"/>
          <w:sz w:val="31"/>
          <w:szCs w:val="31"/>
          <w:highlight w:val="none"/>
          <w:lang w:val="zh-CN" w:eastAsia="zh-CN" w:bidi="ar-SA"/>
        </w:rPr>
        <w:t>万元。政府性基金预算财政拨款支出</w:t>
      </w:r>
      <w:r>
        <w:rPr>
          <w:rFonts w:hint="eastAsia" w:ascii="Times New Roman" w:hAnsi="Times New Roman" w:eastAsia="方正仿宋_GBK" w:cs="Times New Roman"/>
          <w:bCs/>
          <w:kern w:val="0"/>
          <w:sz w:val="31"/>
          <w:szCs w:val="31"/>
          <w:highlight w:val="none"/>
          <w:lang w:val="en-US" w:eastAsia="zh-CN" w:bidi="ar-SA"/>
        </w:rPr>
        <w:t>总计6.00</w:t>
      </w:r>
      <w:r>
        <w:rPr>
          <w:rFonts w:hint="eastAsia" w:ascii="Times New Roman" w:hAnsi="Times New Roman" w:eastAsia="方正仿宋_GBK" w:cs="Times New Roman"/>
          <w:bCs/>
          <w:kern w:val="0"/>
          <w:sz w:val="31"/>
          <w:szCs w:val="31"/>
          <w:highlight w:val="none"/>
          <w:lang w:val="zh-CN" w:eastAsia="zh-CN" w:bidi="ar-SA"/>
        </w:rPr>
        <w:t>万元，</w:t>
      </w:r>
      <w:r>
        <w:rPr>
          <w:rFonts w:hint="eastAsia" w:ascii="Times New Roman" w:hAnsi="Times New Roman" w:eastAsia="方正仿宋_GBK" w:cs="Times New Roman"/>
          <w:bCs/>
          <w:kern w:val="0"/>
          <w:sz w:val="31"/>
          <w:szCs w:val="31"/>
          <w:highlight w:val="none"/>
          <w:lang w:val="en-US" w:eastAsia="zh-CN" w:bidi="ar-SA"/>
        </w:rPr>
        <w:t>其中：年末结转和结余0.00</w:t>
      </w:r>
      <w:r>
        <w:rPr>
          <w:rFonts w:hint="eastAsia" w:ascii="Times New Roman" w:hAnsi="Times New Roman" w:eastAsia="方正仿宋_GBK" w:cs="Times New Roman"/>
          <w:bCs/>
          <w:kern w:val="0"/>
          <w:sz w:val="31"/>
          <w:szCs w:val="31"/>
          <w:highlight w:val="none"/>
          <w:lang w:val="zh-CN" w:eastAsia="zh-CN" w:bidi="ar-SA"/>
        </w:rPr>
        <w:t>万元，</w:t>
      </w:r>
      <w:r>
        <w:rPr>
          <w:rFonts w:hint="eastAsia" w:ascii="Times New Roman" w:hAnsi="Times New Roman" w:eastAsia="方正仿宋_GBK" w:cs="Times New Roman"/>
          <w:bCs/>
          <w:kern w:val="0"/>
          <w:sz w:val="31"/>
          <w:szCs w:val="31"/>
          <w:highlight w:val="none"/>
          <w:lang w:val="en-US" w:eastAsia="zh-CN" w:bidi="ar-SA"/>
        </w:rPr>
        <w:t>本年支出6.00</w:t>
      </w:r>
      <w:r>
        <w:rPr>
          <w:rFonts w:hint="eastAsia" w:ascii="Times New Roman" w:hAnsi="Times New Roman" w:eastAsia="方正仿宋_GBK" w:cs="Times New Roman"/>
          <w:bCs/>
          <w:kern w:val="0"/>
          <w:sz w:val="31"/>
          <w:szCs w:val="31"/>
          <w:highlight w:val="none"/>
          <w:lang w:val="zh-CN" w:eastAsia="zh-CN" w:bidi="ar-SA"/>
        </w:rPr>
        <w:t>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政府性基金预算财政拨款</w:t>
      </w:r>
      <w:r>
        <w:rPr>
          <w:rFonts w:hint="eastAsia" w:ascii="Times New Roman" w:hAnsi="Times New Roman" w:eastAsia="方正仿宋_GBK" w:cs="Times New Roman"/>
          <w:bCs/>
          <w:kern w:val="0"/>
          <w:sz w:val="31"/>
          <w:szCs w:val="31"/>
          <w:highlight w:val="none"/>
          <w:lang w:val="en-US" w:eastAsia="zh-CN" w:bidi="ar-SA"/>
        </w:rPr>
        <w:t>收入支出</w:t>
      </w:r>
      <w:r>
        <w:rPr>
          <w:rFonts w:hint="eastAsia" w:ascii="Times New Roman" w:hAnsi="Times New Roman" w:eastAsia="方正仿宋_GBK" w:cs="Times New Roman"/>
          <w:bCs/>
          <w:kern w:val="0"/>
          <w:sz w:val="31"/>
          <w:szCs w:val="31"/>
          <w:highlight w:val="none"/>
          <w:lang w:val="zh-CN" w:eastAsia="zh-CN" w:bidi="ar-SA"/>
        </w:rPr>
        <w:t>与上年相比，减少399.00万元，下降98.52%，主要原因是：上年度偿还以前年度“三化”设备款</w:t>
      </w:r>
      <w:r>
        <w:rPr>
          <w:rFonts w:hint="eastAsia" w:ascii="Times New Roman" w:hAnsi="Times New Roman" w:eastAsia="方正仿宋_GBK" w:cs="Times New Roman"/>
          <w:bCs/>
          <w:kern w:val="0"/>
          <w:sz w:val="31"/>
          <w:szCs w:val="31"/>
          <w:highlight w:val="none"/>
          <w:lang w:val="en-US" w:eastAsia="zh-CN" w:bidi="ar-SA"/>
        </w:rPr>
        <w:t>405万元。</w:t>
      </w:r>
      <w:r>
        <w:rPr>
          <w:rFonts w:hint="eastAsia" w:ascii="Times New Roman" w:hAnsi="Times New Roman" w:eastAsia="方正仿宋_GBK" w:cs="Times New Roman"/>
          <w:bCs/>
          <w:kern w:val="0"/>
          <w:sz w:val="31"/>
          <w:szCs w:val="31"/>
          <w:highlight w:val="none"/>
          <w:lang w:val="zh-CN" w:eastAsia="zh-CN" w:bidi="ar-SA"/>
        </w:rPr>
        <w:t>与年初预算相比</w:t>
      </w:r>
      <w:r>
        <w:rPr>
          <w:rFonts w:hint="eastAsia" w:ascii="Times New Roman" w:hAnsi="Times New Roman" w:eastAsia="方正仿宋_GBK" w:cs="Times New Roman"/>
          <w:bCs/>
          <w:kern w:val="0"/>
          <w:sz w:val="31"/>
          <w:szCs w:val="31"/>
          <w:highlight w:val="none"/>
          <w:lang w:val="en-US" w:eastAsia="zh-CN" w:bidi="ar-SA"/>
        </w:rPr>
        <w:t>,</w:t>
      </w:r>
      <w:r>
        <w:rPr>
          <w:rFonts w:hint="eastAsia" w:ascii="Times New Roman" w:hAnsi="Times New Roman" w:eastAsia="方正仿宋_GBK" w:cs="Times New Roman"/>
          <w:bCs/>
          <w:kern w:val="0"/>
          <w:sz w:val="31"/>
          <w:szCs w:val="31"/>
          <w:highlight w:val="none"/>
          <w:lang w:val="zh-CN" w:eastAsia="zh-CN" w:bidi="ar-SA"/>
        </w:rPr>
        <w:t>年初预算数</w:t>
      </w:r>
      <w:r>
        <w:rPr>
          <w:rFonts w:hint="eastAsia" w:ascii="Times New Roman" w:hAnsi="Times New Roman" w:eastAsia="方正仿宋_GBK" w:cs="Times New Roman"/>
          <w:bCs/>
          <w:kern w:val="0"/>
          <w:sz w:val="31"/>
          <w:szCs w:val="31"/>
          <w:highlight w:val="none"/>
          <w:lang w:val="en-US" w:eastAsia="zh-CN" w:bidi="ar-SA"/>
        </w:rPr>
        <w:t>0.00</w:t>
      </w:r>
      <w:r>
        <w:rPr>
          <w:rFonts w:hint="eastAsia" w:ascii="Times New Roman" w:hAnsi="Times New Roman" w:eastAsia="方正仿宋_GBK" w:cs="Times New Roman"/>
          <w:bCs/>
          <w:kern w:val="0"/>
          <w:sz w:val="31"/>
          <w:szCs w:val="31"/>
          <w:highlight w:val="none"/>
          <w:lang w:val="zh-CN" w:eastAsia="zh-CN" w:bidi="ar-SA"/>
        </w:rPr>
        <w:t>万元，决算数</w:t>
      </w:r>
      <w:r>
        <w:rPr>
          <w:rFonts w:hint="eastAsia" w:ascii="Times New Roman" w:hAnsi="Times New Roman" w:eastAsia="方正仿宋_GBK" w:cs="Times New Roman"/>
          <w:bCs/>
          <w:kern w:val="0"/>
          <w:sz w:val="31"/>
          <w:szCs w:val="31"/>
          <w:highlight w:val="none"/>
          <w:lang w:val="en-US" w:eastAsia="zh-CN" w:bidi="ar-SA"/>
        </w:rPr>
        <w:t>6.00</w:t>
      </w:r>
      <w:r>
        <w:rPr>
          <w:rFonts w:hint="eastAsia" w:ascii="Times New Roman" w:hAnsi="Times New Roman" w:eastAsia="方正仿宋_GBK" w:cs="Times New Roman"/>
          <w:bCs/>
          <w:kern w:val="0"/>
          <w:sz w:val="31"/>
          <w:szCs w:val="31"/>
          <w:highlight w:val="none"/>
          <w:lang w:val="zh-CN" w:eastAsia="zh-CN" w:bidi="ar-SA"/>
        </w:rPr>
        <w:t>万元，预决算差异率</w:t>
      </w:r>
      <w:r>
        <w:rPr>
          <w:rFonts w:hint="eastAsia" w:eastAsia="方正仿宋_GBK" w:cs="Times New Roman"/>
          <w:bCs/>
          <w:kern w:val="0"/>
          <w:sz w:val="31"/>
          <w:szCs w:val="31"/>
          <w:highlight w:val="none"/>
          <w:lang w:val="en-US" w:eastAsia="zh-CN" w:bidi="ar-SA"/>
        </w:rPr>
        <w:t>100</w:t>
      </w:r>
      <w:r>
        <w:rPr>
          <w:rFonts w:hint="eastAsia" w:ascii="Times New Roman" w:hAnsi="Times New Roman" w:eastAsia="方正仿宋_GBK" w:cs="Times New Roman"/>
          <w:bCs/>
          <w:kern w:val="0"/>
          <w:sz w:val="31"/>
          <w:szCs w:val="31"/>
          <w:highlight w:val="none"/>
          <w:lang w:val="zh-CN" w:eastAsia="zh-CN" w:bidi="ar-SA"/>
        </w:rPr>
        <w:t>.00%，主要原因是：年初预算时未安排此项预算，后期科目调剂增加此项预算。</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zh-CN" w:eastAsia="zh-CN" w:bidi="ar-SA"/>
        </w:rPr>
        <w:t>政府性基金预算财政拨款支出6.00万元。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1.城乡社区支出（类）国有土地使用权出让收入安排的支出（款）其他国有土地使用权出让收入安排的支出（项）:支出决算数为6.00</w:t>
      </w:r>
      <w:r>
        <w:rPr>
          <w:rFonts w:hint="eastAsia" w:ascii="Times New Roman" w:hAnsi="Times New Roman" w:eastAsia="方正仿宋_GBK" w:cs="Times New Roman"/>
          <w:bCs/>
          <w:kern w:val="0"/>
          <w:sz w:val="31"/>
          <w:szCs w:val="31"/>
          <w:highlight w:val="none"/>
          <w:lang w:val="en-US" w:eastAsia="zh-CN" w:bidi="ar-SA"/>
        </w:rPr>
        <w:t>万元</w:t>
      </w:r>
      <w:r>
        <w:rPr>
          <w:rFonts w:hint="eastAsia" w:ascii="Times New Roman" w:hAnsi="Times New Roman" w:eastAsia="方正仿宋_GBK" w:cs="Times New Roman"/>
          <w:bCs/>
          <w:kern w:val="0"/>
          <w:sz w:val="31"/>
          <w:szCs w:val="31"/>
          <w:highlight w:val="none"/>
          <w:lang w:val="zh-CN" w:eastAsia="zh-CN" w:bidi="ar-SA"/>
        </w:rPr>
        <w:t>，比上年决算</w:t>
      </w:r>
      <w:r>
        <w:rPr>
          <w:rFonts w:hint="eastAsia" w:ascii="Times New Roman" w:hAnsi="Times New Roman" w:eastAsia="方正仿宋_GBK" w:cs="Times New Roman"/>
          <w:bCs/>
          <w:kern w:val="0"/>
          <w:sz w:val="31"/>
          <w:szCs w:val="31"/>
          <w:highlight w:val="none"/>
          <w:lang w:val="en-US" w:eastAsia="zh-CN" w:bidi="ar-SA"/>
        </w:rPr>
        <w:t>减少</w:t>
      </w:r>
      <w:r>
        <w:rPr>
          <w:rFonts w:hint="eastAsia" w:ascii="Times New Roman" w:hAnsi="Times New Roman" w:eastAsia="方正仿宋_GBK" w:cs="Times New Roman"/>
          <w:bCs/>
          <w:kern w:val="0"/>
          <w:sz w:val="31"/>
          <w:szCs w:val="31"/>
          <w:highlight w:val="none"/>
          <w:lang w:val="zh-CN" w:eastAsia="zh-CN" w:bidi="ar-SA"/>
        </w:rPr>
        <w:t>399.00</w:t>
      </w:r>
      <w:r>
        <w:rPr>
          <w:rFonts w:hint="eastAsia" w:ascii="Times New Roman" w:hAnsi="Times New Roman" w:eastAsia="方正仿宋_GBK" w:cs="Times New Roman"/>
          <w:bCs/>
          <w:kern w:val="0"/>
          <w:sz w:val="31"/>
          <w:szCs w:val="31"/>
          <w:highlight w:val="none"/>
          <w:lang w:val="en-US" w:eastAsia="zh-CN" w:bidi="ar-SA"/>
        </w:rPr>
        <w:t>万元</w:t>
      </w:r>
      <w:r>
        <w:rPr>
          <w:rFonts w:hint="eastAsia" w:ascii="Times New Roman" w:hAnsi="Times New Roman" w:eastAsia="方正仿宋_GBK" w:cs="Times New Roman"/>
          <w:bCs/>
          <w:kern w:val="0"/>
          <w:sz w:val="31"/>
          <w:szCs w:val="31"/>
          <w:highlight w:val="none"/>
          <w:lang w:val="zh-CN" w:eastAsia="zh-CN" w:bidi="ar-SA"/>
        </w:rPr>
        <w:t>，</w:t>
      </w:r>
      <w:r>
        <w:rPr>
          <w:rFonts w:hint="eastAsia" w:ascii="Times New Roman" w:hAnsi="Times New Roman" w:eastAsia="方正仿宋_GBK" w:cs="Times New Roman"/>
          <w:bCs/>
          <w:kern w:val="0"/>
          <w:sz w:val="31"/>
          <w:szCs w:val="31"/>
          <w:highlight w:val="none"/>
          <w:lang w:val="en-US" w:eastAsia="zh-CN" w:bidi="ar-SA"/>
        </w:rPr>
        <w:t>下降</w:t>
      </w:r>
      <w:r>
        <w:rPr>
          <w:rFonts w:hint="eastAsia" w:ascii="Times New Roman" w:hAnsi="Times New Roman" w:eastAsia="方正仿宋_GBK" w:cs="Times New Roman"/>
          <w:bCs/>
          <w:kern w:val="0"/>
          <w:sz w:val="31"/>
          <w:szCs w:val="31"/>
          <w:highlight w:val="none"/>
          <w:lang w:val="zh-CN" w:eastAsia="zh-CN" w:bidi="ar-SA"/>
        </w:rPr>
        <w:t>98.52%，主要原因是：上年度偿还以前年度“三化”设备款</w:t>
      </w:r>
      <w:r>
        <w:rPr>
          <w:rFonts w:hint="eastAsia" w:ascii="Times New Roman" w:hAnsi="Times New Roman" w:eastAsia="方正仿宋_GBK" w:cs="Times New Roman"/>
          <w:bCs/>
          <w:kern w:val="0"/>
          <w:sz w:val="31"/>
          <w:szCs w:val="31"/>
          <w:highlight w:val="none"/>
          <w:lang w:val="en-US" w:eastAsia="zh-CN" w:bidi="ar-SA"/>
        </w:rPr>
        <w:t>405万元</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r>
        <w:rPr>
          <w:rFonts w:hint="eastAsia" w:ascii="方正黑体_GBK" w:hAnsi="方正黑体_GBK" w:eastAsia="方正黑体_GBK" w:cs="方正黑体_GBK"/>
          <w:bCs/>
          <w:color w:val="auto"/>
          <w:kern w:val="0"/>
          <w:sz w:val="31"/>
          <w:szCs w:val="31"/>
          <w:highlight w:val="none"/>
          <w:lang w:val="en-US" w:eastAsia="zh-CN"/>
        </w:rPr>
        <w:t>九</w:t>
      </w:r>
      <w:r>
        <w:rPr>
          <w:rFonts w:hint="eastAsia" w:ascii="方正黑体_GBK" w:hAnsi="方正黑体_GBK" w:eastAsia="方正黑体_GBK" w:cs="方正黑体_GBK"/>
          <w:bCs/>
          <w:color w:val="auto"/>
          <w:kern w:val="0"/>
          <w:sz w:val="31"/>
          <w:szCs w:val="31"/>
          <w:highlight w:val="none"/>
          <w:lang w:eastAsia="zh-CN"/>
        </w:rPr>
        <w:t>、国有资本经营预算财政拨款收入支出决算情况说明</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2023年度国有资本经营预算</w:t>
      </w:r>
      <w:r>
        <w:rPr>
          <w:rFonts w:hint="eastAsia" w:ascii="Times New Roman" w:hAnsi="Times New Roman" w:eastAsia="方正仿宋_GBK" w:cs="Times New Roman"/>
          <w:bCs/>
          <w:kern w:val="0"/>
          <w:sz w:val="31"/>
          <w:szCs w:val="31"/>
          <w:highlight w:val="none"/>
          <w:lang w:val="en-US" w:eastAsia="zh-CN" w:bidi="ar-SA"/>
        </w:rPr>
        <w:t>财政拨款</w:t>
      </w:r>
      <w:r>
        <w:rPr>
          <w:rFonts w:hint="eastAsia" w:ascii="Times New Roman" w:hAnsi="Times New Roman" w:eastAsia="方正仿宋_GBK" w:cs="Times New Roman"/>
          <w:bCs/>
          <w:kern w:val="0"/>
          <w:sz w:val="31"/>
          <w:szCs w:val="31"/>
          <w:highlight w:val="none"/>
          <w:lang w:val="zh-CN" w:eastAsia="zh-CN" w:bidi="ar-SA"/>
        </w:rPr>
        <w:t>收入</w:t>
      </w:r>
      <w:r>
        <w:rPr>
          <w:rFonts w:hint="eastAsia" w:ascii="Times New Roman" w:hAnsi="Times New Roman" w:eastAsia="方正仿宋_GBK" w:cs="Times New Roman"/>
          <w:bCs/>
          <w:kern w:val="0"/>
          <w:sz w:val="31"/>
          <w:szCs w:val="31"/>
          <w:highlight w:val="none"/>
          <w:lang w:val="en-US" w:eastAsia="zh-CN" w:bidi="ar-SA"/>
        </w:rPr>
        <w:t>总计23.49</w:t>
      </w:r>
      <w:r>
        <w:rPr>
          <w:rFonts w:hint="eastAsia" w:ascii="Times New Roman" w:hAnsi="Times New Roman" w:eastAsia="方正仿宋_GBK" w:cs="Times New Roman"/>
          <w:bCs/>
          <w:kern w:val="0"/>
          <w:sz w:val="31"/>
          <w:szCs w:val="31"/>
          <w:highlight w:val="none"/>
          <w:lang w:val="zh-CN" w:eastAsia="zh-CN" w:bidi="ar-SA"/>
        </w:rPr>
        <w:t>万元，</w:t>
      </w:r>
      <w:r>
        <w:rPr>
          <w:rFonts w:hint="eastAsia" w:ascii="Times New Roman" w:hAnsi="Times New Roman" w:eastAsia="方正仿宋_GBK" w:cs="Times New Roman"/>
          <w:bCs/>
          <w:kern w:val="0"/>
          <w:sz w:val="31"/>
          <w:szCs w:val="31"/>
          <w:highlight w:val="none"/>
          <w:lang w:val="en-US" w:eastAsia="zh-CN" w:bidi="ar-SA"/>
        </w:rPr>
        <w:t>其中：年初结转和结余</w:t>
      </w:r>
      <w:r>
        <w:rPr>
          <w:rFonts w:hint="eastAsia" w:ascii="Times New Roman" w:hAnsi="Times New Roman" w:eastAsia="方正仿宋_GBK" w:cs="Times New Roman"/>
          <w:bCs/>
          <w:kern w:val="0"/>
          <w:sz w:val="31"/>
          <w:szCs w:val="31"/>
          <w:highlight w:val="none"/>
          <w:lang w:val="zh-CN" w:eastAsia="zh-CN" w:bidi="ar-SA"/>
        </w:rPr>
        <w:t>0.00万元，</w:t>
      </w:r>
      <w:r>
        <w:rPr>
          <w:rFonts w:hint="eastAsia" w:ascii="Times New Roman" w:hAnsi="Times New Roman" w:eastAsia="方正仿宋_GBK" w:cs="Times New Roman"/>
          <w:bCs/>
          <w:kern w:val="0"/>
          <w:sz w:val="31"/>
          <w:szCs w:val="31"/>
          <w:highlight w:val="none"/>
          <w:lang w:val="en-US" w:eastAsia="zh-CN" w:bidi="ar-SA"/>
        </w:rPr>
        <w:t>本年收入</w:t>
      </w:r>
      <w:r>
        <w:rPr>
          <w:rFonts w:hint="eastAsia" w:ascii="Times New Roman" w:hAnsi="Times New Roman" w:eastAsia="方正仿宋_GBK" w:cs="Times New Roman"/>
          <w:bCs/>
          <w:kern w:val="0"/>
          <w:sz w:val="31"/>
          <w:szCs w:val="31"/>
          <w:highlight w:val="none"/>
          <w:lang w:val="zh-CN" w:eastAsia="zh-CN" w:bidi="ar-SA"/>
        </w:rPr>
        <w:t>23.49万元。国有资本经营预算财政拨款支出</w:t>
      </w:r>
      <w:r>
        <w:rPr>
          <w:rFonts w:hint="eastAsia" w:ascii="Times New Roman" w:hAnsi="Times New Roman" w:eastAsia="方正仿宋_GBK" w:cs="Times New Roman"/>
          <w:bCs/>
          <w:kern w:val="0"/>
          <w:sz w:val="31"/>
          <w:szCs w:val="31"/>
          <w:highlight w:val="none"/>
          <w:lang w:val="en-US" w:eastAsia="zh-CN" w:bidi="ar-SA"/>
        </w:rPr>
        <w:t>总计23.49</w:t>
      </w:r>
      <w:r>
        <w:rPr>
          <w:rFonts w:hint="eastAsia" w:ascii="Times New Roman" w:hAnsi="Times New Roman" w:eastAsia="方正仿宋_GBK" w:cs="Times New Roman"/>
          <w:bCs/>
          <w:kern w:val="0"/>
          <w:sz w:val="31"/>
          <w:szCs w:val="31"/>
          <w:highlight w:val="none"/>
          <w:lang w:val="zh-CN" w:eastAsia="zh-CN" w:bidi="ar-SA"/>
        </w:rPr>
        <w:t>万元，</w:t>
      </w:r>
      <w:r>
        <w:rPr>
          <w:rFonts w:hint="eastAsia" w:ascii="Times New Roman" w:hAnsi="Times New Roman" w:eastAsia="方正仿宋_GBK" w:cs="Times New Roman"/>
          <w:bCs/>
          <w:kern w:val="0"/>
          <w:sz w:val="31"/>
          <w:szCs w:val="31"/>
          <w:highlight w:val="none"/>
          <w:lang w:val="en-US" w:eastAsia="zh-CN" w:bidi="ar-SA"/>
        </w:rPr>
        <w:t>其中：年末结转和结余</w:t>
      </w:r>
      <w:r>
        <w:rPr>
          <w:rFonts w:hint="eastAsia" w:ascii="Times New Roman" w:hAnsi="Times New Roman" w:eastAsia="方正仿宋_GBK" w:cs="Times New Roman"/>
          <w:bCs/>
          <w:kern w:val="0"/>
          <w:sz w:val="31"/>
          <w:szCs w:val="31"/>
          <w:highlight w:val="none"/>
          <w:lang w:val="zh-CN" w:eastAsia="zh-CN" w:bidi="ar-SA"/>
        </w:rPr>
        <w:t>0.00万元，</w:t>
      </w:r>
      <w:r>
        <w:rPr>
          <w:rFonts w:hint="eastAsia" w:ascii="Times New Roman" w:hAnsi="Times New Roman" w:eastAsia="方正仿宋_GBK" w:cs="Times New Roman"/>
          <w:bCs/>
          <w:kern w:val="0"/>
          <w:sz w:val="31"/>
          <w:szCs w:val="31"/>
          <w:highlight w:val="none"/>
          <w:lang w:val="en-US" w:eastAsia="zh-CN" w:bidi="ar-SA"/>
        </w:rPr>
        <w:t>本年支出</w:t>
      </w:r>
      <w:r>
        <w:rPr>
          <w:rFonts w:hint="eastAsia" w:ascii="Times New Roman" w:hAnsi="Times New Roman" w:eastAsia="方正仿宋_GBK" w:cs="Times New Roman"/>
          <w:bCs/>
          <w:kern w:val="0"/>
          <w:sz w:val="31"/>
          <w:szCs w:val="31"/>
          <w:highlight w:val="none"/>
          <w:lang w:val="zh-CN" w:eastAsia="zh-CN" w:bidi="ar-SA"/>
        </w:rPr>
        <w:t>23.49万元。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国有资本经营预算财政拨款</w:t>
      </w:r>
      <w:r>
        <w:rPr>
          <w:rFonts w:hint="eastAsia" w:ascii="Times New Roman" w:hAnsi="Times New Roman" w:eastAsia="方正仿宋_GBK" w:cs="Times New Roman"/>
          <w:bCs/>
          <w:kern w:val="0"/>
          <w:sz w:val="31"/>
          <w:szCs w:val="31"/>
          <w:highlight w:val="none"/>
          <w:lang w:val="en-US" w:eastAsia="zh-CN" w:bidi="ar-SA"/>
        </w:rPr>
        <w:t>收入支出</w:t>
      </w:r>
      <w:r>
        <w:rPr>
          <w:rFonts w:hint="eastAsia" w:ascii="Times New Roman" w:hAnsi="Times New Roman" w:eastAsia="方正仿宋_GBK" w:cs="Times New Roman"/>
          <w:bCs/>
          <w:kern w:val="0"/>
          <w:sz w:val="31"/>
          <w:szCs w:val="31"/>
          <w:highlight w:val="none"/>
          <w:lang w:val="zh-CN" w:eastAsia="zh-CN" w:bidi="ar-SA"/>
        </w:rPr>
        <w:t>与上年相比，增加23.49万元，增长100.00%，主要原因是：</w:t>
      </w:r>
      <w:r>
        <w:rPr>
          <w:rFonts w:hint="eastAsia" w:ascii="Times New Roman" w:hAnsi="Times New Roman" w:eastAsia="方正仿宋_GBK" w:cs="Times New Roman"/>
          <w:bCs/>
          <w:kern w:val="0"/>
          <w:sz w:val="31"/>
          <w:szCs w:val="31"/>
          <w:highlight w:val="none"/>
          <w:lang w:val="en-US" w:eastAsia="zh-CN" w:bidi="ar-SA"/>
        </w:rPr>
        <w:t>上年度未安排此科目预算</w:t>
      </w:r>
      <w:r>
        <w:rPr>
          <w:rFonts w:hint="eastAsia" w:ascii="Times New Roman" w:hAnsi="Times New Roman" w:eastAsia="方正仿宋_GBK" w:cs="Times New Roman"/>
          <w:bCs/>
          <w:kern w:val="0"/>
          <w:sz w:val="31"/>
          <w:szCs w:val="31"/>
          <w:highlight w:val="none"/>
          <w:lang w:val="zh-CN" w:eastAsia="zh-CN" w:bidi="ar-SA"/>
        </w:rPr>
        <w:t>。与年初预算相比，年初预算数</w:t>
      </w:r>
      <w:r>
        <w:rPr>
          <w:rFonts w:hint="eastAsia" w:ascii="Times New Roman" w:hAnsi="Times New Roman" w:eastAsia="方正仿宋_GBK" w:cs="Times New Roman"/>
          <w:bCs/>
          <w:kern w:val="0"/>
          <w:sz w:val="31"/>
          <w:szCs w:val="31"/>
          <w:highlight w:val="none"/>
          <w:lang w:val="en-US" w:eastAsia="zh-CN" w:bidi="ar-SA"/>
        </w:rPr>
        <w:t>41.31</w:t>
      </w:r>
      <w:r>
        <w:rPr>
          <w:rFonts w:hint="eastAsia" w:ascii="Times New Roman" w:hAnsi="Times New Roman" w:eastAsia="方正仿宋_GBK" w:cs="Times New Roman"/>
          <w:bCs/>
          <w:kern w:val="0"/>
          <w:sz w:val="31"/>
          <w:szCs w:val="31"/>
          <w:highlight w:val="none"/>
          <w:lang w:val="zh-CN" w:eastAsia="zh-CN" w:bidi="ar-SA"/>
        </w:rPr>
        <w:t>万元，决算数</w:t>
      </w:r>
      <w:r>
        <w:rPr>
          <w:rFonts w:hint="eastAsia" w:ascii="Times New Roman" w:hAnsi="Times New Roman" w:eastAsia="方正仿宋_GBK" w:cs="Times New Roman"/>
          <w:bCs/>
          <w:kern w:val="0"/>
          <w:sz w:val="31"/>
          <w:szCs w:val="31"/>
          <w:highlight w:val="none"/>
          <w:lang w:val="en-US" w:eastAsia="zh-CN" w:bidi="ar-SA"/>
        </w:rPr>
        <w:t>23.49</w:t>
      </w:r>
      <w:r>
        <w:rPr>
          <w:rFonts w:hint="eastAsia" w:ascii="Times New Roman" w:hAnsi="Times New Roman" w:eastAsia="方正仿宋_GBK" w:cs="Times New Roman"/>
          <w:bCs/>
          <w:kern w:val="0"/>
          <w:sz w:val="31"/>
          <w:szCs w:val="31"/>
          <w:highlight w:val="none"/>
          <w:lang w:val="zh-CN" w:eastAsia="zh-CN" w:bidi="ar-SA"/>
        </w:rPr>
        <w:t>万元，预决算差异率-43.13%，主要原因是：</w:t>
      </w:r>
      <w:r>
        <w:rPr>
          <w:rFonts w:hint="eastAsia" w:ascii="Times New Roman" w:hAnsi="Times New Roman" w:eastAsia="方正仿宋_GBK" w:cs="Times New Roman"/>
          <w:bCs/>
          <w:kern w:val="0"/>
          <w:sz w:val="31"/>
          <w:szCs w:val="31"/>
          <w:highlight w:val="none"/>
          <w:lang w:val="en-US" w:eastAsia="zh-CN" w:bidi="ar-SA"/>
        </w:rPr>
        <w:t>根据中央八项规定，厉行节约，严格控制运转经费支出</w:t>
      </w:r>
      <w:r>
        <w:rPr>
          <w:rFonts w:hint="eastAsia" w:ascii="Times New Roman" w:hAnsi="Times New Roman" w:eastAsia="方正仿宋_GBK" w:cs="Times New Roman"/>
          <w:bCs/>
          <w:kern w:val="0"/>
          <w:sz w:val="31"/>
          <w:szCs w:val="31"/>
          <w:highlight w:val="none"/>
          <w:lang w:val="zh-CN"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国有资本经营预算财政拨款支出</w:t>
      </w:r>
      <w:r>
        <w:rPr>
          <w:rFonts w:hint="eastAsia" w:ascii="Times New Roman" w:hAnsi="Times New Roman" w:eastAsia="方正仿宋_GBK" w:cs="Times New Roman"/>
          <w:bCs/>
          <w:kern w:val="0"/>
          <w:sz w:val="31"/>
          <w:szCs w:val="31"/>
          <w:highlight w:val="none"/>
          <w:lang w:val="en-US" w:eastAsia="zh-CN" w:bidi="ar-SA"/>
        </w:rPr>
        <w:t>23.49</w:t>
      </w:r>
      <w:r>
        <w:rPr>
          <w:rFonts w:hint="eastAsia" w:ascii="Times New Roman" w:hAnsi="Times New Roman" w:eastAsia="方正仿宋_GBK" w:cs="Times New Roman"/>
          <w:bCs/>
          <w:kern w:val="0"/>
          <w:sz w:val="31"/>
          <w:szCs w:val="31"/>
          <w:highlight w:val="none"/>
          <w:lang w:val="zh-CN" w:eastAsia="zh-CN" w:bidi="ar-SA"/>
        </w:rPr>
        <w:t>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zh-CN" w:eastAsia="zh-CN"/>
        </w:rPr>
      </w:pPr>
      <w:r>
        <w:rPr>
          <w:rFonts w:hint="eastAsia" w:ascii="Times New Roman" w:hAnsi="Times New Roman" w:eastAsia="方正仿宋_GBK" w:cs="Times New Roman"/>
          <w:bCs/>
          <w:kern w:val="0"/>
          <w:sz w:val="31"/>
          <w:szCs w:val="31"/>
          <w:highlight w:val="none"/>
          <w:lang w:val="zh-CN" w:eastAsia="zh-CN" w:bidi="ar-SA"/>
        </w:rPr>
        <w:t>1.国有资本经营预算支出（类）解决历史遗留问题及改革成本支出（款）国有企业退休人员社会化管理补助支出（项）:支出决算数为23.49</w:t>
      </w:r>
      <w:r>
        <w:rPr>
          <w:rFonts w:hint="eastAsia" w:ascii="Times New Roman" w:hAnsi="Times New Roman" w:eastAsia="方正仿宋_GBK" w:cs="Times New Roman"/>
          <w:bCs/>
          <w:kern w:val="0"/>
          <w:sz w:val="31"/>
          <w:szCs w:val="31"/>
          <w:highlight w:val="none"/>
          <w:lang w:val="en-US" w:eastAsia="zh-CN" w:bidi="ar-SA"/>
        </w:rPr>
        <w:t>万元</w:t>
      </w:r>
      <w:r>
        <w:rPr>
          <w:rFonts w:hint="eastAsia" w:ascii="Times New Roman" w:hAnsi="Times New Roman" w:eastAsia="方正仿宋_GBK" w:cs="Times New Roman"/>
          <w:bCs/>
          <w:kern w:val="0"/>
          <w:sz w:val="31"/>
          <w:szCs w:val="31"/>
          <w:highlight w:val="none"/>
          <w:lang w:val="zh-CN" w:eastAsia="zh-CN" w:bidi="ar-SA"/>
        </w:rPr>
        <w:t>，比上年决算</w:t>
      </w:r>
      <w:r>
        <w:rPr>
          <w:rFonts w:hint="eastAsia" w:ascii="Times New Roman" w:hAnsi="Times New Roman" w:eastAsia="方正仿宋_GBK" w:cs="Times New Roman"/>
          <w:bCs/>
          <w:kern w:val="0"/>
          <w:sz w:val="31"/>
          <w:szCs w:val="31"/>
          <w:highlight w:val="none"/>
          <w:lang w:val="en-US" w:eastAsia="zh-CN" w:bidi="ar-SA"/>
        </w:rPr>
        <w:t>增加</w:t>
      </w:r>
      <w:r>
        <w:rPr>
          <w:rFonts w:hint="eastAsia" w:ascii="Times New Roman" w:hAnsi="Times New Roman" w:eastAsia="方正仿宋_GBK" w:cs="Times New Roman"/>
          <w:bCs/>
          <w:kern w:val="0"/>
          <w:sz w:val="31"/>
          <w:szCs w:val="31"/>
          <w:highlight w:val="none"/>
          <w:lang w:val="zh-CN" w:eastAsia="zh-CN" w:bidi="ar-SA"/>
        </w:rPr>
        <w:t>23.49</w:t>
      </w:r>
      <w:r>
        <w:rPr>
          <w:rFonts w:hint="eastAsia" w:ascii="Times New Roman" w:hAnsi="Times New Roman" w:eastAsia="方正仿宋_GBK" w:cs="Times New Roman"/>
          <w:bCs/>
          <w:kern w:val="0"/>
          <w:sz w:val="31"/>
          <w:szCs w:val="31"/>
          <w:highlight w:val="none"/>
          <w:lang w:val="en-US" w:eastAsia="zh-CN" w:bidi="ar-SA"/>
        </w:rPr>
        <w:t>万元</w:t>
      </w:r>
      <w:r>
        <w:rPr>
          <w:rFonts w:hint="eastAsia" w:ascii="Times New Roman" w:hAnsi="Times New Roman" w:eastAsia="方正仿宋_GBK" w:cs="Times New Roman"/>
          <w:bCs/>
          <w:kern w:val="0"/>
          <w:sz w:val="31"/>
          <w:szCs w:val="31"/>
          <w:highlight w:val="none"/>
          <w:lang w:val="zh-CN" w:eastAsia="zh-CN" w:bidi="ar-SA"/>
        </w:rPr>
        <w:t>，</w:t>
      </w:r>
      <w:r>
        <w:rPr>
          <w:rFonts w:hint="eastAsia" w:ascii="Times New Roman" w:hAnsi="Times New Roman" w:eastAsia="方正仿宋_GBK" w:cs="Times New Roman"/>
          <w:bCs/>
          <w:kern w:val="0"/>
          <w:sz w:val="31"/>
          <w:szCs w:val="31"/>
          <w:highlight w:val="none"/>
          <w:lang w:val="en-US" w:eastAsia="zh-CN" w:bidi="ar-SA"/>
        </w:rPr>
        <w:t>增长</w:t>
      </w:r>
      <w:r>
        <w:rPr>
          <w:rFonts w:hint="eastAsia" w:ascii="Times New Roman" w:hAnsi="Times New Roman" w:eastAsia="方正仿宋_GBK" w:cs="Times New Roman"/>
          <w:bCs/>
          <w:kern w:val="0"/>
          <w:sz w:val="31"/>
          <w:szCs w:val="31"/>
          <w:highlight w:val="none"/>
          <w:lang w:val="zh-CN" w:eastAsia="zh-CN" w:bidi="ar-SA"/>
        </w:rPr>
        <w:t>100%，主要原因是：</w:t>
      </w:r>
      <w:r>
        <w:rPr>
          <w:rFonts w:hint="eastAsia" w:ascii="Times New Roman" w:hAnsi="Times New Roman" w:eastAsia="方正仿宋_GBK" w:cs="Times New Roman"/>
          <w:bCs/>
          <w:kern w:val="0"/>
          <w:sz w:val="31"/>
          <w:szCs w:val="31"/>
          <w:highlight w:val="none"/>
          <w:lang w:val="en-US" w:eastAsia="zh-CN" w:bidi="ar-SA"/>
        </w:rPr>
        <w:t>上年度未安排此科目预算</w:t>
      </w:r>
      <w:r>
        <w:rPr>
          <w:rFonts w:hint="eastAsia" w:ascii="Times New Roman" w:hAnsi="Times New Roman" w:eastAsia="方正仿宋_GBK" w:cs="Times New Roman"/>
          <w:bCs/>
          <w:kern w:val="0"/>
          <w:sz w:val="31"/>
          <w:szCs w:val="31"/>
          <w:highlight w:val="none"/>
          <w:lang w:val="zh-CN" w:eastAsia="zh-CN" w:bidi="ar-SA"/>
        </w:rPr>
        <w:t>。</w:t>
      </w:r>
      <w:bookmarkStart w:id="20" w:name="_Toc1235"/>
      <w:bookmarkStart w:id="21" w:name="_Toc7314"/>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r>
        <w:rPr>
          <w:rFonts w:hint="eastAsia" w:ascii="方正黑体_GBK" w:hAnsi="方正黑体_GBK" w:eastAsia="方正黑体_GBK" w:cs="方正黑体_GBK"/>
          <w:bCs/>
          <w:color w:val="auto"/>
          <w:kern w:val="0"/>
          <w:sz w:val="31"/>
          <w:szCs w:val="31"/>
          <w:highlight w:val="none"/>
          <w:lang w:eastAsia="zh-CN"/>
        </w:rPr>
        <w:t>十</w:t>
      </w:r>
      <w:r>
        <w:rPr>
          <w:rFonts w:hint="eastAsia" w:ascii="方正黑体_GBK" w:hAnsi="方正黑体_GBK" w:eastAsia="方正黑体_GBK" w:cs="方正黑体_GBK"/>
          <w:bCs/>
          <w:color w:val="auto"/>
          <w:kern w:val="0"/>
          <w:sz w:val="31"/>
          <w:szCs w:val="31"/>
          <w:highlight w:val="none"/>
        </w:rPr>
        <w:t>、其他重要事项的情况</w:t>
      </w:r>
      <w:r>
        <w:rPr>
          <w:rFonts w:hint="eastAsia" w:ascii="方正黑体_GBK" w:hAnsi="方正黑体_GBK" w:eastAsia="方正黑体_GBK" w:cs="方正黑体_GBK"/>
          <w:bCs/>
          <w:color w:val="auto"/>
          <w:kern w:val="0"/>
          <w:sz w:val="31"/>
          <w:szCs w:val="31"/>
          <w:highlight w:val="none"/>
          <w:lang w:eastAsia="zh-CN"/>
        </w:rPr>
        <w:t>说明</w:t>
      </w:r>
      <w:bookmarkEnd w:id="20"/>
      <w:bookmarkEnd w:id="21"/>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2"/>
        <w:rPr>
          <w:rFonts w:hint="eastAsia" w:ascii="方正楷体_GBK" w:hAnsi="方正楷体_GBK" w:eastAsia="方正楷体_GBK" w:cs="方正楷体_GBK"/>
          <w:color w:val="auto"/>
          <w:sz w:val="31"/>
          <w:szCs w:val="31"/>
          <w:highlight w:val="none"/>
        </w:rPr>
      </w:pPr>
      <w:bookmarkStart w:id="22" w:name="_Toc14519"/>
      <w:bookmarkStart w:id="23" w:name="_Toc13105"/>
      <w:r>
        <w:rPr>
          <w:rFonts w:hint="eastAsia" w:ascii="方正楷体_GBK" w:hAnsi="方正楷体_GBK" w:eastAsia="方正楷体_GBK" w:cs="方正楷体_GBK"/>
          <w:color w:val="auto"/>
          <w:sz w:val="31"/>
          <w:szCs w:val="31"/>
          <w:highlight w:val="none"/>
          <w:lang w:eastAsia="zh-CN"/>
        </w:rPr>
        <w:t>（一）</w:t>
      </w:r>
      <w:r>
        <w:rPr>
          <w:rFonts w:hint="eastAsia" w:ascii="方正楷体_GBK" w:hAnsi="方正楷体_GBK" w:eastAsia="方正楷体_GBK" w:cs="方正楷体_GBK"/>
          <w:color w:val="auto"/>
          <w:sz w:val="31"/>
          <w:szCs w:val="31"/>
          <w:highlight w:val="none"/>
        </w:rPr>
        <w:t>机关运行经费支出情况</w:t>
      </w:r>
      <w:bookmarkEnd w:id="22"/>
      <w:bookmarkEnd w:id="23"/>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bookmarkStart w:id="24" w:name="_Toc26704"/>
      <w:bookmarkStart w:id="25" w:name="_Toc227"/>
      <w:r>
        <w:rPr>
          <w:rFonts w:hint="eastAsia" w:ascii="Times New Roman" w:hAnsi="Times New Roman" w:eastAsia="方正仿宋_GBK" w:cs="Times New Roman"/>
          <w:bCs/>
          <w:kern w:val="0"/>
          <w:sz w:val="31"/>
          <w:szCs w:val="31"/>
          <w:highlight w:val="none"/>
          <w:lang w:val="zh-CN" w:eastAsia="zh-CN" w:bidi="ar-SA"/>
        </w:rPr>
        <w:t>2023年度</w:t>
      </w:r>
      <w:r>
        <w:rPr>
          <w:rFonts w:hint="eastAsia" w:ascii="Times New Roman" w:hAnsi="Times New Roman" w:eastAsia="方正仿宋_GBK" w:cs="Times New Roman"/>
          <w:bCs/>
          <w:kern w:val="0"/>
          <w:sz w:val="31"/>
          <w:szCs w:val="31"/>
          <w:highlight w:val="none"/>
          <w:lang w:val="en-US" w:eastAsia="zh-CN" w:bidi="ar-SA"/>
        </w:rPr>
        <w:t>库尔勒市团结街道办事处（行政单位和参照公务员法管理事业单位）机关运行经费支出47.81万元，比上年减少93.31万元，下降66.12%，主要原因是：2022年8-11月疫情防控期间，保障运转支出增加，所以本年度机关运行经费支出比上年下降。</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楷体_GBK" w:hAnsi="方正楷体_GBK" w:eastAsia="方正楷体_GBK" w:cs="方正楷体_GBK"/>
          <w:color w:val="auto"/>
          <w:sz w:val="31"/>
          <w:szCs w:val="31"/>
          <w:highlight w:val="none"/>
          <w:lang w:val="zh-CN" w:eastAsia="zh-CN"/>
        </w:rPr>
      </w:pPr>
      <w:r>
        <w:rPr>
          <w:rFonts w:hint="eastAsia" w:ascii="方正楷体_GBK" w:hAnsi="方正楷体_GBK" w:eastAsia="方正楷体_GBK" w:cs="方正楷体_GBK"/>
          <w:color w:val="auto"/>
          <w:sz w:val="31"/>
          <w:szCs w:val="31"/>
          <w:highlight w:val="none"/>
          <w:lang w:val="zh-CN" w:eastAsia="zh-CN"/>
        </w:rPr>
        <w:t>（二）政府采购情况</w:t>
      </w:r>
      <w:bookmarkEnd w:id="24"/>
      <w:bookmarkEnd w:id="2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zh-CN" w:eastAsia="zh-CN" w:bidi="ar-SA"/>
        </w:rPr>
        <w:t>2023年度政府采购支出总额19.16万元，其中：政府采购货物支出4.31万元、政府采购工程支出0.00万元、政府采购服务支出14.85万元。</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zh-CN" w:eastAsia="zh-CN" w:bidi="ar-SA"/>
        </w:rPr>
        <w:t>授予中小企业合同金额19.16万元，占政府采购支出总额的100.00%，其中：授予小微企业合同金额6.52万元，占政府采购支出总额的34.03%</w:t>
      </w:r>
      <w:r>
        <w:rPr>
          <w:rFonts w:hint="eastAsia" w:ascii="Times New Roman" w:hAnsi="Times New Roman" w:eastAsia="方正仿宋_GBK" w:cs="Times New Roman"/>
          <w:bCs/>
          <w:kern w:val="0"/>
          <w:sz w:val="31"/>
          <w:szCs w:val="31"/>
          <w:highlight w:val="none"/>
          <w:lang w:val="en-US" w:eastAsia="zh-CN" w:bidi="ar-SA"/>
        </w:rPr>
        <w:t>。</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楷体_GBK" w:hAnsi="方正楷体_GBK" w:eastAsia="方正楷体_GBK" w:cs="方正楷体_GBK"/>
          <w:color w:val="auto"/>
          <w:sz w:val="31"/>
          <w:szCs w:val="31"/>
          <w:highlight w:val="none"/>
          <w:lang w:val="zh-CN" w:eastAsia="zh-CN"/>
        </w:rPr>
      </w:pPr>
      <w:bookmarkStart w:id="26" w:name="_Toc8391"/>
      <w:bookmarkStart w:id="27" w:name="_Toc4591"/>
      <w:r>
        <w:rPr>
          <w:rFonts w:hint="eastAsia" w:ascii="方正楷体_GBK" w:hAnsi="方正楷体_GBK" w:eastAsia="方正楷体_GBK" w:cs="方正楷体_GBK"/>
          <w:color w:val="auto"/>
          <w:sz w:val="31"/>
          <w:szCs w:val="31"/>
          <w:highlight w:val="none"/>
          <w:lang w:val="zh-CN" w:eastAsia="zh-CN"/>
        </w:rPr>
        <w:t>（三）国有资产占用情况说明</w:t>
      </w:r>
      <w:bookmarkEnd w:id="26"/>
      <w:bookmarkEnd w:id="2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zh-CN" w:eastAsia="zh-CN" w:bidi="ar-SA"/>
        </w:rPr>
      </w:pPr>
      <w:r>
        <w:rPr>
          <w:rFonts w:hint="eastAsia" w:ascii="Times New Roman" w:hAnsi="Times New Roman" w:eastAsia="方正仿宋_GBK" w:cs="Times New Roman"/>
          <w:bCs/>
          <w:kern w:val="0"/>
          <w:sz w:val="31"/>
          <w:szCs w:val="31"/>
          <w:highlight w:val="none"/>
          <w:lang w:val="en-US" w:eastAsia="zh-CN" w:bidi="ar-SA"/>
        </w:rPr>
        <w:t>截至2023</w:t>
      </w:r>
      <w:r>
        <w:rPr>
          <w:rFonts w:hint="eastAsia" w:ascii="Times New Roman" w:hAnsi="Times New Roman" w:eastAsia="方正仿宋_GBK" w:cs="Times New Roman"/>
          <w:bCs/>
          <w:kern w:val="0"/>
          <w:sz w:val="31"/>
          <w:szCs w:val="31"/>
          <w:highlight w:val="none"/>
          <w:lang w:val="zh-CN" w:eastAsia="zh-CN" w:bidi="ar-SA"/>
        </w:rPr>
        <w:t>年</w:t>
      </w:r>
      <w:r>
        <w:rPr>
          <w:rFonts w:hint="eastAsia" w:ascii="Times New Roman" w:hAnsi="Times New Roman" w:eastAsia="方正仿宋_GBK" w:cs="Times New Roman"/>
          <w:bCs/>
          <w:kern w:val="0"/>
          <w:sz w:val="31"/>
          <w:szCs w:val="31"/>
          <w:highlight w:val="none"/>
          <w:lang w:val="en-US" w:eastAsia="zh-CN" w:bidi="ar-SA"/>
        </w:rPr>
        <w:t>12月31日</w:t>
      </w:r>
      <w:r>
        <w:rPr>
          <w:rFonts w:hint="eastAsia" w:ascii="Times New Roman" w:hAnsi="Times New Roman" w:eastAsia="方正仿宋_GBK" w:cs="Times New Roman"/>
          <w:bCs/>
          <w:kern w:val="0"/>
          <w:sz w:val="31"/>
          <w:szCs w:val="31"/>
          <w:highlight w:val="none"/>
          <w:lang w:val="zh-CN" w:eastAsia="zh-CN" w:bidi="ar-SA"/>
        </w:rPr>
        <w:t>，</w:t>
      </w:r>
      <w:r>
        <w:rPr>
          <w:rFonts w:hint="eastAsia" w:ascii="Times New Roman" w:hAnsi="Times New Roman" w:eastAsia="方正仿宋_GBK" w:cs="Times New Roman"/>
          <w:bCs/>
          <w:kern w:val="0"/>
          <w:sz w:val="31"/>
          <w:szCs w:val="31"/>
          <w:highlight w:val="none"/>
          <w:lang w:val="en-US" w:eastAsia="zh-CN" w:bidi="ar-SA"/>
        </w:rPr>
        <w:t>固定资产原值</w:t>
      </w:r>
      <w:r>
        <w:rPr>
          <w:rFonts w:hint="eastAsia" w:ascii="Times New Roman" w:hAnsi="Times New Roman" w:eastAsia="方正仿宋_GBK" w:cs="Times New Roman"/>
          <w:bCs/>
          <w:kern w:val="0"/>
          <w:sz w:val="31"/>
          <w:szCs w:val="31"/>
          <w:highlight w:val="none"/>
          <w:lang w:val="zh-CN" w:eastAsia="zh-CN" w:bidi="ar-SA"/>
        </w:rPr>
        <w:t>3,320.30</w:t>
      </w:r>
      <w:r>
        <w:rPr>
          <w:rFonts w:hint="eastAsia" w:ascii="Times New Roman" w:hAnsi="Times New Roman" w:eastAsia="方正仿宋_GBK" w:cs="Times New Roman"/>
          <w:bCs/>
          <w:kern w:val="0"/>
          <w:sz w:val="31"/>
          <w:szCs w:val="31"/>
          <w:highlight w:val="none"/>
          <w:lang w:val="en-US" w:eastAsia="zh-CN" w:bidi="ar-SA"/>
        </w:rPr>
        <w:t>万元，房</w:t>
      </w:r>
      <w:r>
        <w:rPr>
          <w:rFonts w:hint="eastAsia" w:ascii="Times New Roman" w:hAnsi="Times New Roman" w:eastAsia="方正仿宋_GBK" w:cs="Times New Roman"/>
          <w:bCs/>
          <w:kern w:val="0"/>
          <w:sz w:val="31"/>
          <w:szCs w:val="31"/>
          <w:highlight w:val="none"/>
          <w:lang w:val="zh-CN" w:eastAsia="zh-CN" w:bidi="ar-SA"/>
        </w:rPr>
        <w:t>屋8900.0平方米，价值1,426.05万元。车辆8辆，价值53.49万元，其中：副部（省）级及以上领导用车0辆、主要</w:t>
      </w:r>
      <w:r>
        <w:rPr>
          <w:rFonts w:hint="eastAsia" w:ascii="Times New Roman" w:hAnsi="Times New Roman" w:eastAsia="方正仿宋_GBK" w:cs="Times New Roman"/>
          <w:bCs/>
          <w:kern w:val="0"/>
          <w:sz w:val="31"/>
          <w:szCs w:val="31"/>
          <w:highlight w:val="none"/>
          <w:lang w:val="en-US" w:eastAsia="zh-CN" w:bidi="ar-SA"/>
        </w:rPr>
        <w:t>负责人</w:t>
      </w:r>
      <w:r>
        <w:rPr>
          <w:rFonts w:hint="eastAsia" w:ascii="Times New Roman" w:hAnsi="Times New Roman" w:eastAsia="方正仿宋_GBK" w:cs="Times New Roman"/>
          <w:bCs/>
          <w:kern w:val="0"/>
          <w:sz w:val="31"/>
          <w:szCs w:val="31"/>
          <w:highlight w:val="none"/>
          <w:lang w:val="zh-CN" w:eastAsia="zh-CN" w:bidi="ar-SA"/>
        </w:rPr>
        <w:t>用车0辆、机要通信用车0辆、应急保障用车0辆、执法执勤用车0辆、特种专业技术用车0辆、离退休干部</w:t>
      </w:r>
      <w:r>
        <w:rPr>
          <w:rFonts w:hint="eastAsia" w:ascii="Times New Roman" w:hAnsi="Times New Roman" w:eastAsia="方正仿宋_GBK" w:cs="Times New Roman"/>
          <w:bCs/>
          <w:kern w:val="0"/>
          <w:sz w:val="31"/>
          <w:szCs w:val="31"/>
          <w:highlight w:val="none"/>
          <w:lang w:val="en-US" w:eastAsia="zh-CN" w:bidi="ar-SA"/>
        </w:rPr>
        <w:t>服务</w:t>
      </w:r>
      <w:r>
        <w:rPr>
          <w:rFonts w:hint="eastAsia" w:ascii="Times New Roman" w:hAnsi="Times New Roman" w:eastAsia="方正仿宋_GBK" w:cs="Times New Roman"/>
          <w:bCs/>
          <w:kern w:val="0"/>
          <w:sz w:val="31"/>
          <w:szCs w:val="31"/>
          <w:highlight w:val="none"/>
          <w:lang w:val="zh-CN" w:eastAsia="zh-CN" w:bidi="ar-SA"/>
        </w:rPr>
        <w:t>用车0辆、其他用车8辆，其他用车主要是：</w:t>
      </w:r>
      <w:r>
        <w:rPr>
          <w:rFonts w:hint="eastAsia" w:ascii="Times New Roman" w:hAnsi="Times New Roman" w:eastAsia="方正仿宋_GBK" w:cs="Times New Roman"/>
          <w:bCs/>
          <w:kern w:val="0"/>
          <w:sz w:val="31"/>
          <w:szCs w:val="31"/>
          <w:highlight w:val="none"/>
          <w:lang w:val="en-US" w:eastAsia="zh-CN" w:bidi="ar-SA"/>
        </w:rPr>
        <w:t>街道、纪工委和各社区开展业务用车</w:t>
      </w:r>
      <w:r>
        <w:rPr>
          <w:rFonts w:hint="eastAsia" w:ascii="Times New Roman" w:hAnsi="Times New Roman" w:eastAsia="方正仿宋_GBK" w:cs="Times New Roman"/>
          <w:bCs/>
          <w:kern w:val="0"/>
          <w:sz w:val="31"/>
          <w:szCs w:val="31"/>
          <w:highlight w:val="none"/>
          <w:lang w:val="zh-CN" w:eastAsia="zh-CN" w:bidi="ar-SA"/>
        </w:rPr>
        <w:t>；单价100万元（含）以上设备（不含车辆）</w:t>
      </w:r>
      <w:r>
        <w:rPr>
          <w:rFonts w:hint="eastAsia" w:ascii="Times New Roman" w:hAnsi="Times New Roman" w:eastAsia="方正仿宋_GBK" w:cs="Times New Roman"/>
          <w:bCs/>
          <w:kern w:val="0"/>
          <w:sz w:val="31"/>
          <w:szCs w:val="31"/>
          <w:highlight w:val="none"/>
          <w:lang w:val="en-US" w:eastAsia="zh-CN" w:bidi="ar-SA"/>
        </w:rPr>
        <w:t>0</w:t>
      </w:r>
      <w:r>
        <w:rPr>
          <w:rFonts w:hint="eastAsia" w:ascii="Times New Roman" w:hAnsi="Times New Roman" w:eastAsia="方正仿宋_GBK" w:cs="Times New Roman"/>
          <w:bCs/>
          <w:kern w:val="0"/>
          <w:sz w:val="31"/>
          <w:szCs w:val="31"/>
          <w:highlight w:val="none"/>
          <w:lang w:val="zh-CN" w:eastAsia="zh-CN" w:bidi="ar-SA"/>
        </w:rPr>
        <w:t>套。</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outlineLvl w:val="1"/>
        <w:rPr>
          <w:rFonts w:hint="eastAsia" w:ascii="方正黑体_GBK" w:hAnsi="方正黑体_GBK" w:eastAsia="方正黑体_GBK" w:cs="方正黑体_GBK"/>
          <w:bCs/>
          <w:color w:val="auto"/>
          <w:kern w:val="0"/>
          <w:sz w:val="31"/>
          <w:szCs w:val="31"/>
          <w:highlight w:val="none"/>
          <w:lang w:eastAsia="zh-CN"/>
        </w:rPr>
      </w:pPr>
      <w:bookmarkStart w:id="28" w:name="_Toc435"/>
      <w:bookmarkStart w:id="29" w:name="_Toc11283"/>
      <w:r>
        <w:rPr>
          <w:rFonts w:hint="eastAsia" w:ascii="方正黑体_GBK" w:hAnsi="方正黑体_GBK" w:eastAsia="方正黑体_GBK" w:cs="方正黑体_GBK"/>
          <w:bCs/>
          <w:color w:val="auto"/>
          <w:kern w:val="0"/>
          <w:sz w:val="31"/>
          <w:szCs w:val="31"/>
          <w:highlight w:val="none"/>
          <w:lang w:eastAsia="zh-CN"/>
        </w:rPr>
        <w:t>十</w:t>
      </w:r>
      <w:r>
        <w:rPr>
          <w:rFonts w:hint="eastAsia" w:ascii="方正黑体_GBK" w:hAnsi="方正黑体_GBK" w:eastAsia="方正黑体_GBK" w:cs="方正黑体_GBK"/>
          <w:bCs/>
          <w:color w:val="auto"/>
          <w:kern w:val="0"/>
          <w:sz w:val="31"/>
          <w:szCs w:val="31"/>
          <w:highlight w:val="none"/>
          <w:lang w:val="en-US" w:eastAsia="zh-CN"/>
        </w:rPr>
        <w:t>一</w:t>
      </w:r>
      <w:r>
        <w:rPr>
          <w:rFonts w:hint="eastAsia" w:ascii="方正黑体_GBK" w:hAnsi="方正黑体_GBK" w:eastAsia="方正黑体_GBK" w:cs="方正黑体_GBK"/>
          <w:bCs/>
          <w:color w:val="auto"/>
          <w:kern w:val="0"/>
          <w:sz w:val="31"/>
          <w:szCs w:val="31"/>
          <w:highlight w:val="none"/>
          <w:lang w:eastAsia="zh-CN"/>
        </w:rPr>
        <w:t>、预算绩效的情况说明</w:t>
      </w:r>
      <w:bookmarkEnd w:id="28"/>
      <w:bookmarkEnd w:id="29"/>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根据预算绩效管理要求，我单位2023年度预算绩效管理整体支出绩效自评表1个，全年预算总额2039.12万元，实际执行总额2039.12万元；预算绩效评价项目6个，全年预算数87.86万元，全年执行数29.51万元。预算绩效管理取得的成效：一是各项资金的有效使用，对改善基层设施条件，加快构建现代化服务体系，为居民提供良好的生活环境，更好的长期开展基层综合治理工作起到了关键作用；二是为民办好事、办实事，提升了居民满意度。发现的问题及原因：一是项目资金执行率存在加强与上升空间，需要有关部门加强工作效率，在重点工作的完成率和完成度上都需要进一步提升。二是项目资金执行力度需进一步加强。下一步改进措施：一是细化预算编制工作，严格按照预算编制的相关制度和要求做好预算的编制，进一步加强预算管理意识；全面编制预算项目，优先保障固定的、相对刚性的费用支出项目，尽量压缩变动的、有控制空间的费用项目，进一步提高预算编制的科学性、严谨性和可控性；二是加强财务管理，严格财务审批。在费用保障支付时，按照预算规定的费用项目和用途进行资金使用、审核、列报支付，财务核算杜绝超预算支付的发生。三是加强项目实时监控，严格按照相关要求对相关项目的资金进行使用，确保资金专款专用及时有效。</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Times New Roman" w:hAnsi="Times New Roman" w:eastAsia="方正仿宋_GBK" w:cs="Times New Roman"/>
          <w:bCs/>
          <w:kern w:val="0"/>
          <w:sz w:val="31"/>
          <w:szCs w:val="31"/>
          <w:highlight w:val="none"/>
          <w:lang w:val="en-US" w:eastAsia="zh-CN" w:bidi="ar-SA"/>
        </w:rPr>
      </w:pPr>
      <w:r>
        <w:rPr>
          <w:rFonts w:hint="eastAsia" w:ascii="Times New Roman" w:hAnsi="Times New Roman" w:eastAsia="方正仿宋_GBK" w:cs="Times New Roman"/>
          <w:bCs/>
          <w:kern w:val="0"/>
          <w:sz w:val="31"/>
          <w:szCs w:val="31"/>
          <w:highlight w:val="none"/>
          <w:lang w:val="en-US" w:eastAsia="zh-CN" w:bidi="ar-SA"/>
        </w:rPr>
        <w:t>具体项目自评情况附绩效自评表及自评报告。</w:t>
      </w:r>
    </w:p>
    <w:p>
      <w:pPr>
        <w:keepNext w:val="0"/>
        <w:keepLines w:val="0"/>
        <w:pageBreakBefore w:val="0"/>
        <w:widowControl w:val="0"/>
        <w:kinsoku/>
        <w:wordWrap/>
        <w:overflowPunct/>
        <w:topLinePunct w:val="0"/>
        <w:bidi w:val="0"/>
        <w:adjustRightInd/>
        <w:snapToGrid/>
        <w:spacing w:line="560" w:lineRule="exact"/>
        <w:ind w:firstLine="620" w:firstLineChars="200"/>
        <w:jc w:val="left"/>
        <w:textAlignment w:val="auto"/>
        <w:rPr>
          <w:rFonts w:hint="eastAsia" w:ascii="方正黑体_GBK" w:hAnsi="方正黑体_GBK" w:eastAsia="方正黑体_GBK" w:cs="方正黑体_GBK"/>
          <w:bCs/>
          <w:color w:val="auto"/>
          <w:kern w:val="0"/>
          <w:sz w:val="31"/>
          <w:szCs w:val="31"/>
          <w:highlight w:val="none"/>
          <w:lang w:eastAsia="zh-CN"/>
        </w:rPr>
      </w:pPr>
      <w:r>
        <w:rPr>
          <w:rFonts w:hint="eastAsia" w:ascii="方正黑体_GBK" w:hAnsi="方正黑体_GBK" w:eastAsia="方正黑体_GBK" w:cs="方正黑体_GBK"/>
          <w:bCs/>
          <w:color w:val="auto"/>
          <w:kern w:val="0"/>
          <w:sz w:val="31"/>
          <w:szCs w:val="31"/>
          <w:highlight w:val="none"/>
          <w:lang w:eastAsia="zh-CN"/>
        </w:rPr>
        <w:t>十</w:t>
      </w:r>
      <w:r>
        <w:rPr>
          <w:rFonts w:hint="eastAsia" w:ascii="方正黑体_GBK" w:hAnsi="方正黑体_GBK" w:eastAsia="方正黑体_GBK" w:cs="方正黑体_GBK"/>
          <w:bCs/>
          <w:color w:val="auto"/>
          <w:kern w:val="0"/>
          <w:sz w:val="31"/>
          <w:szCs w:val="31"/>
          <w:highlight w:val="none"/>
          <w:lang w:val="en-US" w:eastAsia="zh-CN"/>
        </w:rPr>
        <w:t>二</w:t>
      </w:r>
      <w:r>
        <w:rPr>
          <w:rFonts w:hint="eastAsia" w:ascii="方正黑体_GBK" w:hAnsi="方正黑体_GBK" w:eastAsia="方正黑体_GBK" w:cs="方正黑体_GBK"/>
          <w:bCs/>
          <w:color w:val="auto"/>
          <w:kern w:val="0"/>
          <w:sz w:val="31"/>
          <w:szCs w:val="31"/>
          <w:highlight w:val="none"/>
          <w:lang w:eastAsia="zh-CN"/>
        </w:rPr>
        <w:t>、其他需说明的事项</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pacing w:val="0"/>
          <w:sz w:val="31"/>
          <w:szCs w:val="31"/>
          <w:highlight w:val="none"/>
          <w:lang w:val="en-US" w:eastAsia="zh-CN"/>
        </w:rPr>
      </w:pPr>
      <w:r>
        <w:rPr>
          <w:rFonts w:hint="eastAsia" w:ascii="方正仿宋_GBK" w:hAnsi="方正仿宋_GBK" w:eastAsia="方正仿宋_GBK" w:cs="方正仿宋_GBK"/>
          <w:color w:val="auto"/>
          <w:spacing w:val="0"/>
          <w:sz w:val="31"/>
          <w:szCs w:val="31"/>
          <w:highlight w:val="none"/>
          <w:lang w:val="en-US" w:eastAsia="zh-CN"/>
        </w:rPr>
        <w:t>本单位无其他需说明事项。</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center"/>
        <w:textAlignment w:val="auto"/>
        <w:rPr>
          <w:rFonts w:hint="eastAsia" w:ascii="黑体" w:hAnsi="黑体" w:eastAsia="黑体"/>
          <w:color w:val="auto"/>
          <w:sz w:val="32"/>
          <w:szCs w:val="32"/>
          <w:highlight w:val="none"/>
        </w:rPr>
      </w:pPr>
      <w:bookmarkStart w:id="30" w:name="_Toc3250"/>
      <w:bookmarkStart w:id="31" w:name="_Toc24143"/>
      <w:r>
        <w:rPr>
          <w:rFonts w:hint="eastAsia" w:ascii="方正仿宋_GBK" w:hAnsi="方正仿宋_GBK" w:eastAsia="方正仿宋_GBK" w:cs="方正仿宋_GBK"/>
          <w:color w:val="auto"/>
          <w:spacing w:val="0"/>
          <w:sz w:val="31"/>
          <w:szCs w:val="31"/>
          <w:highlight w:val="none"/>
          <w:lang w:val="en-US" w:eastAsia="zh-CN"/>
        </w:rPr>
        <w:br w:type="page"/>
      </w:r>
      <w:r>
        <w:rPr>
          <w:rFonts w:hint="eastAsia" w:ascii="方正小标宋_GBK" w:hAnsi="方正小标宋_GBK" w:eastAsia="方正小标宋_GBK" w:cs="方正小标宋_GBK"/>
          <w:color w:val="auto"/>
          <w:sz w:val="31"/>
          <w:szCs w:val="31"/>
          <w:highlight w:val="none"/>
        </w:rPr>
        <w:t>第</w:t>
      </w:r>
      <w:r>
        <w:rPr>
          <w:rFonts w:hint="eastAsia" w:ascii="方正小标宋_GBK" w:hAnsi="方正小标宋_GBK" w:eastAsia="方正小标宋_GBK" w:cs="方正小标宋_GBK"/>
          <w:color w:val="auto"/>
          <w:sz w:val="31"/>
          <w:szCs w:val="31"/>
          <w:highlight w:val="none"/>
          <w:lang w:val="en-US" w:eastAsia="zh-CN"/>
        </w:rPr>
        <w:t>三</w:t>
      </w:r>
      <w:r>
        <w:rPr>
          <w:rFonts w:hint="eastAsia" w:ascii="方正小标宋_GBK" w:hAnsi="方正小标宋_GBK" w:eastAsia="方正小标宋_GBK" w:cs="方正小标宋_GBK"/>
          <w:color w:val="auto"/>
          <w:sz w:val="31"/>
          <w:szCs w:val="31"/>
          <w:highlight w:val="none"/>
        </w:rPr>
        <w:t>部分 专业名词解释</w:t>
      </w:r>
      <w:bookmarkEnd w:id="30"/>
      <w:bookmarkEnd w:id="31"/>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仿宋_GB2312" w:eastAsia="仿宋_GB2312"/>
          <w:color w:val="auto"/>
          <w:sz w:val="32"/>
          <w:szCs w:val="32"/>
          <w:highlight w:val="none"/>
        </w:rPr>
      </w:pPr>
      <w:r>
        <w:rPr>
          <w:rFonts w:hint="eastAsia" w:ascii="方正黑体_GBK" w:hAnsi="方正黑体_GBK" w:eastAsia="方正黑体_GBK" w:cs="方正黑体_GBK"/>
          <w:b w:val="0"/>
          <w:bCs w:val="0"/>
          <w:color w:val="auto"/>
          <w:sz w:val="31"/>
          <w:szCs w:val="31"/>
          <w:highlight w:val="none"/>
          <w:lang w:val="en-US" w:eastAsia="zh-CN"/>
        </w:rPr>
        <w:t>一、</w:t>
      </w:r>
      <w:r>
        <w:rPr>
          <w:rFonts w:hint="eastAsia" w:ascii="方正黑体_GBK" w:hAnsi="方正黑体_GBK" w:eastAsia="方正黑体_GBK" w:cs="方正黑体_GBK"/>
          <w:b w:val="0"/>
          <w:bCs w:val="0"/>
          <w:color w:val="auto"/>
          <w:sz w:val="31"/>
          <w:szCs w:val="31"/>
          <w:highlight w:val="none"/>
        </w:rPr>
        <w:t>财政拨款收入：</w:t>
      </w:r>
      <w:r>
        <w:rPr>
          <w:rFonts w:hint="eastAsia" w:ascii="方正仿宋_GBK" w:hAnsi="方正仿宋_GBK" w:eastAsia="方正仿宋_GBK" w:cs="方正仿宋_GBK"/>
          <w:color w:val="auto"/>
          <w:sz w:val="31"/>
          <w:szCs w:val="31"/>
          <w:highlight w:val="none"/>
        </w:rPr>
        <w:t>指同级财政当年拨付的资金。</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黑体_GBK" w:hAnsi="方正黑体_GBK" w:eastAsia="方正黑体_GBK" w:cs="方正黑体_GBK"/>
          <w:b w:val="0"/>
          <w:bCs w:val="0"/>
          <w:color w:val="auto"/>
          <w:sz w:val="31"/>
          <w:szCs w:val="31"/>
          <w:highlight w:val="none"/>
          <w:lang w:val="en-US" w:eastAsia="zh-CN"/>
        </w:rPr>
        <w:t>二、上级补助收入：</w:t>
      </w:r>
      <w:r>
        <w:rPr>
          <w:rFonts w:hint="eastAsia" w:ascii="方正仿宋_GBK" w:hAnsi="方正仿宋_GBK" w:eastAsia="方正仿宋_GBK" w:cs="方正仿宋_GBK"/>
          <w:color w:val="auto"/>
          <w:sz w:val="31"/>
          <w:szCs w:val="31"/>
          <w:highlight w:val="none"/>
        </w:rPr>
        <w:t>指事业单位从主管部门和上级单位取得的非财政补助收入。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黑体_GBK" w:hAnsi="方正黑体_GBK" w:eastAsia="方正黑体_GBK" w:cs="方正黑体_GBK"/>
          <w:b w:val="0"/>
          <w:bCs w:val="0"/>
          <w:color w:val="auto"/>
          <w:sz w:val="31"/>
          <w:szCs w:val="31"/>
          <w:highlight w:val="none"/>
          <w:lang w:val="en-US" w:eastAsia="zh-CN"/>
        </w:rPr>
        <w:t>三、事业收入：</w:t>
      </w:r>
      <w:r>
        <w:rPr>
          <w:rFonts w:hint="eastAsia" w:ascii="方正仿宋_GBK" w:hAnsi="方正仿宋_GBK" w:eastAsia="方正仿宋_GBK" w:cs="方正仿宋_GBK"/>
          <w:color w:val="auto"/>
          <w:sz w:val="31"/>
          <w:szCs w:val="31"/>
          <w:highlight w:val="none"/>
        </w:rPr>
        <w:t>指事业单位开展专业业务活动及其辅助活动所取得的收入。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仿宋_GB2312" w:eastAsia="仿宋_GB2312"/>
          <w:color w:val="auto"/>
          <w:sz w:val="32"/>
          <w:szCs w:val="32"/>
          <w:highlight w:val="none"/>
        </w:rPr>
      </w:pPr>
      <w:r>
        <w:rPr>
          <w:rFonts w:hint="eastAsia" w:ascii="方正黑体_GBK" w:hAnsi="方正黑体_GBK" w:eastAsia="方正黑体_GBK" w:cs="方正黑体_GBK"/>
          <w:b w:val="0"/>
          <w:bCs w:val="0"/>
          <w:color w:val="auto"/>
          <w:sz w:val="31"/>
          <w:szCs w:val="31"/>
          <w:highlight w:val="none"/>
          <w:lang w:val="en-US" w:eastAsia="zh-CN"/>
        </w:rPr>
        <w:t>四、经营收入：</w:t>
      </w:r>
      <w:r>
        <w:rPr>
          <w:rFonts w:hint="eastAsia" w:ascii="方正仿宋_GBK" w:hAnsi="方正仿宋_GBK" w:eastAsia="方正仿宋_GBK" w:cs="方正仿宋_GBK"/>
          <w:color w:val="auto"/>
          <w:sz w:val="31"/>
          <w:szCs w:val="31"/>
          <w:highlight w:val="none"/>
        </w:rPr>
        <w:t>指事业单位在专业业务活动及其辅助活动之外开展非独立核算经营活动取得的收入。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黑体_GBK" w:hAnsi="方正黑体_GBK" w:eastAsia="方正黑体_GBK" w:cs="方正黑体_GBK"/>
          <w:b w:val="0"/>
          <w:bCs w:val="0"/>
          <w:color w:val="auto"/>
          <w:sz w:val="31"/>
          <w:szCs w:val="31"/>
          <w:highlight w:val="none"/>
          <w:lang w:val="en-US" w:eastAsia="zh-CN"/>
        </w:rPr>
        <w:t>五、附属单位上缴收入：</w:t>
      </w:r>
      <w:r>
        <w:rPr>
          <w:rFonts w:hint="eastAsia" w:ascii="方正仿宋_GBK" w:hAnsi="方正仿宋_GBK" w:eastAsia="方正仿宋_GBK" w:cs="方正仿宋_GBK"/>
          <w:color w:val="auto"/>
          <w:sz w:val="31"/>
          <w:szCs w:val="31"/>
          <w:highlight w:val="none"/>
        </w:rPr>
        <w:t>指事业单位附属的独立核算单位按有关规定上缴的收入。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黑体_GBK" w:hAnsi="方正黑体_GBK" w:eastAsia="方正黑体_GBK" w:cs="方正黑体_GBK"/>
          <w:b w:val="0"/>
          <w:bCs w:val="0"/>
          <w:color w:val="auto"/>
          <w:sz w:val="31"/>
          <w:szCs w:val="31"/>
          <w:highlight w:val="none"/>
          <w:lang w:val="en-US" w:eastAsia="zh-CN"/>
        </w:rPr>
        <w:t>六、其他收入：</w:t>
      </w:r>
      <w:r>
        <w:rPr>
          <w:rFonts w:hint="eastAsia" w:ascii="方正仿宋_GBK" w:hAnsi="方正仿宋_GBK" w:eastAsia="方正仿宋_GBK" w:cs="方正仿宋_GBK"/>
          <w:color w:val="auto"/>
          <w:sz w:val="31"/>
          <w:szCs w:val="31"/>
          <w:highlight w:val="none"/>
        </w:rPr>
        <w:t>指除上述“财政拨款收入”、“事业收入”、“经营收入”、“附属单位上缴收入”等之外取得的收入。</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黑体_GBK" w:hAnsi="方正黑体_GBK" w:eastAsia="方正黑体_GBK" w:cs="方正黑体_GBK"/>
          <w:b w:val="0"/>
          <w:bCs w:val="0"/>
          <w:color w:val="auto"/>
          <w:sz w:val="31"/>
          <w:szCs w:val="31"/>
          <w:highlight w:val="none"/>
          <w:lang w:val="en-US" w:eastAsia="zh-CN"/>
        </w:rPr>
        <w:t>七、年初结转和结余：</w:t>
      </w:r>
      <w:r>
        <w:rPr>
          <w:rFonts w:hint="eastAsia" w:ascii="方正仿宋_GBK" w:hAnsi="方正仿宋_GBK" w:eastAsia="方正仿宋_GBK" w:cs="方正仿宋_GBK"/>
          <w:color w:val="auto"/>
          <w:sz w:val="31"/>
          <w:szCs w:val="31"/>
          <w:highlight w:val="none"/>
        </w:rPr>
        <w:t>指以前年度支出预算因客观条件变化未执行完毕、结转到本年度按有关规定继续使用的资金，既包括财政拨款结转和结余，也包括事业收入、经营收入、其他收入的结转和结余。</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黑体_GBK" w:hAnsi="方正黑体_GBK" w:eastAsia="方正黑体_GBK" w:cs="方正黑体_GBK"/>
          <w:b w:val="0"/>
          <w:bCs w:val="0"/>
          <w:color w:val="auto"/>
          <w:sz w:val="31"/>
          <w:szCs w:val="31"/>
          <w:highlight w:val="none"/>
          <w:lang w:val="en-US" w:eastAsia="zh-CN"/>
        </w:rPr>
        <w:t>八、年末结转和结余：</w:t>
      </w:r>
      <w:r>
        <w:rPr>
          <w:rFonts w:hint="eastAsia" w:ascii="方正仿宋_GBK" w:hAnsi="方正仿宋_GBK" w:eastAsia="方正仿宋_GBK" w:cs="方正仿宋_GBK"/>
          <w:color w:val="auto"/>
          <w:sz w:val="31"/>
          <w:szCs w:val="31"/>
          <w:highlight w:val="none"/>
        </w:rPr>
        <w:t>指本年度或以前年度预算安排、因客观条件发生变化无法按原计划实施，需要延迟到以后年度按有关规定继续使用的资金，既包括财政拨款结转和结余，也包括事业收入、经营收入、其他收入的结转和结余。</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黑体_GBK" w:hAnsi="方正黑体_GBK" w:eastAsia="方正黑体_GBK" w:cs="方正黑体_GBK"/>
          <w:b w:val="0"/>
          <w:bCs w:val="0"/>
          <w:color w:val="auto"/>
          <w:sz w:val="31"/>
          <w:szCs w:val="31"/>
          <w:highlight w:val="none"/>
          <w:lang w:val="en-US" w:eastAsia="zh-CN"/>
        </w:rPr>
        <w:t>九、基本支出：</w:t>
      </w:r>
      <w:r>
        <w:rPr>
          <w:rFonts w:hint="eastAsia" w:ascii="方正仿宋_GBK" w:hAnsi="方正仿宋_GBK" w:eastAsia="方正仿宋_GBK" w:cs="方正仿宋_GBK"/>
          <w:color w:val="auto"/>
          <w:sz w:val="31"/>
          <w:szCs w:val="31"/>
          <w:highlight w:val="none"/>
        </w:rPr>
        <w:t>指为保障机构正常运转、完成日常工作任务而发生的人员支出和公用支出。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jc w:val="left"/>
        <w:textAlignment w:val="auto"/>
        <w:rPr>
          <w:rFonts w:hint="eastAsia" w:ascii="方正仿宋_GBK" w:hAnsi="方正仿宋_GBK" w:eastAsia="方正仿宋_GBK" w:cs="方正仿宋_GBK"/>
          <w:color w:val="auto"/>
          <w:sz w:val="31"/>
          <w:szCs w:val="31"/>
          <w:highlight w:val="none"/>
        </w:rPr>
      </w:pPr>
      <w:r>
        <w:rPr>
          <w:rFonts w:hint="eastAsia" w:ascii="方正黑体_GBK" w:hAnsi="方正黑体_GBK" w:eastAsia="方正黑体_GBK" w:cs="方正黑体_GBK"/>
          <w:b w:val="0"/>
          <w:bCs w:val="0"/>
          <w:color w:val="auto"/>
          <w:sz w:val="31"/>
          <w:szCs w:val="31"/>
          <w:highlight w:val="none"/>
          <w:lang w:val="en-US" w:eastAsia="zh-CN"/>
        </w:rPr>
        <w:t>十、项目支出：</w:t>
      </w:r>
      <w:r>
        <w:rPr>
          <w:rFonts w:hint="eastAsia" w:ascii="方正仿宋_GBK" w:hAnsi="方正仿宋_GBK" w:eastAsia="方正仿宋_GBK" w:cs="方正仿宋_GBK"/>
          <w:color w:val="auto"/>
          <w:sz w:val="31"/>
          <w:szCs w:val="31"/>
          <w:highlight w:val="none"/>
        </w:rPr>
        <w:t>指在基本支出之外为完成特定行政任务和事业发展目标所发生的支出。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rPr>
      </w:pPr>
      <w:r>
        <w:rPr>
          <w:rFonts w:hint="eastAsia" w:ascii="方正黑体_GBK" w:hAnsi="方正黑体_GBK" w:eastAsia="方正黑体_GBK" w:cs="方正黑体_GBK"/>
          <w:b w:val="0"/>
          <w:bCs w:val="0"/>
          <w:color w:val="auto"/>
          <w:sz w:val="31"/>
          <w:szCs w:val="31"/>
          <w:highlight w:val="none"/>
          <w:lang w:val="en-US" w:eastAsia="zh-CN"/>
        </w:rPr>
        <w:t>十一、经营支出：</w:t>
      </w:r>
      <w:r>
        <w:rPr>
          <w:rFonts w:hint="eastAsia" w:ascii="方正仿宋_GBK" w:hAnsi="方正仿宋_GBK" w:eastAsia="方正仿宋_GBK" w:cs="方正仿宋_GBK"/>
          <w:color w:val="auto"/>
          <w:sz w:val="31"/>
          <w:szCs w:val="31"/>
          <w:highlight w:val="none"/>
        </w:rPr>
        <w:t>指事业单位在专业业务活动及其辅助活动之外开展非独立核算经营活动发生的支出。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rPr>
      </w:pPr>
      <w:r>
        <w:rPr>
          <w:rFonts w:hint="eastAsia" w:ascii="方正黑体_GBK" w:hAnsi="方正黑体_GBK" w:eastAsia="方正黑体_GBK" w:cs="方正黑体_GBK"/>
          <w:b w:val="0"/>
          <w:bCs w:val="0"/>
          <w:color w:val="auto"/>
          <w:sz w:val="31"/>
          <w:szCs w:val="31"/>
          <w:highlight w:val="none"/>
          <w:lang w:val="en-US" w:eastAsia="zh-CN"/>
        </w:rPr>
        <w:t>十二、对附属单位补助支出：</w:t>
      </w:r>
      <w:r>
        <w:rPr>
          <w:rFonts w:hint="eastAsia" w:ascii="方正仿宋_GBK" w:hAnsi="方正仿宋_GBK" w:eastAsia="方正仿宋_GBK" w:cs="方正仿宋_GBK"/>
          <w:color w:val="auto"/>
          <w:sz w:val="31"/>
          <w:szCs w:val="31"/>
          <w:highlight w:val="none"/>
        </w:rPr>
        <w:t>指事业单位发生的用非财政预算资金对附属单位的补助支出。</w:t>
      </w:r>
    </w:p>
    <w:p>
      <w:pPr>
        <w:keepNext w:val="0"/>
        <w:keepLines w:val="0"/>
        <w:pageBreakBefore w:val="0"/>
        <w:widowControl w:val="0"/>
        <w:kinsoku/>
        <w:wordWrap/>
        <w:overflowPunct/>
        <w:topLinePunct w:val="0"/>
        <w:autoSpaceDE w:val="0"/>
        <w:autoSpaceDN w:val="0"/>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lang w:eastAsia="zh-CN"/>
        </w:rPr>
      </w:pPr>
      <w:r>
        <w:rPr>
          <w:rFonts w:hint="eastAsia" w:ascii="方正黑体_GBK" w:hAnsi="方正黑体_GBK" w:eastAsia="方正黑体_GBK" w:cs="方正黑体_GBK"/>
          <w:b w:val="0"/>
          <w:bCs w:val="0"/>
          <w:color w:val="auto"/>
          <w:sz w:val="31"/>
          <w:szCs w:val="31"/>
          <w:highlight w:val="none"/>
          <w:lang w:val="en-US" w:eastAsia="zh-CN"/>
        </w:rPr>
        <w:t>十三、“三公”经费：</w:t>
      </w:r>
      <w:r>
        <w:rPr>
          <w:rFonts w:hint="eastAsia" w:ascii="方正仿宋_GBK" w:hAnsi="方正仿宋_GBK" w:eastAsia="方正仿宋_GBK" w:cs="方正仿宋_GBK"/>
          <w:color w:val="auto"/>
          <w:sz w:val="31"/>
          <w:szCs w:val="31"/>
          <w:highlight w:val="none"/>
        </w:rPr>
        <w:t>指用财政拨款安排的因公出国（境）费、公务用车购置及运行费和公务接待费。其中，因公出国（境）费反映单位公务出国（境）的</w:t>
      </w:r>
      <w:r>
        <w:rPr>
          <w:rFonts w:hint="eastAsia" w:ascii="方正仿宋_GBK" w:hAnsi="方正仿宋_GBK" w:eastAsia="方正仿宋_GBK" w:cs="方正仿宋_GBK"/>
          <w:color w:val="auto"/>
          <w:sz w:val="31"/>
          <w:szCs w:val="31"/>
          <w:highlight w:val="none"/>
          <w:lang w:eastAsia="zh-CN"/>
        </w:rPr>
        <w:t>国际旅费、国外城市间交通费、</w:t>
      </w:r>
      <w:r>
        <w:rPr>
          <w:rFonts w:hint="eastAsia" w:ascii="方正仿宋_GBK" w:hAnsi="方正仿宋_GBK" w:eastAsia="方正仿宋_GBK" w:cs="方正仿宋_GBK"/>
          <w:color w:val="auto"/>
          <w:sz w:val="31"/>
          <w:szCs w:val="31"/>
          <w:highlight w:val="none"/>
        </w:rPr>
        <w:t>住宿费、伙食费、培训费、</w:t>
      </w:r>
      <w:r>
        <w:rPr>
          <w:rFonts w:hint="eastAsia" w:ascii="方正仿宋_GBK" w:hAnsi="方正仿宋_GBK" w:eastAsia="方正仿宋_GBK" w:cs="方正仿宋_GBK"/>
          <w:color w:val="auto"/>
          <w:sz w:val="31"/>
          <w:szCs w:val="31"/>
          <w:highlight w:val="none"/>
          <w:lang w:eastAsia="zh-CN"/>
        </w:rPr>
        <w:t>公</w:t>
      </w:r>
      <w:r>
        <w:rPr>
          <w:rFonts w:hint="eastAsia" w:ascii="方正仿宋_GBK" w:hAnsi="方正仿宋_GBK" w:eastAsia="方正仿宋_GBK" w:cs="方正仿宋_GBK"/>
          <w:color w:val="auto"/>
          <w:sz w:val="31"/>
          <w:szCs w:val="31"/>
          <w:highlight w:val="none"/>
        </w:rPr>
        <w:t>杂费等支出；公务用车购置费</w:t>
      </w:r>
      <w:r>
        <w:rPr>
          <w:rFonts w:hint="eastAsia" w:ascii="方正仿宋_GBK" w:hAnsi="方正仿宋_GBK" w:eastAsia="方正仿宋_GBK" w:cs="方正仿宋_GBK"/>
          <w:color w:val="auto"/>
          <w:sz w:val="31"/>
          <w:szCs w:val="31"/>
          <w:highlight w:val="none"/>
          <w:lang w:eastAsia="zh-CN"/>
        </w:rPr>
        <w:t>反映公务用车购置支出（含车辆购置税、牌照费）；</w:t>
      </w:r>
      <w:r>
        <w:rPr>
          <w:rFonts w:hint="eastAsia" w:ascii="方正仿宋_GBK" w:hAnsi="方正仿宋_GBK" w:eastAsia="方正仿宋_GBK" w:cs="方正仿宋_GBK"/>
          <w:color w:val="auto"/>
          <w:sz w:val="31"/>
          <w:szCs w:val="31"/>
          <w:highlight w:val="none"/>
        </w:rPr>
        <w:t>公务用车运行</w:t>
      </w:r>
      <w:r>
        <w:rPr>
          <w:rFonts w:hint="eastAsia" w:ascii="方正仿宋_GBK" w:hAnsi="方正仿宋_GBK" w:eastAsia="方正仿宋_GBK" w:cs="方正仿宋_GBK"/>
          <w:color w:val="auto"/>
          <w:sz w:val="31"/>
          <w:szCs w:val="31"/>
          <w:highlight w:val="none"/>
          <w:lang w:eastAsia="zh-CN"/>
        </w:rPr>
        <w:t>维护</w:t>
      </w:r>
      <w:r>
        <w:rPr>
          <w:rFonts w:hint="eastAsia" w:ascii="方正仿宋_GBK" w:hAnsi="方正仿宋_GBK" w:eastAsia="方正仿宋_GBK" w:cs="方正仿宋_GBK"/>
          <w:color w:val="auto"/>
          <w:sz w:val="31"/>
          <w:szCs w:val="31"/>
          <w:highlight w:val="none"/>
        </w:rPr>
        <w:t>费反映</w:t>
      </w:r>
      <w:r>
        <w:rPr>
          <w:rFonts w:hint="eastAsia" w:ascii="方正仿宋_GBK" w:hAnsi="方正仿宋_GBK" w:eastAsia="方正仿宋_GBK" w:cs="方正仿宋_GBK"/>
          <w:color w:val="auto"/>
          <w:sz w:val="31"/>
          <w:szCs w:val="31"/>
          <w:highlight w:val="none"/>
          <w:lang w:eastAsia="zh-CN"/>
        </w:rPr>
        <w:t>单位按规定保留的公务用车燃料费、维修费、</w:t>
      </w:r>
      <w:r>
        <w:rPr>
          <w:rFonts w:hint="eastAsia" w:ascii="方正仿宋_GBK" w:hAnsi="方正仿宋_GBK" w:eastAsia="方正仿宋_GBK" w:cs="方正仿宋_GBK"/>
          <w:color w:val="auto"/>
          <w:sz w:val="31"/>
          <w:szCs w:val="31"/>
          <w:highlight w:val="none"/>
        </w:rPr>
        <w:t>过路过桥费、保险费、安全奖励费用等支出</w:t>
      </w:r>
      <w:r>
        <w:rPr>
          <w:rFonts w:hint="eastAsia" w:ascii="方正仿宋_GBK" w:hAnsi="方正仿宋_GBK" w:eastAsia="方正仿宋_GBK" w:cs="方正仿宋_GBK"/>
          <w:color w:val="auto"/>
          <w:sz w:val="31"/>
          <w:szCs w:val="31"/>
          <w:highlight w:val="none"/>
          <w:lang w:eastAsia="zh-CN"/>
        </w:rPr>
        <w:t>；</w:t>
      </w:r>
      <w:r>
        <w:rPr>
          <w:rFonts w:hint="eastAsia" w:ascii="方正仿宋_GBK" w:hAnsi="方正仿宋_GBK" w:eastAsia="方正仿宋_GBK" w:cs="方正仿宋_GBK"/>
          <w:color w:val="auto"/>
          <w:sz w:val="31"/>
          <w:szCs w:val="31"/>
          <w:highlight w:val="none"/>
        </w:rPr>
        <w:t>公务接待费反映单位按规定开支的各类公务接待（含外宾接待）</w:t>
      </w:r>
      <w:r>
        <w:rPr>
          <w:rFonts w:hint="eastAsia" w:ascii="方正仿宋_GBK" w:hAnsi="方正仿宋_GBK" w:eastAsia="方正仿宋_GBK" w:cs="方正仿宋_GBK"/>
          <w:color w:val="auto"/>
          <w:sz w:val="31"/>
          <w:szCs w:val="31"/>
          <w:highlight w:val="none"/>
          <w:lang w:eastAsia="zh-CN"/>
        </w:rPr>
        <w:t>费用</w:t>
      </w:r>
      <w:r>
        <w:rPr>
          <w:rFonts w:hint="eastAsia" w:ascii="方正仿宋_GBK" w:hAnsi="方正仿宋_GBK" w:eastAsia="方正仿宋_GBK" w:cs="方正仿宋_GBK"/>
          <w:color w:val="auto"/>
          <w:sz w:val="31"/>
          <w:szCs w:val="31"/>
          <w:highlight w:val="none"/>
        </w:rPr>
        <w:t>。</w:t>
      </w:r>
    </w:p>
    <w:p>
      <w:pPr>
        <w:keepNext w:val="0"/>
        <w:keepLines w:val="0"/>
        <w:pageBreakBefore w:val="0"/>
        <w:widowControl w:val="0"/>
        <w:kinsoku/>
        <w:wordWrap/>
        <w:overflowPunct/>
        <w:topLinePunct w:val="0"/>
        <w:bidi w:val="0"/>
        <w:adjustRightInd/>
        <w:snapToGrid/>
        <w:spacing w:line="560" w:lineRule="exact"/>
        <w:ind w:firstLine="620" w:firstLineChars="200"/>
        <w:textAlignment w:val="auto"/>
        <w:rPr>
          <w:rFonts w:hint="eastAsia" w:ascii="方正仿宋_GBK" w:hAnsi="方正仿宋_GBK" w:eastAsia="方正仿宋_GBK" w:cs="方正仿宋_GBK"/>
          <w:color w:val="auto"/>
          <w:sz w:val="31"/>
          <w:szCs w:val="31"/>
          <w:highlight w:val="none"/>
        </w:rPr>
      </w:pPr>
      <w:r>
        <w:rPr>
          <w:rFonts w:hint="eastAsia" w:ascii="方正黑体_GBK" w:hAnsi="方正黑体_GBK" w:eastAsia="方正黑体_GBK" w:cs="方正黑体_GBK"/>
          <w:b w:val="0"/>
          <w:bCs w:val="0"/>
          <w:color w:val="auto"/>
          <w:sz w:val="31"/>
          <w:szCs w:val="31"/>
          <w:highlight w:val="none"/>
          <w:lang w:val="en-US" w:eastAsia="zh-CN"/>
        </w:rPr>
        <w:t>十四、机关运行经费：</w:t>
      </w:r>
      <w:r>
        <w:rPr>
          <w:rFonts w:hint="eastAsia" w:ascii="方正仿宋_GBK" w:hAnsi="方正仿宋_GBK" w:eastAsia="方正仿宋_GBK" w:cs="方正仿宋_GBK"/>
          <w:color w:val="auto"/>
          <w:sz w:val="31"/>
          <w:szCs w:val="31"/>
          <w:highlight w:val="none"/>
        </w:rPr>
        <w:t>行政单位和参照公务员法管理的事业单位财政拨款基本支出中的公用经费支出。</w:t>
      </w: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center"/>
        <w:textAlignment w:val="auto"/>
        <w:outlineLvl w:val="0"/>
        <w:rPr>
          <w:rFonts w:hint="eastAsia" w:ascii="黑体" w:hAnsi="黑体" w:eastAsia="黑体"/>
          <w:color w:val="auto"/>
          <w:sz w:val="32"/>
          <w:szCs w:val="32"/>
          <w:highlight w:val="none"/>
        </w:rPr>
      </w:pPr>
      <w:r>
        <w:rPr>
          <w:rFonts w:hint="eastAsia" w:ascii="仿宋_GB2312" w:eastAsia="仿宋_GB2312"/>
          <w:color w:val="auto"/>
          <w:sz w:val="32"/>
          <w:szCs w:val="32"/>
          <w:highlight w:val="none"/>
        </w:rPr>
        <w:br w:type="page"/>
      </w:r>
      <w:r>
        <w:rPr>
          <w:rFonts w:hint="eastAsia" w:ascii="方正小标宋_GBK" w:hAnsi="方正小标宋_GBK" w:eastAsia="方正小标宋_GBK" w:cs="方正小标宋_GBK"/>
          <w:color w:val="auto"/>
          <w:sz w:val="31"/>
          <w:szCs w:val="31"/>
          <w:highlight w:val="none"/>
        </w:rPr>
        <w:t>第四部分 部门决算报表（见附表）</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仿宋_GBK" w:hAnsi="方正仿宋_GBK" w:eastAsia="方正仿宋_GBK" w:cs="方正仿宋_GBK"/>
          <w:bCs/>
          <w:color w:val="auto"/>
          <w:kern w:val="0"/>
          <w:sz w:val="31"/>
          <w:szCs w:val="31"/>
          <w:highlight w:val="none"/>
        </w:rPr>
      </w:pPr>
      <w:bookmarkStart w:id="32" w:name="_Toc6062"/>
      <w:bookmarkStart w:id="33" w:name="_Toc2183"/>
      <w:r>
        <w:rPr>
          <w:rFonts w:hint="eastAsia" w:ascii="方正仿宋_GBK" w:hAnsi="方正仿宋_GBK" w:eastAsia="方正仿宋_GBK" w:cs="方正仿宋_GBK"/>
          <w:bCs/>
          <w:color w:val="auto"/>
          <w:kern w:val="0"/>
          <w:sz w:val="31"/>
          <w:szCs w:val="31"/>
          <w:highlight w:val="none"/>
        </w:rPr>
        <w:t>一、《收入支出决算总表》</w:t>
      </w:r>
      <w:bookmarkEnd w:id="32"/>
      <w:bookmarkEnd w:id="33"/>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仿宋_GBK" w:hAnsi="方正仿宋_GBK" w:eastAsia="方正仿宋_GBK" w:cs="方正仿宋_GBK"/>
          <w:bCs/>
          <w:color w:val="auto"/>
          <w:kern w:val="0"/>
          <w:sz w:val="31"/>
          <w:szCs w:val="31"/>
          <w:highlight w:val="none"/>
        </w:rPr>
      </w:pPr>
      <w:bookmarkStart w:id="34" w:name="_Toc30364"/>
      <w:bookmarkStart w:id="35" w:name="_Toc24532"/>
      <w:r>
        <w:rPr>
          <w:rFonts w:hint="eastAsia" w:ascii="方正仿宋_GBK" w:hAnsi="方正仿宋_GBK" w:eastAsia="方正仿宋_GBK" w:cs="方正仿宋_GBK"/>
          <w:bCs/>
          <w:color w:val="auto"/>
          <w:kern w:val="0"/>
          <w:sz w:val="31"/>
          <w:szCs w:val="31"/>
          <w:highlight w:val="none"/>
        </w:rPr>
        <w:t>二、《收入决算表》</w:t>
      </w:r>
      <w:bookmarkEnd w:id="34"/>
      <w:bookmarkEnd w:id="3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仿宋_GBK" w:hAnsi="方正仿宋_GBK" w:eastAsia="方正仿宋_GBK" w:cs="方正仿宋_GBK"/>
          <w:bCs/>
          <w:color w:val="auto"/>
          <w:kern w:val="0"/>
          <w:sz w:val="31"/>
          <w:szCs w:val="31"/>
          <w:highlight w:val="none"/>
        </w:rPr>
      </w:pPr>
      <w:bookmarkStart w:id="36" w:name="_Toc21304"/>
      <w:bookmarkStart w:id="37" w:name="_Toc32434"/>
      <w:r>
        <w:rPr>
          <w:rFonts w:hint="eastAsia" w:ascii="方正仿宋_GBK" w:hAnsi="方正仿宋_GBK" w:eastAsia="方正仿宋_GBK" w:cs="方正仿宋_GBK"/>
          <w:bCs/>
          <w:color w:val="auto"/>
          <w:kern w:val="0"/>
          <w:sz w:val="31"/>
          <w:szCs w:val="31"/>
          <w:highlight w:val="none"/>
        </w:rPr>
        <w:t>三、《支出决算表》</w:t>
      </w:r>
      <w:bookmarkEnd w:id="36"/>
      <w:bookmarkEnd w:id="3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仿宋_GBK" w:hAnsi="方正仿宋_GBK" w:eastAsia="方正仿宋_GBK" w:cs="方正仿宋_GBK"/>
          <w:bCs/>
          <w:color w:val="auto"/>
          <w:kern w:val="0"/>
          <w:sz w:val="31"/>
          <w:szCs w:val="31"/>
          <w:highlight w:val="none"/>
        </w:rPr>
      </w:pPr>
      <w:bookmarkStart w:id="38" w:name="_Toc28786"/>
      <w:bookmarkStart w:id="39" w:name="_Toc14238"/>
      <w:r>
        <w:rPr>
          <w:rFonts w:hint="eastAsia" w:ascii="方正仿宋_GBK" w:hAnsi="方正仿宋_GBK" w:eastAsia="方正仿宋_GBK" w:cs="方正仿宋_GBK"/>
          <w:bCs/>
          <w:color w:val="auto"/>
          <w:kern w:val="0"/>
          <w:sz w:val="31"/>
          <w:szCs w:val="31"/>
          <w:highlight w:val="none"/>
        </w:rPr>
        <w:t>四、《财政拨款收入支出决算总表》</w:t>
      </w:r>
      <w:bookmarkEnd w:id="38"/>
      <w:bookmarkEnd w:id="39"/>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仿宋_GBK" w:hAnsi="方正仿宋_GBK" w:eastAsia="方正仿宋_GBK" w:cs="方正仿宋_GBK"/>
          <w:bCs/>
          <w:color w:val="auto"/>
          <w:kern w:val="0"/>
          <w:sz w:val="31"/>
          <w:szCs w:val="31"/>
          <w:highlight w:val="none"/>
        </w:rPr>
      </w:pPr>
      <w:bookmarkStart w:id="40" w:name="_Toc14869"/>
      <w:bookmarkStart w:id="41" w:name="_Toc10347"/>
      <w:r>
        <w:rPr>
          <w:rFonts w:hint="eastAsia" w:ascii="方正仿宋_GBK" w:hAnsi="方正仿宋_GBK" w:eastAsia="方正仿宋_GBK" w:cs="方正仿宋_GBK"/>
          <w:bCs/>
          <w:color w:val="auto"/>
          <w:kern w:val="0"/>
          <w:sz w:val="31"/>
          <w:szCs w:val="31"/>
          <w:highlight w:val="none"/>
        </w:rPr>
        <w:t>五、《一般公共预算财政拨款支出决算表》</w:t>
      </w:r>
      <w:bookmarkEnd w:id="40"/>
      <w:bookmarkEnd w:id="41"/>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仿宋_GBK" w:hAnsi="方正仿宋_GBK" w:eastAsia="方正仿宋_GBK" w:cs="方正仿宋_GBK"/>
          <w:bCs/>
          <w:color w:val="auto"/>
          <w:kern w:val="0"/>
          <w:sz w:val="31"/>
          <w:szCs w:val="31"/>
          <w:highlight w:val="none"/>
        </w:rPr>
      </w:pPr>
      <w:bookmarkStart w:id="42" w:name="_Toc8884"/>
      <w:bookmarkStart w:id="43" w:name="_Toc5626"/>
      <w:r>
        <w:rPr>
          <w:rFonts w:hint="eastAsia" w:ascii="方正仿宋_GBK" w:hAnsi="方正仿宋_GBK" w:eastAsia="方正仿宋_GBK" w:cs="方正仿宋_GBK"/>
          <w:bCs/>
          <w:color w:val="auto"/>
          <w:kern w:val="0"/>
          <w:sz w:val="31"/>
          <w:szCs w:val="31"/>
          <w:highlight w:val="none"/>
        </w:rPr>
        <w:t>六、《一般公共预算财政拨款基本支出决算表》</w:t>
      </w:r>
      <w:bookmarkEnd w:id="42"/>
      <w:bookmarkEnd w:id="43"/>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仿宋_GBK" w:hAnsi="方正仿宋_GBK" w:eastAsia="方正仿宋_GBK" w:cs="方正仿宋_GBK"/>
          <w:bCs/>
          <w:color w:val="auto"/>
          <w:kern w:val="0"/>
          <w:sz w:val="31"/>
          <w:szCs w:val="31"/>
          <w:highlight w:val="none"/>
        </w:rPr>
      </w:pPr>
      <w:r>
        <w:rPr>
          <w:rFonts w:hint="eastAsia" w:ascii="方正仿宋_GBK" w:hAnsi="方正仿宋_GBK" w:eastAsia="方正仿宋_GBK" w:cs="方正仿宋_GBK"/>
          <w:bCs/>
          <w:color w:val="auto"/>
          <w:kern w:val="0"/>
          <w:sz w:val="31"/>
          <w:szCs w:val="31"/>
          <w:highlight w:val="none"/>
        </w:rPr>
        <w:t>七、</w:t>
      </w:r>
      <w:bookmarkStart w:id="44" w:name="_Toc32663"/>
      <w:bookmarkStart w:id="45" w:name="_Toc29106"/>
      <w:r>
        <w:rPr>
          <w:rFonts w:hint="eastAsia" w:ascii="方正仿宋_GBK" w:hAnsi="方正仿宋_GBK" w:eastAsia="方正仿宋_GBK" w:cs="方正仿宋_GBK"/>
          <w:bCs/>
          <w:color w:val="auto"/>
          <w:kern w:val="0"/>
          <w:sz w:val="31"/>
          <w:szCs w:val="31"/>
          <w:highlight w:val="none"/>
        </w:rPr>
        <w:t>《财政拨款“三公”经费支出决算表》</w:t>
      </w:r>
      <w:bookmarkEnd w:id="44"/>
      <w:bookmarkEnd w:id="45"/>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仿宋_GBK" w:hAnsi="方正仿宋_GBK" w:eastAsia="方正仿宋_GBK" w:cs="方正仿宋_GBK"/>
          <w:bCs/>
          <w:color w:val="auto"/>
          <w:kern w:val="0"/>
          <w:sz w:val="31"/>
          <w:szCs w:val="31"/>
          <w:highlight w:val="none"/>
        </w:rPr>
      </w:pPr>
      <w:bookmarkStart w:id="46" w:name="_Toc7643"/>
      <w:bookmarkStart w:id="47" w:name="_Toc5453"/>
      <w:r>
        <w:rPr>
          <w:rFonts w:hint="eastAsia" w:ascii="方正仿宋_GBK" w:hAnsi="方正仿宋_GBK" w:eastAsia="方正仿宋_GBK" w:cs="方正仿宋_GBK"/>
          <w:bCs/>
          <w:color w:val="auto"/>
          <w:kern w:val="0"/>
          <w:sz w:val="31"/>
          <w:szCs w:val="31"/>
          <w:highlight w:val="none"/>
        </w:rPr>
        <w:t>八、《政府性基金预算财政拨款收入支出决算表》</w:t>
      </w:r>
      <w:bookmarkEnd w:id="46"/>
      <w:bookmarkEnd w:id="47"/>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仿宋_GBK" w:hAnsi="方正仿宋_GBK" w:eastAsia="方正仿宋_GBK" w:cs="方正仿宋_GBK"/>
          <w:bCs/>
          <w:color w:val="auto"/>
          <w:kern w:val="0"/>
          <w:sz w:val="31"/>
          <w:szCs w:val="31"/>
          <w:highlight w:val="none"/>
        </w:rPr>
      </w:pPr>
      <w:r>
        <w:rPr>
          <w:rFonts w:hint="eastAsia" w:ascii="方正仿宋_GBK" w:hAnsi="方正仿宋_GBK" w:eastAsia="方正仿宋_GBK" w:cs="方正仿宋_GBK"/>
          <w:bCs/>
          <w:color w:val="auto"/>
          <w:kern w:val="0"/>
          <w:sz w:val="31"/>
          <w:szCs w:val="31"/>
          <w:highlight w:val="none"/>
          <w:lang w:val="en-US" w:eastAsia="zh-CN"/>
        </w:rPr>
        <w:t>九</w:t>
      </w:r>
      <w:r>
        <w:rPr>
          <w:rFonts w:hint="eastAsia" w:ascii="方正仿宋_GBK" w:hAnsi="方正仿宋_GBK" w:eastAsia="方正仿宋_GBK" w:cs="方正仿宋_GBK"/>
          <w:bCs/>
          <w:color w:val="auto"/>
          <w:kern w:val="0"/>
          <w:sz w:val="31"/>
          <w:szCs w:val="31"/>
          <w:highlight w:val="none"/>
        </w:rPr>
        <w:t>、《</w:t>
      </w:r>
      <w:r>
        <w:rPr>
          <w:rFonts w:hint="eastAsia" w:ascii="方正仿宋_GBK" w:hAnsi="方正仿宋_GBK" w:eastAsia="方正仿宋_GBK" w:cs="方正仿宋_GBK"/>
          <w:bCs/>
          <w:color w:val="auto"/>
          <w:kern w:val="0"/>
          <w:sz w:val="31"/>
          <w:szCs w:val="31"/>
          <w:highlight w:val="none"/>
          <w:lang w:eastAsia="zh-CN"/>
        </w:rPr>
        <w:t>国有资本经营</w:t>
      </w:r>
      <w:r>
        <w:rPr>
          <w:rFonts w:hint="eastAsia" w:ascii="方正仿宋_GBK" w:hAnsi="方正仿宋_GBK" w:eastAsia="方正仿宋_GBK" w:cs="方正仿宋_GBK"/>
          <w:bCs/>
          <w:color w:val="auto"/>
          <w:kern w:val="0"/>
          <w:sz w:val="31"/>
          <w:szCs w:val="31"/>
          <w:highlight w:val="none"/>
        </w:rPr>
        <w:t>预算财政拨款收入支出决算表》</w:t>
      </w:r>
    </w:p>
    <w:p>
      <w:pPr>
        <w:keepNext w:val="0"/>
        <w:keepLines w:val="0"/>
        <w:pageBreakBefore w:val="0"/>
        <w:widowControl w:val="0"/>
        <w:kinsoku/>
        <w:wordWrap/>
        <w:overflowPunct/>
        <w:topLinePunct w:val="0"/>
        <w:autoSpaceDE/>
        <w:autoSpaceDN/>
        <w:bidi w:val="0"/>
        <w:adjustRightInd/>
        <w:snapToGrid/>
        <w:spacing w:line="560" w:lineRule="exact"/>
        <w:ind w:firstLine="620" w:firstLineChars="200"/>
        <w:jc w:val="both"/>
        <w:textAlignment w:val="auto"/>
        <w:outlineLvl w:val="1"/>
        <w:rPr>
          <w:rFonts w:hint="eastAsia" w:ascii="方正仿宋_GBK" w:hAnsi="方正仿宋_GBK" w:eastAsia="方正仿宋_GBK" w:cs="方正仿宋_GBK"/>
          <w:bCs/>
          <w:color w:val="auto"/>
          <w:kern w:val="0"/>
          <w:sz w:val="31"/>
          <w:szCs w:val="31"/>
          <w:highlight w:val="none"/>
        </w:rPr>
      </w:pPr>
    </w:p>
    <w:p>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outlineLvl w:val="1"/>
        <w:rPr>
          <w:rFonts w:hint="eastAsia" w:ascii="黑体" w:hAnsi="黑体" w:eastAsia="仿宋_GB2312" w:cs="宋体"/>
          <w:bCs/>
          <w:color w:val="auto"/>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仿宋_GB2312" w:cs="宋体"/>
          <w:bCs/>
          <w:color w:val="auto"/>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仿宋_GB2312" w:cs="宋体"/>
          <w:bCs/>
          <w:color w:val="auto"/>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仿宋_GB2312" w:cs="宋体"/>
          <w:bCs/>
          <w:color w:val="auto"/>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仿宋_GB2312" w:cs="宋体"/>
          <w:bCs/>
          <w:color w:val="auto"/>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仿宋_GB2312" w:cs="宋体"/>
          <w:bCs/>
          <w:color w:val="auto"/>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仿宋_GB2312" w:cs="宋体"/>
          <w:bCs/>
          <w:color w:val="auto"/>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仿宋_GB2312" w:cs="宋体"/>
          <w:bCs/>
          <w:color w:val="auto"/>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仿宋_GB2312" w:cs="宋体"/>
          <w:bCs/>
          <w:color w:val="auto"/>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仿宋_GB2312" w:cs="宋体"/>
          <w:bCs/>
          <w:color w:val="auto"/>
          <w:kern w:val="0"/>
          <w:sz w:val="32"/>
          <w:szCs w:val="32"/>
          <w:highlight w:val="none"/>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仿宋_GB2312" w:cs="宋体"/>
          <w:bCs/>
          <w:color w:val="auto"/>
          <w:kern w:val="0"/>
          <w:sz w:val="32"/>
          <w:szCs w:val="32"/>
          <w:highlight w:val="none"/>
        </w:rPr>
      </w:pPr>
    </w:p>
    <w:p>
      <w:pPr>
        <w:keepNext w:val="0"/>
        <w:keepLines w:val="0"/>
        <w:pageBreakBefore w:val="0"/>
        <w:widowControl w:val="0"/>
        <w:kinsoku/>
        <w:wordWrap/>
        <w:overflowPunct/>
        <w:topLinePunct w:val="0"/>
        <w:bidi w:val="0"/>
        <w:adjustRightInd/>
        <w:snapToGrid/>
        <w:spacing w:line="240" w:lineRule="auto"/>
        <w:textAlignment w:val="auto"/>
        <w:rPr>
          <w:rFonts w:hint="eastAsia" w:ascii="仿宋_GB2312" w:eastAsia="仿宋_GB2312"/>
          <w:color w:val="auto"/>
          <w:sz w:val="32"/>
          <w:szCs w:val="32"/>
          <w:highlight w:val="none"/>
          <w:lang w:eastAsia="zh-CN"/>
        </w:rPr>
      </w:pPr>
      <w:r>
        <w:rPr>
          <w:rFonts w:hint="eastAsia" w:ascii="仿宋_GB2312" w:eastAsia="仿宋_GB2312"/>
          <w:color w:val="auto"/>
          <w:sz w:val="32"/>
          <w:szCs w:val="32"/>
          <w:highlight w:val="none"/>
          <w:lang w:eastAsia="zh-CN"/>
        </w:rPr>
        <w:drawing>
          <wp:inline distT="0" distB="0" distL="114300" distR="114300">
            <wp:extent cx="5699125" cy="7624445"/>
            <wp:effectExtent l="0" t="0" r="15875" b="14605"/>
            <wp:docPr id="3" name="图片 3" descr="1"/>
            <wp:cNvGraphicFramePr/>
            <a:graphic xmlns:a="http://schemas.openxmlformats.org/drawingml/2006/main">
              <a:graphicData uri="http://schemas.openxmlformats.org/drawingml/2006/picture">
                <pic:pic xmlns:pic="http://schemas.openxmlformats.org/drawingml/2006/picture">
                  <pic:nvPicPr>
                    <pic:cNvPr id="3" name="图片 3" descr="1"/>
                    <pic:cNvPicPr/>
                  </pic:nvPicPr>
                  <pic:blipFill>
                    <a:blip r:embed="rId5"/>
                    <a:stretch>
                      <a:fillRect/>
                    </a:stretch>
                  </pic:blipFill>
                  <pic:spPr>
                    <a:xfrm>
                      <a:off x="0" y="0"/>
                      <a:ext cx="5699125" cy="762444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inline distT="0" distB="0" distL="114300" distR="114300">
            <wp:extent cx="5695950" cy="8001000"/>
            <wp:effectExtent l="0" t="0" r="0" b="0"/>
            <wp:docPr id="4" name="图片 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
                    <pic:cNvPicPr>
                      <a:picLocks noChangeAspect="1"/>
                    </pic:cNvPicPr>
                  </pic:nvPicPr>
                  <pic:blipFill>
                    <a:blip r:embed="rId6"/>
                    <a:stretch>
                      <a:fillRect/>
                    </a:stretch>
                  </pic:blipFill>
                  <pic:spPr>
                    <a:xfrm>
                      <a:off x="0" y="0"/>
                      <a:ext cx="5695950" cy="800100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inline distT="0" distB="0" distL="114300" distR="114300">
            <wp:extent cx="5723255" cy="7691120"/>
            <wp:effectExtent l="0" t="0" r="10795" b="5080"/>
            <wp:docPr id="7" name="图片 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3"/>
                    <pic:cNvPicPr>
                      <a:picLocks noChangeAspect="1"/>
                    </pic:cNvPicPr>
                  </pic:nvPicPr>
                  <pic:blipFill>
                    <a:blip r:embed="rId7"/>
                    <a:stretch>
                      <a:fillRect/>
                    </a:stretch>
                  </pic:blipFill>
                  <pic:spPr>
                    <a:xfrm>
                      <a:off x="0" y="0"/>
                      <a:ext cx="5723255" cy="769112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ind w:firstLine="640" w:firstLineChars="200"/>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inline distT="0" distB="0" distL="114300" distR="114300">
            <wp:extent cx="5717540" cy="6276975"/>
            <wp:effectExtent l="0" t="0" r="16510" b="9525"/>
            <wp:docPr id="17" name="图片 17" descr="652801-952002+库尔勒市团结街道办事处公开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652801-952002+库尔勒市团结街道办事处公开表"/>
                    <pic:cNvPicPr>
                      <a:picLocks noChangeAspect="1"/>
                    </pic:cNvPicPr>
                  </pic:nvPicPr>
                  <pic:blipFill>
                    <a:blip r:embed="rId8"/>
                    <a:stretch>
                      <a:fillRect/>
                    </a:stretch>
                  </pic:blipFill>
                  <pic:spPr>
                    <a:xfrm>
                      <a:off x="0" y="0"/>
                      <a:ext cx="5717540" cy="627697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inline distT="0" distB="0" distL="114300" distR="114300">
            <wp:extent cx="5721985" cy="7552690"/>
            <wp:effectExtent l="0" t="0" r="12065" b="10160"/>
            <wp:docPr id="9" name="图片 9"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5"/>
                    <pic:cNvPicPr>
                      <a:picLocks noChangeAspect="1"/>
                    </pic:cNvPicPr>
                  </pic:nvPicPr>
                  <pic:blipFill>
                    <a:blip r:embed="rId9"/>
                    <a:stretch>
                      <a:fillRect/>
                    </a:stretch>
                  </pic:blipFill>
                  <pic:spPr>
                    <a:xfrm>
                      <a:off x="0" y="0"/>
                      <a:ext cx="5721985" cy="7552690"/>
                    </a:xfrm>
                    <a:prstGeom prst="rect">
                      <a:avLst/>
                    </a:prstGeom>
                  </pic:spPr>
                </pic:pic>
              </a:graphicData>
            </a:graphic>
          </wp:inline>
        </w:drawing>
      </w:r>
    </w:p>
    <w:p>
      <w:pPr>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br w:type="page"/>
      </w:r>
      <w:r>
        <w:drawing>
          <wp:inline distT="0" distB="0" distL="114300" distR="114300">
            <wp:extent cx="5681980" cy="6929120"/>
            <wp:effectExtent l="0" t="0" r="13970" b="50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0"/>
                    <a:stretch>
                      <a:fillRect/>
                    </a:stretch>
                  </pic:blipFill>
                  <pic:spPr>
                    <a:xfrm>
                      <a:off x="0" y="0"/>
                      <a:ext cx="5681980" cy="6929120"/>
                    </a:xfrm>
                    <a:prstGeom prst="rect">
                      <a:avLst/>
                    </a:prstGeom>
                    <a:noFill/>
                    <a:ln>
                      <a:noFill/>
                    </a:ln>
                  </pic:spPr>
                </pic:pic>
              </a:graphicData>
            </a:graphic>
          </wp:inline>
        </w:drawing>
      </w:r>
      <w:r>
        <w:rPr>
          <w:rFonts w:hint="eastAsia" w:ascii="黑体" w:hAnsi="黑体" w:eastAsia="黑体" w:cs="宋体"/>
          <w:bCs/>
          <w:color w:val="auto"/>
          <w:kern w:val="0"/>
          <w:sz w:val="32"/>
          <w:szCs w:val="32"/>
          <w:highlight w:val="none"/>
          <w:lang w:eastAsia="zh-CN"/>
        </w:rPr>
        <w:br w:type="page"/>
      </w:r>
    </w:p>
    <w:p>
      <w:pPr>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inline distT="0" distB="0" distL="114300" distR="114300">
            <wp:extent cx="5701665" cy="1686560"/>
            <wp:effectExtent l="0" t="0" r="13335" b="8890"/>
            <wp:docPr id="14" name="图片 1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7"/>
                    <pic:cNvPicPr>
                      <a:picLocks noChangeAspect="1"/>
                    </pic:cNvPicPr>
                  </pic:nvPicPr>
                  <pic:blipFill>
                    <a:blip r:embed="rId11"/>
                    <a:stretch>
                      <a:fillRect/>
                    </a:stretch>
                  </pic:blipFill>
                  <pic:spPr>
                    <a:xfrm>
                      <a:off x="0" y="0"/>
                      <a:ext cx="5701665" cy="1686560"/>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inline distT="0" distB="0" distL="114300" distR="114300">
            <wp:extent cx="5736590" cy="1636395"/>
            <wp:effectExtent l="0" t="0" r="16510" b="1905"/>
            <wp:docPr id="12" name="图片 12"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8"/>
                    <pic:cNvPicPr>
                      <a:picLocks noChangeAspect="1"/>
                    </pic:cNvPicPr>
                  </pic:nvPicPr>
                  <pic:blipFill>
                    <a:blip r:embed="rId12"/>
                    <a:stretch>
                      <a:fillRect/>
                    </a:stretch>
                  </pic:blipFill>
                  <pic:spPr>
                    <a:xfrm>
                      <a:off x="0" y="0"/>
                      <a:ext cx="5736590" cy="163639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r>
        <w:rPr>
          <w:rFonts w:hint="eastAsia" w:ascii="黑体" w:hAnsi="黑体" w:eastAsia="黑体" w:cs="宋体"/>
          <w:bCs/>
          <w:color w:val="auto"/>
          <w:kern w:val="0"/>
          <w:sz w:val="32"/>
          <w:szCs w:val="32"/>
          <w:highlight w:val="none"/>
          <w:lang w:eastAsia="zh-CN"/>
        </w:rPr>
        <w:drawing>
          <wp:inline distT="0" distB="0" distL="114300" distR="114300">
            <wp:extent cx="5735955" cy="1795145"/>
            <wp:effectExtent l="0" t="0" r="17145" b="14605"/>
            <wp:docPr id="13" name="图片 13" descr="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9"/>
                    <pic:cNvPicPr>
                      <a:picLocks noChangeAspect="1"/>
                    </pic:cNvPicPr>
                  </pic:nvPicPr>
                  <pic:blipFill>
                    <a:blip r:embed="rId13"/>
                    <a:stretch>
                      <a:fillRect/>
                    </a:stretch>
                  </pic:blipFill>
                  <pic:spPr>
                    <a:xfrm>
                      <a:off x="0" y="0"/>
                      <a:ext cx="5735955" cy="179514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1"/>
        <w:rPr>
          <w:rFonts w:hint="eastAsia" w:ascii="黑体" w:hAnsi="黑体" w:eastAsia="黑体" w:cs="宋体"/>
          <w:bCs/>
          <w:color w:val="auto"/>
          <w:kern w:val="0"/>
          <w:sz w:val="32"/>
          <w:szCs w:val="32"/>
          <w:highlight w:val="none"/>
          <w:lang w:eastAsia="zh-CN"/>
        </w:rPr>
      </w:pPr>
    </w:p>
    <w:sectPr>
      <w:pgSz w:w="11906" w:h="16838"/>
      <w:pgMar w:top="1440" w:right="1803" w:bottom="1440" w:left="1803" w:header="851" w:footer="992" w:gutter="0"/>
      <w:pgNumType w:fmt="decimal"/>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小标宋_GBK">
    <w:panose1 w:val="03000509000000000000"/>
    <w:charset w:val="86"/>
    <w:family w:val="script"/>
    <w:pitch w:val="default"/>
    <w:sig w:usb0="00000001" w:usb1="080E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方正黑体_GBK">
    <w:panose1 w:val="03000509000000000000"/>
    <w:charset w:val="86"/>
    <w:family w:val="auto"/>
    <w:pitch w:val="default"/>
    <w:sig w:usb0="00000001" w:usb1="080E0000" w:usb2="00000000" w:usb3="00000000" w:csb0="00040000" w:csb1="00000000"/>
  </w:font>
  <w:font w:name="方正仿宋_GBK">
    <w:panose1 w:val="03000509000000000000"/>
    <w:charset w:val="86"/>
    <w:family w:val="auto"/>
    <w:pitch w:val="default"/>
    <w:sig w:usb0="00000001" w:usb1="080E0000" w:usb2="00000000" w:usb3="00000000" w:csb0="00040000" w:csb1="00000000"/>
  </w:font>
  <w:font w:name="方正楷体_GBK">
    <w:panose1 w:val="03000509000000000000"/>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A00002EF" w:usb1="4000004B" w:usb2="00000000" w:usb3="00000000" w:csb0="2000009F" w:csb1="00000000"/>
  </w:font>
  <w:font w:name="Arial">
    <w:panose1 w:val="020B0604020202020204"/>
    <w:charset w:val="00"/>
    <w:family w:val="auto"/>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vert="horz" wrap="none" lIns="0" tIns="0" rIns="0" bIns="0" anchor="t" anchorCtr="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taF2cMBAABwAwAADgAAAGRycy9lMm9Eb2MueG1srVPBbtswDL0P6D8I&#10;ujd2fRgCI0rRregwYNgGdPsARZZiAZIoSErs7AO2P9hpl933XfmOUXKcdt2t6EWmSIp8j3xeXY/W&#10;kL0MUYNj9GpRUyKdgE67LaNfv9xdLimJibuOG3CS0YOM9Hp98Wo1+FY20IPpZCBYxMV28Iz2Kfm2&#10;qqLopeVxAV46DCoIlie8hm3VBT5gdWuqpq5fVwOEzgcQMkb03k5Bui71lZIifVIqykQMo4gtlTOU&#10;c5PPar3i7TZw32txgsGfgcJy7bDpudQtT5zsgv6vlNUiQASVFgJsBUppIQsHZHNVP2Fz33MvCxcc&#10;TvTnMcWXKys+7j8HojtGG0oct7ii488fx19/jr+/kyaPZ/Cxxax7j3lpfAMjrnn2R3Rm1qMKNn+R&#10;D8E4DvpwHq4cExH50bJZLmsMCYzNF6xfPTz3IaZ3EizJBqMBt1eGyvcfYppS55TczcGdNqZs0Lh/&#10;HFgze6qMfcKYrTRuxhOhDXQH5IPCxT49hG+UDCgCRh2qlBLz3uGMs15mI8zGZja4E/iQ0UTJZL5N&#10;k652PuhtX5SWQUV/s0uItBDIMKbeJ3S41jKCkwSzbh7fS9bDj7L+C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M6pebnPAAAABQEAAA8AAAAAAAAAAQAgAAAAIgAAAGRycy9kb3ducmV2LnhtbFBLAQIU&#10;ABQAAAAIAIdO4kD+1oXZwwEAAHADAAAOAAAAAAAAAAEAIAAAAB4BAABkcnMvZTJvRG9jLnhtbFBL&#10;BQYAAAAABgAGAFkBAABTBQAAAAA=&#10;">
              <v:fill on="f" focussize="0,0"/>
              <v:stroke on="f"/>
              <v:imagedata o:title=""/>
              <o:lock v:ext="edit" aspectratio="f"/>
              <v:textbox inset="0mm,0mm,0mm,0mm" style="mso-fit-shape-to-text:t;">
                <w:txbxContent>
                  <w:p>
                    <w:pPr>
                      <w:pStyle w:val="4"/>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documentProtection w:enforcement="0"/>
  <w:defaultTabStop w:val="420"/>
  <w:hyphenationZone w:val="36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AyOGZmZWJiZjkzMTc5MjUxM2FlYjUzNmFjOTJhZmYifQ=="/>
    <w:docVar w:name="KSO_WPS_MARK_KEY" w:val="41ee2a61-2d54-4f93-83be-afdb9a40d732"/>
  </w:docVars>
  <w:rsids>
    <w:rsidRoot w:val="00000000"/>
    <w:rsid w:val="00213C59"/>
    <w:rsid w:val="003210CE"/>
    <w:rsid w:val="00795B9A"/>
    <w:rsid w:val="00B70D59"/>
    <w:rsid w:val="00F52A8D"/>
    <w:rsid w:val="019404F8"/>
    <w:rsid w:val="02BD3108"/>
    <w:rsid w:val="02F73D26"/>
    <w:rsid w:val="034D4FEF"/>
    <w:rsid w:val="035D1785"/>
    <w:rsid w:val="03693093"/>
    <w:rsid w:val="039F47CE"/>
    <w:rsid w:val="03E05CE8"/>
    <w:rsid w:val="03F973EE"/>
    <w:rsid w:val="043E5B56"/>
    <w:rsid w:val="04C04386"/>
    <w:rsid w:val="04FA68C4"/>
    <w:rsid w:val="051E6623"/>
    <w:rsid w:val="053F5AE6"/>
    <w:rsid w:val="057C0B0F"/>
    <w:rsid w:val="05A07993"/>
    <w:rsid w:val="05EF4B48"/>
    <w:rsid w:val="05F76ECA"/>
    <w:rsid w:val="065B2683"/>
    <w:rsid w:val="06792773"/>
    <w:rsid w:val="0706063B"/>
    <w:rsid w:val="07093795"/>
    <w:rsid w:val="074177AB"/>
    <w:rsid w:val="07804730"/>
    <w:rsid w:val="079052BE"/>
    <w:rsid w:val="07EF7DCA"/>
    <w:rsid w:val="08145C21"/>
    <w:rsid w:val="08422688"/>
    <w:rsid w:val="085854ED"/>
    <w:rsid w:val="0879188F"/>
    <w:rsid w:val="08A0354D"/>
    <w:rsid w:val="08CD4C49"/>
    <w:rsid w:val="09114954"/>
    <w:rsid w:val="095A5B83"/>
    <w:rsid w:val="096466E3"/>
    <w:rsid w:val="0968304D"/>
    <w:rsid w:val="09AF3D17"/>
    <w:rsid w:val="0A7809B7"/>
    <w:rsid w:val="0A7B4867"/>
    <w:rsid w:val="0A840954"/>
    <w:rsid w:val="0A99011B"/>
    <w:rsid w:val="0A9928ED"/>
    <w:rsid w:val="0B61769D"/>
    <w:rsid w:val="0B8C3ECC"/>
    <w:rsid w:val="0B9C639D"/>
    <w:rsid w:val="0B9E1F54"/>
    <w:rsid w:val="0BB052B2"/>
    <w:rsid w:val="0BB76FA1"/>
    <w:rsid w:val="0BD33FFC"/>
    <w:rsid w:val="0BE97AC1"/>
    <w:rsid w:val="0BF84679"/>
    <w:rsid w:val="0C1C4780"/>
    <w:rsid w:val="0C3613A3"/>
    <w:rsid w:val="0C5E519C"/>
    <w:rsid w:val="0C7227A7"/>
    <w:rsid w:val="0CA52EE8"/>
    <w:rsid w:val="0CB35651"/>
    <w:rsid w:val="0CBD6988"/>
    <w:rsid w:val="0CBF268A"/>
    <w:rsid w:val="0CD208AC"/>
    <w:rsid w:val="0CD35A48"/>
    <w:rsid w:val="0D4903E8"/>
    <w:rsid w:val="0D7A4A46"/>
    <w:rsid w:val="0D9B03E6"/>
    <w:rsid w:val="0E640559"/>
    <w:rsid w:val="0EE11CC0"/>
    <w:rsid w:val="0F1113DA"/>
    <w:rsid w:val="0F78534A"/>
    <w:rsid w:val="0F89358A"/>
    <w:rsid w:val="0F8C6D51"/>
    <w:rsid w:val="105B0B5E"/>
    <w:rsid w:val="112E58D0"/>
    <w:rsid w:val="11731CAC"/>
    <w:rsid w:val="119500A0"/>
    <w:rsid w:val="11C0733B"/>
    <w:rsid w:val="11D50D17"/>
    <w:rsid w:val="120E0809"/>
    <w:rsid w:val="127F665A"/>
    <w:rsid w:val="1281498B"/>
    <w:rsid w:val="12F7068C"/>
    <w:rsid w:val="14207DC0"/>
    <w:rsid w:val="14B932DA"/>
    <w:rsid w:val="150A66AF"/>
    <w:rsid w:val="154C1139"/>
    <w:rsid w:val="158C5B77"/>
    <w:rsid w:val="16093C95"/>
    <w:rsid w:val="160D1149"/>
    <w:rsid w:val="163563C0"/>
    <w:rsid w:val="16387927"/>
    <w:rsid w:val="164315EF"/>
    <w:rsid w:val="16557DFE"/>
    <w:rsid w:val="167268FB"/>
    <w:rsid w:val="16D50C50"/>
    <w:rsid w:val="16E120E1"/>
    <w:rsid w:val="1720109D"/>
    <w:rsid w:val="17385A05"/>
    <w:rsid w:val="173B3901"/>
    <w:rsid w:val="176747F9"/>
    <w:rsid w:val="17954A6E"/>
    <w:rsid w:val="180059E9"/>
    <w:rsid w:val="184510FD"/>
    <w:rsid w:val="190648B0"/>
    <w:rsid w:val="19071D6C"/>
    <w:rsid w:val="195472FB"/>
    <w:rsid w:val="19D26CD4"/>
    <w:rsid w:val="19D75BFC"/>
    <w:rsid w:val="19E60D19"/>
    <w:rsid w:val="1A3E3450"/>
    <w:rsid w:val="1AD807E5"/>
    <w:rsid w:val="1B380D9F"/>
    <w:rsid w:val="1B39345B"/>
    <w:rsid w:val="1BFB2A1F"/>
    <w:rsid w:val="1C015D4A"/>
    <w:rsid w:val="1C157A09"/>
    <w:rsid w:val="1C290ED5"/>
    <w:rsid w:val="1C312E2A"/>
    <w:rsid w:val="1C317E4F"/>
    <w:rsid w:val="1C472464"/>
    <w:rsid w:val="1D22799A"/>
    <w:rsid w:val="1D5C1A72"/>
    <w:rsid w:val="1DAF458D"/>
    <w:rsid w:val="1E086ACE"/>
    <w:rsid w:val="1E62130A"/>
    <w:rsid w:val="1E97358B"/>
    <w:rsid w:val="1EAA4A5F"/>
    <w:rsid w:val="1EE869A7"/>
    <w:rsid w:val="1F99238C"/>
    <w:rsid w:val="1FA15E62"/>
    <w:rsid w:val="1FCB5458"/>
    <w:rsid w:val="1FED69B6"/>
    <w:rsid w:val="2064678E"/>
    <w:rsid w:val="20DC1AB9"/>
    <w:rsid w:val="20DD6197"/>
    <w:rsid w:val="212631E0"/>
    <w:rsid w:val="21A53757"/>
    <w:rsid w:val="21D709A0"/>
    <w:rsid w:val="221236C6"/>
    <w:rsid w:val="22AF1592"/>
    <w:rsid w:val="22D7662C"/>
    <w:rsid w:val="23326B7F"/>
    <w:rsid w:val="236C3B28"/>
    <w:rsid w:val="2380045B"/>
    <w:rsid w:val="23BC04D2"/>
    <w:rsid w:val="23EF1892"/>
    <w:rsid w:val="23F42082"/>
    <w:rsid w:val="2483647E"/>
    <w:rsid w:val="24A32D55"/>
    <w:rsid w:val="25292727"/>
    <w:rsid w:val="252E5CA9"/>
    <w:rsid w:val="256F7692"/>
    <w:rsid w:val="25BA2154"/>
    <w:rsid w:val="25C8773F"/>
    <w:rsid w:val="264A7253"/>
    <w:rsid w:val="26F0170C"/>
    <w:rsid w:val="27201D62"/>
    <w:rsid w:val="27286E73"/>
    <w:rsid w:val="27CF2642"/>
    <w:rsid w:val="27E777F5"/>
    <w:rsid w:val="27EA1D4C"/>
    <w:rsid w:val="27EA2E41"/>
    <w:rsid w:val="282459E2"/>
    <w:rsid w:val="283A7FE5"/>
    <w:rsid w:val="285F51FF"/>
    <w:rsid w:val="28DF2665"/>
    <w:rsid w:val="29072599"/>
    <w:rsid w:val="291029F3"/>
    <w:rsid w:val="2913575F"/>
    <w:rsid w:val="29CB58F0"/>
    <w:rsid w:val="2A053397"/>
    <w:rsid w:val="2A145E96"/>
    <w:rsid w:val="2A8A4BA9"/>
    <w:rsid w:val="2AF5378F"/>
    <w:rsid w:val="2BB94DBF"/>
    <w:rsid w:val="2C0E1B1D"/>
    <w:rsid w:val="2C6F314E"/>
    <w:rsid w:val="2CC206BE"/>
    <w:rsid w:val="2D1136DF"/>
    <w:rsid w:val="2D20606D"/>
    <w:rsid w:val="2DB87198"/>
    <w:rsid w:val="2DB93C54"/>
    <w:rsid w:val="2E3D144C"/>
    <w:rsid w:val="2E891204"/>
    <w:rsid w:val="2F3F0A28"/>
    <w:rsid w:val="2FBF7029"/>
    <w:rsid w:val="2FD0187F"/>
    <w:rsid w:val="2FD27414"/>
    <w:rsid w:val="2FFE4BB0"/>
    <w:rsid w:val="300E7B60"/>
    <w:rsid w:val="300F6E18"/>
    <w:rsid w:val="30862F5F"/>
    <w:rsid w:val="314029C9"/>
    <w:rsid w:val="31A80FC7"/>
    <w:rsid w:val="31BB6EBA"/>
    <w:rsid w:val="31C63837"/>
    <w:rsid w:val="31C82E39"/>
    <w:rsid w:val="32601BAD"/>
    <w:rsid w:val="329F6389"/>
    <w:rsid w:val="32C249B1"/>
    <w:rsid w:val="3389023A"/>
    <w:rsid w:val="33CB74FA"/>
    <w:rsid w:val="343642F2"/>
    <w:rsid w:val="343F3010"/>
    <w:rsid w:val="345D0A00"/>
    <w:rsid w:val="34713BFD"/>
    <w:rsid w:val="34C13589"/>
    <w:rsid w:val="353369E3"/>
    <w:rsid w:val="35E00D72"/>
    <w:rsid w:val="36965B9D"/>
    <w:rsid w:val="369D0D3B"/>
    <w:rsid w:val="36C549FD"/>
    <w:rsid w:val="36D6558D"/>
    <w:rsid w:val="37082E48"/>
    <w:rsid w:val="37A755DD"/>
    <w:rsid w:val="37F94FA0"/>
    <w:rsid w:val="380D3381"/>
    <w:rsid w:val="38115B1F"/>
    <w:rsid w:val="385E3AC3"/>
    <w:rsid w:val="387D6B9E"/>
    <w:rsid w:val="38B75FF0"/>
    <w:rsid w:val="38D45016"/>
    <w:rsid w:val="38D90432"/>
    <w:rsid w:val="38EF6AEC"/>
    <w:rsid w:val="3914510A"/>
    <w:rsid w:val="3926770B"/>
    <w:rsid w:val="398D3668"/>
    <w:rsid w:val="39DA0497"/>
    <w:rsid w:val="3A893816"/>
    <w:rsid w:val="3A893B6D"/>
    <w:rsid w:val="3AD1763A"/>
    <w:rsid w:val="3B6716E3"/>
    <w:rsid w:val="3B6C6B2D"/>
    <w:rsid w:val="3B9C7765"/>
    <w:rsid w:val="3C242659"/>
    <w:rsid w:val="3C96719C"/>
    <w:rsid w:val="3CA72BE8"/>
    <w:rsid w:val="3CF37F8C"/>
    <w:rsid w:val="3D137554"/>
    <w:rsid w:val="3D5275AC"/>
    <w:rsid w:val="3D6122B5"/>
    <w:rsid w:val="3DCC2473"/>
    <w:rsid w:val="3DEB0883"/>
    <w:rsid w:val="3E080489"/>
    <w:rsid w:val="3E2527BF"/>
    <w:rsid w:val="3E731662"/>
    <w:rsid w:val="3E8168DD"/>
    <w:rsid w:val="3EA7725F"/>
    <w:rsid w:val="3EB03713"/>
    <w:rsid w:val="3EBF1A11"/>
    <w:rsid w:val="3EC52607"/>
    <w:rsid w:val="3EEC6CEF"/>
    <w:rsid w:val="3F183429"/>
    <w:rsid w:val="3F3C46FD"/>
    <w:rsid w:val="3F954E7C"/>
    <w:rsid w:val="3FB77A1D"/>
    <w:rsid w:val="3FDC3674"/>
    <w:rsid w:val="3FED7F8A"/>
    <w:rsid w:val="40094AEF"/>
    <w:rsid w:val="40466AA9"/>
    <w:rsid w:val="405470BD"/>
    <w:rsid w:val="40794A29"/>
    <w:rsid w:val="40834692"/>
    <w:rsid w:val="40AB31AB"/>
    <w:rsid w:val="41431AD5"/>
    <w:rsid w:val="414B3C0F"/>
    <w:rsid w:val="417C1CE7"/>
    <w:rsid w:val="41900018"/>
    <w:rsid w:val="41944406"/>
    <w:rsid w:val="41C97AD0"/>
    <w:rsid w:val="41CE128F"/>
    <w:rsid w:val="41DA6F12"/>
    <w:rsid w:val="42171FB1"/>
    <w:rsid w:val="42C060CB"/>
    <w:rsid w:val="434E6957"/>
    <w:rsid w:val="438C3403"/>
    <w:rsid w:val="43BA0E31"/>
    <w:rsid w:val="43C15147"/>
    <w:rsid w:val="43E14DD2"/>
    <w:rsid w:val="43F800E9"/>
    <w:rsid w:val="443A7E4B"/>
    <w:rsid w:val="44DF16C5"/>
    <w:rsid w:val="451C526B"/>
    <w:rsid w:val="452F5B3A"/>
    <w:rsid w:val="454E7FD2"/>
    <w:rsid w:val="46061BDC"/>
    <w:rsid w:val="461404F8"/>
    <w:rsid w:val="46413018"/>
    <w:rsid w:val="464B7E04"/>
    <w:rsid w:val="468041AA"/>
    <w:rsid w:val="468123C6"/>
    <w:rsid w:val="46901EEE"/>
    <w:rsid w:val="46992AE1"/>
    <w:rsid w:val="469C74D2"/>
    <w:rsid w:val="47445515"/>
    <w:rsid w:val="474B4782"/>
    <w:rsid w:val="475F6160"/>
    <w:rsid w:val="47D90D14"/>
    <w:rsid w:val="48387FB0"/>
    <w:rsid w:val="483A6114"/>
    <w:rsid w:val="488727DB"/>
    <w:rsid w:val="48B82268"/>
    <w:rsid w:val="48C354B3"/>
    <w:rsid w:val="493D58B5"/>
    <w:rsid w:val="494A7A04"/>
    <w:rsid w:val="4A0A26D2"/>
    <w:rsid w:val="4A2019A5"/>
    <w:rsid w:val="4A241A0B"/>
    <w:rsid w:val="4A7B2875"/>
    <w:rsid w:val="4A934476"/>
    <w:rsid w:val="4AAA220A"/>
    <w:rsid w:val="4AD82CE9"/>
    <w:rsid w:val="4AE12E67"/>
    <w:rsid w:val="4B4C0111"/>
    <w:rsid w:val="4B8553A9"/>
    <w:rsid w:val="4BDB3730"/>
    <w:rsid w:val="4C200F7A"/>
    <w:rsid w:val="4C3379E2"/>
    <w:rsid w:val="4CEE3180"/>
    <w:rsid w:val="4D0F4AF6"/>
    <w:rsid w:val="4DC679FF"/>
    <w:rsid w:val="4DF94F37"/>
    <w:rsid w:val="4E0A1DD5"/>
    <w:rsid w:val="4E3160E5"/>
    <w:rsid w:val="4E4D37AF"/>
    <w:rsid w:val="4E8C6496"/>
    <w:rsid w:val="4EFD18DE"/>
    <w:rsid w:val="4F144236"/>
    <w:rsid w:val="4F663C87"/>
    <w:rsid w:val="4F7E29A8"/>
    <w:rsid w:val="4F9E1FFC"/>
    <w:rsid w:val="500B71A5"/>
    <w:rsid w:val="50447CC2"/>
    <w:rsid w:val="50874A7C"/>
    <w:rsid w:val="50895EE7"/>
    <w:rsid w:val="50921B9D"/>
    <w:rsid w:val="50BD7C68"/>
    <w:rsid w:val="50D16158"/>
    <w:rsid w:val="50DB5F45"/>
    <w:rsid w:val="51025EB1"/>
    <w:rsid w:val="51141503"/>
    <w:rsid w:val="518D0ED5"/>
    <w:rsid w:val="525C687F"/>
    <w:rsid w:val="52F647F7"/>
    <w:rsid w:val="52F92565"/>
    <w:rsid w:val="52FF3220"/>
    <w:rsid w:val="53D03877"/>
    <w:rsid w:val="542F73CA"/>
    <w:rsid w:val="5430786D"/>
    <w:rsid w:val="54C811C0"/>
    <w:rsid w:val="54EB6398"/>
    <w:rsid w:val="556A442D"/>
    <w:rsid w:val="55DA564E"/>
    <w:rsid w:val="5604127D"/>
    <w:rsid w:val="561413D1"/>
    <w:rsid w:val="56166703"/>
    <w:rsid w:val="56510474"/>
    <w:rsid w:val="56861525"/>
    <w:rsid w:val="56A93273"/>
    <w:rsid w:val="56BD550C"/>
    <w:rsid w:val="56E07045"/>
    <w:rsid w:val="56FF28AF"/>
    <w:rsid w:val="57540E7D"/>
    <w:rsid w:val="577B4878"/>
    <w:rsid w:val="57926973"/>
    <w:rsid w:val="58175352"/>
    <w:rsid w:val="581F2200"/>
    <w:rsid w:val="583059FA"/>
    <w:rsid w:val="584A0929"/>
    <w:rsid w:val="58CD2491"/>
    <w:rsid w:val="58FB4B00"/>
    <w:rsid w:val="591B41B2"/>
    <w:rsid w:val="59254A26"/>
    <w:rsid w:val="59326325"/>
    <w:rsid w:val="59390459"/>
    <w:rsid w:val="595C505B"/>
    <w:rsid w:val="595E55C3"/>
    <w:rsid w:val="596E7E20"/>
    <w:rsid w:val="5A60780B"/>
    <w:rsid w:val="5A690F96"/>
    <w:rsid w:val="5A922EF6"/>
    <w:rsid w:val="5AA65350"/>
    <w:rsid w:val="5AB34579"/>
    <w:rsid w:val="5AFC6609"/>
    <w:rsid w:val="5B113480"/>
    <w:rsid w:val="5BD456CE"/>
    <w:rsid w:val="5C0D1F49"/>
    <w:rsid w:val="5CBB0CE2"/>
    <w:rsid w:val="5CC17177"/>
    <w:rsid w:val="5CCC44A1"/>
    <w:rsid w:val="5CF306BC"/>
    <w:rsid w:val="5D3F3D64"/>
    <w:rsid w:val="5D833043"/>
    <w:rsid w:val="5DD92690"/>
    <w:rsid w:val="5DDB1CFD"/>
    <w:rsid w:val="5E7E6D93"/>
    <w:rsid w:val="5ED44800"/>
    <w:rsid w:val="5F350BDE"/>
    <w:rsid w:val="5F61632C"/>
    <w:rsid w:val="5F747BE4"/>
    <w:rsid w:val="5FA17648"/>
    <w:rsid w:val="5FE705CB"/>
    <w:rsid w:val="603D5080"/>
    <w:rsid w:val="603E6FC2"/>
    <w:rsid w:val="60D0261B"/>
    <w:rsid w:val="615347EA"/>
    <w:rsid w:val="61647137"/>
    <w:rsid w:val="618E3791"/>
    <w:rsid w:val="61947DCA"/>
    <w:rsid w:val="61A46A97"/>
    <w:rsid w:val="61A84603"/>
    <w:rsid w:val="61D1382F"/>
    <w:rsid w:val="61F114A2"/>
    <w:rsid w:val="62405124"/>
    <w:rsid w:val="62512BB4"/>
    <w:rsid w:val="625D7D1A"/>
    <w:rsid w:val="626B17A7"/>
    <w:rsid w:val="628C6D6F"/>
    <w:rsid w:val="62BE024D"/>
    <w:rsid w:val="62DD7D21"/>
    <w:rsid w:val="63293A8F"/>
    <w:rsid w:val="637D586B"/>
    <w:rsid w:val="63A5560B"/>
    <w:rsid w:val="63E9091F"/>
    <w:rsid w:val="64322AF9"/>
    <w:rsid w:val="646A3B35"/>
    <w:rsid w:val="64953569"/>
    <w:rsid w:val="64D6010D"/>
    <w:rsid w:val="64D82665"/>
    <w:rsid w:val="64E47C96"/>
    <w:rsid w:val="651E5741"/>
    <w:rsid w:val="654D3ADF"/>
    <w:rsid w:val="658A4877"/>
    <w:rsid w:val="65A00902"/>
    <w:rsid w:val="65AC6EDD"/>
    <w:rsid w:val="65D97752"/>
    <w:rsid w:val="66085536"/>
    <w:rsid w:val="66105BF7"/>
    <w:rsid w:val="66150023"/>
    <w:rsid w:val="661C64E5"/>
    <w:rsid w:val="6628010D"/>
    <w:rsid w:val="66832E61"/>
    <w:rsid w:val="669B4528"/>
    <w:rsid w:val="66CC12D7"/>
    <w:rsid w:val="670C0111"/>
    <w:rsid w:val="67134CEF"/>
    <w:rsid w:val="671F1ABD"/>
    <w:rsid w:val="67521A59"/>
    <w:rsid w:val="67C304AB"/>
    <w:rsid w:val="683F0658"/>
    <w:rsid w:val="689C6793"/>
    <w:rsid w:val="68B15DAE"/>
    <w:rsid w:val="68DB0208"/>
    <w:rsid w:val="68FB170C"/>
    <w:rsid w:val="691B3D98"/>
    <w:rsid w:val="693748F0"/>
    <w:rsid w:val="69846A0E"/>
    <w:rsid w:val="69AD798C"/>
    <w:rsid w:val="69D005C0"/>
    <w:rsid w:val="69D80B96"/>
    <w:rsid w:val="6A4750B6"/>
    <w:rsid w:val="6B015A6E"/>
    <w:rsid w:val="6B5508EF"/>
    <w:rsid w:val="6B68175F"/>
    <w:rsid w:val="6BFD799F"/>
    <w:rsid w:val="6C4A2E5A"/>
    <w:rsid w:val="6C8138D0"/>
    <w:rsid w:val="6CEF0725"/>
    <w:rsid w:val="6D4B2604"/>
    <w:rsid w:val="6D8030E4"/>
    <w:rsid w:val="6E0E35C4"/>
    <w:rsid w:val="6E0F7A08"/>
    <w:rsid w:val="6E3947F5"/>
    <w:rsid w:val="6E6206A9"/>
    <w:rsid w:val="6E9C74ED"/>
    <w:rsid w:val="6EF72976"/>
    <w:rsid w:val="6F795A80"/>
    <w:rsid w:val="6F7C1D2E"/>
    <w:rsid w:val="6F8E0407"/>
    <w:rsid w:val="6FDD069F"/>
    <w:rsid w:val="702B4D16"/>
    <w:rsid w:val="70AA6621"/>
    <w:rsid w:val="7111480F"/>
    <w:rsid w:val="71261F49"/>
    <w:rsid w:val="712E6956"/>
    <w:rsid w:val="71473612"/>
    <w:rsid w:val="71504F32"/>
    <w:rsid w:val="7152309F"/>
    <w:rsid w:val="718F7F65"/>
    <w:rsid w:val="727B234E"/>
    <w:rsid w:val="72A900B6"/>
    <w:rsid w:val="72D068C7"/>
    <w:rsid w:val="72E42ED8"/>
    <w:rsid w:val="735F4CB9"/>
    <w:rsid w:val="73674C62"/>
    <w:rsid w:val="73845865"/>
    <w:rsid w:val="739B6D9E"/>
    <w:rsid w:val="73BC1D76"/>
    <w:rsid w:val="73C122C6"/>
    <w:rsid w:val="73DA713A"/>
    <w:rsid w:val="73FB6630"/>
    <w:rsid w:val="748D790E"/>
    <w:rsid w:val="749820CC"/>
    <w:rsid w:val="74C62106"/>
    <w:rsid w:val="74CE04EC"/>
    <w:rsid w:val="74E76DCD"/>
    <w:rsid w:val="751D7C0A"/>
    <w:rsid w:val="75442BD6"/>
    <w:rsid w:val="75722D56"/>
    <w:rsid w:val="75DB5477"/>
    <w:rsid w:val="75FC6AC3"/>
    <w:rsid w:val="7616619B"/>
    <w:rsid w:val="76660D7C"/>
    <w:rsid w:val="766C5968"/>
    <w:rsid w:val="76BE0C8F"/>
    <w:rsid w:val="76CD53B2"/>
    <w:rsid w:val="770719AC"/>
    <w:rsid w:val="776526CC"/>
    <w:rsid w:val="77A262E1"/>
    <w:rsid w:val="77B13C33"/>
    <w:rsid w:val="77ED6F44"/>
    <w:rsid w:val="77F45548"/>
    <w:rsid w:val="7801322B"/>
    <w:rsid w:val="781E0018"/>
    <w:rsid w:val="784E7CA6"/>
    <w:rsid w:val="78574801"/>
    <w:rsid w:val="7873527F"/>
    <w:rsid w:val="790A6425"/>
    <w:rsid w:val="790E2D96"/>
    <w:rsid w:val="791B54B2"/>
    <w:rsid w:val="795A0A34"/>
    <w:rsid w:val="797339C3"/>
    <w:rsid w:val="79D57D57"/>
    <w:rsid w:val="79F00650"/>
    <w:rsid w:val="7A6242BF"/>
    <w:rsid w:val="7A794513"/>
    <w:rsid w:val="7A916283"/>
    <w:rsid w:val="7AE952D2"/>
    <w:rsid w:val="7B1D4E1A"/>
    <w:rsid w:val="7C976D69"/>
    <w:rsid w:val="7C9E2D67"/>
    <w:rsid w:val="7CD752DA"/>
    <w:rsid w:val="7CDE40AB"/>
    <w:rsid w:val="7CF057E2"/>
    <w:rsid w:val="7D1548B5"/>
    <w:rsid w:val="7DF84014"/>
    <w:rsid w:val="7E207949"/>
    <w:rsid w:val="7E5C0A47"/>
    <w:rsid w:val="7E670C75"/>
    <w:rsid w:val="7E8E5FE0"/>
    <w:rsid w:val="7EE24272"/>
    <w:rsid w:val="7EEA6053"/>
    <w:rsid w:val="7F487C04"/>
    <w:rsid w:val="7FB45F21"/>
    <w:rsid w:val="7FE57088"/>
    <w:rsid w:val="7FF37FA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0">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toc 3"/>
    <w:basedOn w:val="1"/>
    <w:next w:val="1"/>
    <w:qFormat/>
    <w:uiPriority w:val="0"/>
    <w:pPr>
      <w:ind w:left="840" w:leftChars="400"/>
    </w:p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toc 2"/>
    <w:basedOn w:val="1"/>
    <w:next w:val="1"/>
    <w:qFormat/>
    <w:uiPriority w:val="0"/>
    <w:pPr>
      <w:ind w:left="420" w:leftChars="200"/>
    </w:pPr>
  </w:style>
  <w:style w:type="paragraph" w:styleId="8">
    <w:name w:val="Normal (Web)"/>
    <w:basedOn w:val="1"/>
    <w:qFormat/>
    <w:uiPriority w:val="0"/>
    <w:pPr>
      <w:spacing w:before="100" w:beforeAutospacing="1" w:after="100" w:afterAutospacing="1"/>
      <w:ind w:left="0" w:right="0"/>
      <w:jc w:val="left"/>
    </w:pPr>
    <w:rPr>
      <w:kern w:val="0"/>
      <w:sz w:val="24"/>
      <w:lang w:val="en-US" w:eastAsia="zh-CN" w:bidi="ar"/>
    </w:rPr>
  </w:style>
  <w:style w:type="character" w:styleId="11">
    <w:name w:val="Strong"/>
    <w:basedOn w:val="10"/>
    <w:qFormat/>
    <w:uiPriority w:val="0"/>
    <w:rPr>
      <w:b/>
    </w:rPr>
  </w:style>
  <w:style w:type="paragraph" w:customStyle="1" w:styleId="12">
    <w:name w:val="WPSOffice手动目录 3"/>
    <w:qFormat/>
    <w:uiPriority w:val="0"/>
    <w:pPr>
      <w:ind w:leftChars="400"/>
    </w:pPr>
    <w:rPr>
      <w:rFonts w:ascii="Times New Roman" w:hAnsi="Times New Roman" w:eastAsia="宋体" w:cs="Times New Roman"/>
      <w:sz w:val="20"/>
      <w:szCs w:val="20"/>
    </w:rPr>
  </w:style>
  <w:style w:type="paragraph" w:customStyle="1" w:styleId="13">
    <w:name w:val="WPSOffice手动目录 2"/>
    <w:qFormat/>
    <w:uiPriority w:val="0"/>
    <w:pPr>
      <w:ind w:leftChars="200"/>
    </w:pPr>
    <w:rPr>
      <w:rFonts w:ascii="Times New Roman" w:hAnsi="Times New Roman" w:eastAsia="宋体" w:cs="Times New Roman"/>
      <w:sz w:val="20"/>
      <w:szCs w:val="20"/>
    </w:rPr>
  </w:style>
  <w:style w:type="paragraph" w:customStyle="1" w:styleId="14">
    <w:name w:val="WPSOffice手动目录 1"/>
    <w:qFormat/>
    <w:uiPriority w:val="0"/>
    <w:pPr>
      <w:ind w:leftChars="0"/>
    </w:pPr>
    <w:rPr>
      <w:rFonts w:ascii="Times New Roman" w:hAnsi="Times New Roman" w:eastAsia="宋体" w:cs="Times New Roman"/>
      <w:sz w:val="20"/>
      <w:szCs w:val="20"/>
    </w:rPr>
  </w:style>
  <w:style w:type="paragraph" w:customStyle="1" w:styleId="15">
    <w:name w:val="List Paragraph"/>
    <w:basedOn w:val="1"/>
    <w:qFormat/>
    <w:uiPriority w:val="0"/>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customXml" Target="../customXml/item1.xml"/><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33</Pages>
  <Words>6483</Words>
  <Characters>20828</Characters>
  <Lines>0</Lines>
  <Paragraphs>0</Paragraphs>
  <TotalTime>8</TotalTime>
  <ScaleCrop>false</ScaleCrop>
  <LinksUpToDate>false</LinksUpToDate>
  <CharactersWithSpaces>20940</CharactersWithSpaces>
  <Application>WPS Office_11.1.0.9584_F1E327BC-269C-435d-A152-05C5408002CA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GXR</dc:creator>
  <cp:lastModifiedBy>Administrator</cp:lastModifiedBy>
  <cp:lastPrinted>2024-08-19T03:09:00Z</cp:lastPrinted>
  <dcterms:modified xsi:type="dcterms:W3CDTF">2024-12-27T12:35:15Z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y fmtid="{D5CDD505-2E9C-101B-9397-08002B2CF9AE}" pid="3" name="ICV">
    <vt:lpwstr>D624B15633CD43C8BF9435464A96BF70</vt:lpwstr>
  </property>
</Properties>
</file>