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560" w:lineRule="exact"/>
        <w:ind w:firstLine="1044" w:firstLineChars="200"/>
        <w:jc w:val="center"/>
        <w:textAlignment w:val="auto"/>
        <w:rPr>
          <w:rFonts w:hint="eastAsia" w:ascii="仿宋" w:hAnsi="仿宋" w:eastAsia="仿宋" w:cs="仿宋"/>
          <w:b/>
          <w:color w:val="auto"/>
          <w:kern w:val="0"/>
          <w:sz w:val="52"/>
          <w:szCs w:val="52"/>
          <w:highlight w:val="none"/>
        </w:rPr>
      </w:pPr>
      <w:bookmarkStart w:id="0" w:name="_GoBack"/>
    </w:p>
    <w:p>
      <w:pPr>
        <w:pageBreakBefore w:val="0"/>
        <w:kinsoku/>
        <w:wordWrap/>
        <w:overflowPunct/>
        <w:topLinePunct w:val="0"/>
        <w:autoSpaceDE/>
        <w:autoSpaceDN/>
        <w:bidi w:val="0"/>
        <w:adjustRightInd/>
        <w:spacing w:line="56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6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60" w:lineRule="exact"/>
        <w:ind w:firstLine="1044" w:firstLineChars="200"/>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60" w:lineRule="exact"/>
        <w:ind w:firstLine="1044" w:firstLineChars="200"/>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60" w:lineRule="exact"/>
        <w:ind w:left="0" w:leftChars="0" w:firstLine="0" w:firstLineChars="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60" w:lineRule="exact"/>
        <w:ind w:left="0" w:leftChars="0" w:firstLine="0" w:firstLineChars="0"/>
        <w:jc w:val="center"/>
        <w:textAlignment w:val="auto"/>
        <w:rPr>
          <w:rFonts w:hint="eastAsia" w:ascii="黑体" w:hAnsi="黑体" w:eastAsia="黑体" w:cs="黑体"/>
          <w:b/>
          <w:color w:val="auto"/>
          <w:kern w:val="0"/>
          <w:sz w:val="48"/>
          <w:szCs w:val="48"/>
          <w:highlight w:val="none"/>
        </w:rPr>
      </w:pPr>
      <w:r>
        <w:rPr>
          <w:rFonts w:hint="eastAsia" w:ascii="黑体" w:hAnsi="黑体" w:eastAsia="黑体" w:cs="黑体"/>
          <w:b/>
          <w:color w:val="auto"/>
          <w:kern w:val="0"/>
          <w:sz w:val="48"/>
          <w:szCs w:val="48"/>
          <w:highlight w:val="none"/>
          <w:lang w:val="en-US" w:eastAsia="zh-CN"/>
        </w:rPr>
        <w:t>库尔勒市</w:t>
      </w:r>
      <w:r>
        <w:rPr>
          <w:rFonts w:hint="eastAsia" w:ascii="黑体" w:hAnsi="黑体" w:eastAsia="黑体" w:cs="黑体"/>
          <w:b/>
          <w:color w:val="auto"/>
          <w:kern w:val="0"/>
          <w:sz w:val="48"/>
          <w:szCs w:val="48"/>
          <w:highlight w:val="none"/>
        </w:rPr>
        <w:t>部门单位整体支出绩效</w:t>
      </w:r>
    </w:p>
    <w:p>
      <w:pPr>
        <w:pageBreakBefore w:val="0"/>
        <w:kinsoku/>
        <w:wordWrap/>
        <w:overflowPunct/>
        <w:topLinePunct w:val="0"/>
        <w:autoSpaceDE/>
        <w:autoSpaceDN/>
        <w:bidi w:val="0"/>
        <w:adjustRightInd/>
        <w:spacing w:line="560" w:lineRule="exact"/>
        <w:ind w:left="0" w:leftChars="0" w:firstLine="0" w:firstLineChars="0"/>
        <w:jc w:val="center"/>
        <w:textAlignment w:val="auto"/>
        <w:rPr>
          <w:rFonts w:hint="eastAsia" w:ascii="黑体" w:hAnsi="黑体" w:eastAsia="黑体" w:cs="黑体"/>
          <w:b/>
          <w:color w:val="auto"/>
          <w:kern w:val="0"/>
          <w:sz w:val="48"/>
          <w:szCs w:val="48"/>
          <w:highlight w:val="none"/>
        </w:rPr>
      </w:pPr>
      <w:r>
        <w:rPr>
          <w:rFonts w:hint="eastAsia" w:ascii="黑体" w:hAnsi="黑体" w:eastAsia="黑体" w:cs="黑体"/>
          <w:b/>
          <w:color w:val="auto"/>
          <w:kern w:val="0"/>
          <w:sz w:val="48"/>
          <w:szCs w:val="48"/>
          <w:highlight w:val="none"/>
        </w:rPr>
        <w:t>自评报告</w:t>
      </w:r>
    </w:p>
    <w:p>
      <w:pPr>
        <w:pageBreakBefore w:val="0"/>
        <w:kinsoku/>
        <w:wordWrap/>
        <w:overflowPunct/>
        <w:topLinePunct w:val="0"/>
        <w:autoSpaceDE/>
        <w:autoSpaceDN/>
        <w:bidi w:val="0"/>
        <w:adjustRightInd/>
        <w:spacing w:line="560" w:lineRule="exact"/>
        <w:ind w:left="0" w:leftChars="0" w:firstLine="0" w:firstLineChars="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60" w:lineRule="exact"/>
        <w:ind w:left="0" w:leftChars="0" w:firstLine="0" w:firstLineChars="0"/>
        <w:jc w:val="center"/>
        <w:textAlignment w:val="auto"/>
        <w:rPr>
          <w:rFonts w:hint="eastAsia" w:ascii="黑体" w:hAnsi="黑体" w:eastAsia="黑体" w:cs="黑体"/>
          <w:color w:val="auto"/>
          <w:kern w:val="0"/>
          <w:sz w:val="36"/>
          <w:szCs w:val="36"/>
          <w:highlight w:val="none"/>
        </w:rPr>
      </w:pPr>
      <w:r>
        <w:rPr>
          <w:rFonts w:hint="eastAsia" w:ascii="黑体" w:hAnsi="黑体" w:eastAsia="黑体" w:cs="黑体"/>
          <w:color w:val="auto"/>
          <w:kern w:val="0"/>
          <w:sz w:val="36"/>
          <w:szCs w:val="36"/>
          <w:highlight w:val="none"/>
        </w:rPr>
        <w:t>（</w:t>
      </w:r>
      <w:r>
        <w:rPr>
          <w:rFonts w:hint="eastAsia" w:ascii="黑体" w:hAnsi="黑体" w:eastAsia="黑体" w:cs="黑体"/>
          <w:color w:val="auto"/>
          <w:kern w:val="0"/>
          <w:sz w:val="36"/>
          <w:szCs w:val="36"/>
          <w:highlight w:val="none"/>
          <w:lang w:val="en-US" w:eastAsia="zh-CN"/>
        </w:rPr>
        <w:t>2023</w:t>
      </w:r>
      <w:r>
        <w:rPr>
          <w:rFonts w:hint="eastAsia" w:ascii="黑体" w:hAnsi="黑体" w:eastAsia="黑体" w:cs="黑体"/>
          <w:color w:val="auto"/>
          <w:kern w:val="0"/>
          <w:sz w:val="36"/>
          <w:szCs w:val="36"/>
          <w:highlight w:val="none"/>
        </w:rPr>
        <w:t>年度）</w:t>
      </w:r>
    </w:p>
    <w:p>
      <w:pPr>
        <w:pageBreakBefore w:val="0"/>
        <w:kinsoku/>
        <w:wordWrap/>
        <w:overflowPunct/>
        <w:topLinePunct w:val="0"/>
        <w:autoSpaceDE/>
        <w:autoSpaceDN/>
        <w:bidi w:val="0"/>
        <w:adjustRightInd/>
        <w:spacing w:line="560" w:lineRule="exact"/>
        <w:ind w:left="0" w:leftChars="0" w:firstLine="0" w:firstLineChars="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6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6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6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6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60" w:lineRule="exact"/>
        <w:ind w:firstLine="600" w:firstLineChars="200"/>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60" w:lineRule="exact"/>
        <w:ind w:firstLine="720" w:firstLineChars="200"/>
        <w:jc w:val="left"/>
        <w:textAlignment w:val="auto"/>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 xml:space="preserve">  </w:t>
      </w:r>
    </w:p>
    <w:p>
      <w:pPr>
        <w:pageBreakBefore w:val="0"/>
        <w:kinsoku/>
        <w:wordWrap/>
        <w:overflowPunct/>
        <w:topLinePunct w:val="0"/>
        <w:autoSpaceDE/>
        <w:autoSpaceDN/>
        <w:bidi w:val="0"/>
        <w:adjustRightInd/>
        <w:spacing w:line="560" w:lineRule="exact"/>
        <w:ind w:firstLine="720" w:firstLineChars="200"/>
        <w:jc w:val="left"/>
        <w:textAlignment w:val="auto"/>
        <w:rPr>
          <w:rFonts w:hint="eastAsia" w:ascii="仿宋" w:hAnsi="仿宋" w:eastAsia="仿宋" w:cs="仿宋"/>
          <w:color w:val="auto"/>
          <w:kern w:val="0"/>
          <w:sz w:val="36"/>
          <w:szCs w:val="36"/>
          <w:highlight w:val="none"/>
          <w:lang w:val="en-US" w:eastAsia="zh-CN"/>
        </w:rPr>
      </w:pPr>
      <w:r>
        <w:rPr>
          <w:rFonts w:hint="eastAsia" w:ascii="仿宋" w:hAnsi="仿宋" w:eastAsia="仿宋" w:cs="仿宋"/>
          <w:color w:val="auto"/>
          <w:kern w:val="0"/>
          <w:sz w:val="36"/>
          <w:szCs w:val="36"/>
          <w:highlight w:val="none"/>
        </w:rPr>
        <w:t>部门单位名称（公章）：</w:t>
      </w:r>
    </w:p>
    <w:p>
      <w:pPr>
        <w:pageBreakBefore w:val="0"/>
        <w:kinsoku/>
        <w:wordWrap/>
        <w:overflowPunct/>
        <w:topLinePunct w:val="0"/>
        <w:autoSpaceDE/>
        <w:autoSpaceDN/>
        <w:bidi w:val="0"/>
        <w:adjustRightInd/>
        <w:spacing w:line="560" w:lineRule="exact"/>
        <w:ind w:firstLine="720" w:firstLineChars="200"/>
        <w:jc w:val="left"/>
        <w:textAlignment w:val="auto"/>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填报时间：</w:t>
      </w:r>
      <w:r>
        <w:rPr>
          <w:rFonts w:hint="eastAsia" w:ascii="仿宋" w:hAnsi="仿宋" w:eastAsia="仿宋" w:cs="仿宋"/>
          <w:color w:val="auto"/>
          <w:kern w:val="0"/>
          <w:sz w:val="36"/>
          <w:szCs w:val="36"/>
          <w:highlight w:val="none"/>
          <w:lang w:val="en-US" w:eastAsia="zh-CN"/>
        </w:rPr>
        <w:t>2024</w:t>
      </w:r>
      <w:r>
        <w:rPr>
          <w:rFonts w:hint="eastAsia" w:ascii="仿宋" w:hAnsi="仿宋" w:eastAsia="仿宋" w:cs="仿宋"/>
          <w:color w:val="auto"/>
          <w:kern w:val="0"/>
          <w:sz w:val="36"/>
          <w:szCs w:val="36"/>
          <w:highlight w:val="none"/>
        </w:rPr>
        <w:t>年</w:t>
      </w:r>
      <w:r>
        <w:rPr>
          <w:rFonts w:hint="eastAsia" w:ascii="仿宋" w:hAnsi="仿宋" w:eastAsia="仿宋" w:cs="仿宋"/>
          <w:color w:val="auto"/>
          <w:kern w:val="0"/>
          <w:sz w:val="36"/>
          <w:szCs w:val="36"/>
          <w:highlight w:val="none"/>
          <w:lang w:val="en-US" w:eastAsia="zh-CN"/>
        </w:rPr>
        <w:t>4</w:t>
      </w:r>
      <w:r>
        <w:rPr>
          <w:rFonts w:hint="eastAsia" w:ascii="仿宋" w:hAnsi="仿宋" w:eastAsia="仿宋" w:cs="仿宋"/>
          <w:color w:val="auto"/>
          <w:kern w:val="0"/>
          <w:sz w:val="36"/>
          <w:szCs w:val="36"/>
          <w:highlight w:val="none"/>
        </w:rPr>
        <w:t>月</w:t>
      </w:r>
      <w:r>
        <w:rPr>
          <w:rFonts w:hint="eastAsia" w:ascii="仿宋" w:hAnsi="仿宋" w:eastAsia="仿宋" w:cs="仿宋"/>
          <w:color w:val="auto"/>
          <w:kern w:val="0"/>
          <w:sz w:val="36"/>
          <w:szCs w:val="36"/>
          <w:highlight w:val="none"/>
          <w:lang w:val="en-US" w:eastAsia="zh-CN"/>
        </w:rPr>
        <w:t>28</w:t>
      </w:r>
      <w:r>
        <w:rPr>
          <w:rFonts w:hint="eastAsia" w:ascii="仿宋" w:hAnsi="仿宋" w:eastAsia="仿宋" w:cs="仿宋"/>
          <w:color w:val="auto"/>
          <w:kern w:val="0"/>
          <w:sz w:val="36"/>
          <w:szCs w:val="36"/>
          <w:highlight w:val="none"/>
        </w:rPr>
        <w:t>日</w:t>
      </w:r>
    </w:p>
    <w:p>
      <w:pPr>
        <w:pageBreakBefore w:val="0"/>
        <w:kinsoku/>
        <w:wordWrap/>
        <w:overflowPunct/>
        <w:topLinePunct w:val="0"/>
        <w:autoSpaceDE/>
        <w:autoSpaceDN/>
        <w:bidi w:val="0"/>
        <w:adjustRightInd/>
        <w:spacing w:line="560" w:lineRule="exact"/>
        <w:ind w:firstLine="720" w:firstLineChars="200"/>
        <w:textAlignment w:val="auto"/>
        <w:rPr>
          <w:rFonts w:hAnsi="宋体" w:eastAsia="仿宋_GB2312" w:cs="宋体"/>
          <w:color w:val="auto"/>
          <w:kern w:val="0"/>
          <w:sz w:val="36"/>
          <w:szCs w:val="36"/>
          <w:highlight w:val="none"/>
        </w:rPr>
      </w:pPr>
      <w:r>
        <w:rPr>
          <w:rFonts w:hAnsi="宋体" w:eastAsia="仿宋_GB2312" w:cs="宋体"/>
          <w:color w:val="auto"/>
          <w:kern w:val="0"/>
          <w:sz w:val="36"/>
          <w:szCs w:val="36"/>
          <w:highlight w:val="none"/>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一、基本概况</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0"/>
          <w:rFonts w:hint="eastAsia" w:ascii="黑体" w:hAnsi="黑体" w:eastAsia="黑体" w:cs="黑体"/>
          <w:b w:val="0"/>
          <w:bCs/>
          <w:color w:val="auto"/>
          <w:spacing w:val="-4"/>
          <w:sz w:val="32"/>
          <w:szCs w:val="32"/>
          <w:highlight w:val="none"/>
        </w:rPr>
      </w:pPr>
      <w:r>
        <w:rPr>
          <w:rStyle w:val="10"/>
          <w:rFonts w:hint="eastAsia" w:ascii="黑体" w:hAnsi="黑体" w:eastAsia="黑体" w:cs="黑体"/>
          <w:b w:val="0"/>
          <w:bCs/>
          <w:color w:val="auto"/>
          <w:spacing w:val="-4"/>
          <w:sz w:val="32"/>
          <w:szCs w:val="32"/>
          <w:highlight w:val="none"/>
          <w:lang w:val="en-US" w:eastAsia="zh-CN"/>
        </w:rPr>
        <w:t>(一)</w:t>
      </w:r>
      <w:r>
        <w:rPr>
          <w:rStyle w:val="10"/>
          <w:rFonts w:hint="eastAsia" w:ascii="黑体" w:hAnsi="黑体" w:eastAsia="黑体" w:cs="黑体"/>
          <w:b w:val="0"/>
          <w:bCs/>
          <w:color w:val="auto"/>
          <w:spacing w:val="-4"/>
          <w:sz w:val="32"/>
          <w:szCs w:val="32"/>
          <w:highlight w:val="none"/>
        </w:rPr>
        <w:t>部门单位基本情况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1.部门职能</w:t>
      </w:r>
    </w:p>
    <w:p>
      <w:pPr>
        <w:keepNext w:val="0"/>
        <w:keepLines w:val="0"/>
        <w:pageBreakBefore w:val="0"/>
        <w:kinsoku/>
        <w:wordWrap/>
        <w:overflowPunct/>
        <w:topLinePunct w:val="0"/>
        <w:autoSpaceDE/>
        <w:autoSpaceDN/>
        <w:bidi w:val="0"/>
        <w:adjustRightInd/>
        <w:spacing w:line="560" w:lineRule="exact"/>
        <w:ind w:left="0" w:leftChars="0" w:firstLine="620" w:firstLineChars="200"/>
        <w:textAlignment w:val="auto"/>
        <w:rPr>
          <w:rFonts w:hint="eastAsia" w:ascii="仿宋_GB2312" w:eastAsia="仿宋_GB2312"/>
          <w:color w:val="auto"/>
          <w:sz w:val="31"/>
          <w:szCs w:val="31"/>
          <w:highlight w:val="none"/>
        </w:rPr>
      </w:pPr>
      <w:r>
        <w:rPr>
          <w:rFonts w:hint="eastAsia" w:ascii="仿宋_GB2312" w:eastAsia="仿宋_GB2312"/>
          <w:color w:val="auto"/>
          <w:sz w:val="31"/>
          <w:szCs w:val="31"/>
          <w:highlight w:val="none"/>
          <w:lang w:eastAsia="zh-CN"/>
        </w:rPr>
        <w:t>（</w:t>
      </w:r>
      <w:r>
        <w:rPr>
          <w:rFonts w:hint="eastAsia" w:ascii="仿宋_GB2312" w:eastAsia="仿宋_GB2312"/>
          <w:color w:val="auto"/>
          <w:sz w:val="31"/>
          <w:szCs w:val="31"/>
          <w:highlight w:val="none"/>
          <w:lang w:val="en-US" w:eastAsia="zh-CN"/>
        </w:rPr>
        <w:t>一</w:t>
      </w:r>
      <w:r>
        <w:rPr>
          <w:rFonts w:hint="eastAsia" w:ascii="仿宋_GB2312" w:eastAsia="仿宋_GB2312"/>
          <w:color w:val="auto"/>
          <w:sz w:val="31"/>
          <w:szCs w:val="31"/>
          <w:highlight w:val="none"/>
          <w:lang w:eastAsia="zh-CN"/>
        </w:rPr>
        <w:t>）</w:t>
      </w:r>
      <w:r>
        <w:rPr>
          <w:rFonts w:hint="eastAsia" w:ascii="仿宋_GB2312" w:eastAsia="仿宋_GB2312"/>
          <w:color w:val="auto"/>
          <w:sz w:val="31"/>
          <w:szCs w:val="31"/>
          <w:highlight w:val="none"/>
        </w:rPr>
        <w:t>贯彻执行国家内外贸易、国际经济合作发展战略、政策，贯彻执行招商引资、对外经济合作、外商投资、对外投资和对外援助的地方性法规、规章和有关政策措施并组织实施；研究拟订库尔勒市商务领域有关政策并组织实施；研究“一带一路”、“中巴经济走廊综合承载区”、区域经济合作、现代流通方式和流通体制改革方面的政策意见及相关建议。</w:t>
      </w:r>
    </w:p>
    <w:p>
      <w:pPr>
        <w:keepNext w:val="0"/>
        <w:keepLines w:val="0"/>
        <w:pageBreakBefore w:val="0"/>
        <w:kinsoku/>
        <w:wordWrap/>
        <w:overflowPunct/>
        <w:topLinePunct w:val="0"/>
        <w:autoSpaceDE/>
        <w:autoSpaceDN/>
        <w:bidi w:val="0"/>
        <w:adjustRightInd/>
        <w:spacing w:line="560" w:lineRule="exact"/>
        <w:ind w:left="0" w:leftChars="0" w:firstLine="620" w:firstLineChars="200"/>
        <w:textAlignment w:val="auto"/>
        <w:rPr>
          <w:rFonts w:hint="eastAsia" w:ascii="仿宋_GB2312" w:eastAsia="仿宋_GB2312"/>
          <w:color w:val="auto"/>
          <w:sz w:val="31"/>
          <w:szCs w:val="31"/>
          <w:highlight w:val="none"/>
        </w:rPr>
      </w:pPr>
      <w:r>
        <w:rPr>
          <w:rFonts w:hint="eastAsia" w:ascii="仿宋_GB2312" w:eastAsia="仿宋_GB2312"/>
          <w:color w:val="auto"/>
          <w:sz w:val="31"/>
          <w:szCs w:val="31"/>
          <w:highlight w:val="none"/>
          <w:lang w:eastAsia="zh-CN"/>
        </w:rPr>
        <w:t>（</w:t>
      </w:r>
      <w:r>
        <w:rPr>
          <w:rFonts w:hint="eastAsia" w:ascii="仿宋_GB2312" w:eastAsia="仿宋_GB2312"/>
          <w:color w:val="auto"/>
          <w:sz w:val="31"/>
          <w:szCs w:val="31"/>
          <w:highlight w:val="none"/>
          <w:lang w:val="en-US" w:eastAsia="zh-CN"/>
        </w:rPr>
        <w:t>二</w:t>
      </w:r>
      <w:r>
        <w:rPr>
          <w:rFonts w:hint="eastAsia" w:ascii="仿宋_GB2312" w:eastAsia="仿宋_GB2312"/>
          <w:color w:val="auto"/>
          <w:sz w:val="31"/>
          <w:szCs w:val="31"/>
          <w:highlight w:val="none"/>
          <w:lang w:eastAsia="zh-CN"/>
        </w:rPr>
        <w:t>）</w:t>
      </w:r>
      <w:r>
        <w:rPr>
          <w:rFonts w:hint="eastAsia" w:ascii="仿宋_GB2312" w:eastAsia="仿宋_GB2312"/>
          <w:color w:val="auto"/>
          <w:sz w:val="31"/>
          <w:szCs w:val="31"/>
          <w:highlight w:val="none"/>
        </w:rPr>
        <w:t>推进流通产业结构调整，指导流通企业改革、商贸服 务业和社区商业发展，提出促进商贸中小企业发展的政策建议，推动流通标准化和连锁经营、物流配送、电子商务等现代流通方式的发展，配合上级有关部门做好商业特许经营相关工作。</w:t>
      </w:r>
    </w:p>
    <w:p>
      <w:pPr>
        <w:keepNext w:val="0"/>
        <w:keepLines w:val="0"/>
        <w:pageBreakBefore w:val="0"/>
        <w:kinsoku/>
        <w:wordWrap/>
        <w:overflowPunct/>
        <w:topLinePunct w:val="0"/>
        <w:autoSpaceDE/>
        <w:autoSpaceDN/>
        <w:bidi w:val="0"/>
        <w:adjustRightInd/>
        <w:spacing w:line="560" w:lineRule="exact"/>
        <w:ind w:left="0" w:leftChars="0" w:firstLine="620" w:firstLineChars="200"/>
        <w:textAlignment w:val="auto"/>
        <w:rPr>
          <w:rFonts w:hint="eastAsia" w:ascii="仿宋_GB2312" w:eastAsia="仿宋_GB2312"/>
          <w:color w:val="auto"/>
          <w:sz w:val="31"/>
          <w:szCs w:val="31"/>
          <w:highlight w:val="none"/>
        </w:rPr>
      </w:pPr>
      <w:r>
        <w:rPr>
          <w:rFonts w:hint="eastAsia" w:ascii="仿宋_GB2312" w:eastAsia="仿宋_GB2312"/>
          <w:color w:val="auto"/>
          <w:sz w:val="31"/>
          <w:szCs w:val="31"/>
          <w:highlight w:val="none"/>
          <w:lang w:eastAsia="zh-CN"/>
        </w:rPr>
        <w:t>（</w:t>
      </w:r>
      <w:r>
        <w:rPr>
          <w:rFonts w:hint="eastAsia" w:ascii="仿宋_GB2312" w:eastAsia="仿宋_GB2312"/>
          <w:color w:val="auto"/>
          <w:sz w:val="31"/>
          <w:szCs w:val="31"/>
          <w:highlight w:val="none"/>
          <w:lang w:val="en-US" w:eastAsia="zh-CN"/>
        </w:rPr>
        <w:t>三</w:t>
      </w:r>
      <w:r>
        <w:rPr>
          <w:rFonts w:hint="eastAsia" w:ascii="仿宋_GB2312" w:eastAsia="仿宋_GB2312"/>
          <w:color w:val="auto"/>
          <w:sz w:val="31"/>
          <w:szCs w:val="31"/>
          <w:highlight w:val="none"/>
          <w:lang w:eastAsia="zh-CN"/>
        </w:rPr>
        <w:t>）</w:t>
      </w:r>
      <w:r>
        <w:rPr>
          <w:rFonts w:hint="eastAsia" w:ascii="仿宋_GB2312" w:eastAsia="仿宋_GB2312"/>
          <w:color w:val="auto"/>
          <w:sz w:val="31"/>
          <w:szCs w:val="31"/>
          <w:highlight w:val="none"/>
        </w:rPr>
        <w:t>拟订全市贸易发展规划，促进城乡市场发展，执行引导国内外资金投向市场体系建设的政策，指导大宗产品批发市场规划和城市商业网点规划、商业体系建设工作，推进有关农村市场体系建设，组织实施农村现代流通网络工程。</w:t>
      </w:r>
    </w:p>
    <w:p>
      <w:pPr>
        <w:keepNext w:val="0"/>
        <w:keepLines w:val="0"/>
        <w:pageBreakBefore w:val="0"/>
        <w:kinsoku/>
        <w:wordWrap/>
        <w:overflowPunct/>
        <w:topLinePunct w:val="0"/>
        <w:autoSpaceDE/>
        <w:autoSpaceDN/>
        <w:bidi w:val="0"/>
        <w:adjustRightInd/>
        <w:spacing w:line="560" w:lineRule="exact"/>
        <w:ind w:left="0" w:leftChars="0" w:firstLine="620" w:firstLineChars="200"/>
        <w:textAlignment w:val="auto"/>
        <w:rPr>
          <w:rFonts w:hint="eastAsia" w:ascii="仿宋_GB2312" w:eastAsia="仿宋_GB2312"/>
          <w:color w:val="auto"/>
          <w:sz w:val="31"/>
          <w:szCs w:val="31"/>
          <w:highlight w:val="none"/>
        </w:rPr>
      </w:pPr>
      <w:r>
        <w:rPr>
          <w:rFonts w:hint="eastAsia" w:ascii="仿宋_GB2312" w:eastAsia="仿宋_GB2312"/>
          <w:color w:val="auto"/>
          <w:sz w:val="31"/>
          <w:szCs w:val="31"/>
          <w:highlight w:val="none"/>
          <w:lang w:eastAsia="zh-CN"/>
        </w:rPr>
        <w:t>（</w:t>
      </w:r>
      <w:r>
        <w:rPr>
          <w:rFonts w:hint="eastAsia" w:ascii="仿宋_GB2312" w:eastAsia="仿宋_GB2312"/>
          <w:color w:val="auto"/>
          <w:sz w:val="31"/>
          <w:szCs w:val="31"/>
          <w:highlight w:val="none"/>
          <w:lang w:val="en-US" w:eastAsia="zh-CN"/>
        </w:rPr>
        <w:t>四</w:t>
      </w:r>
      <w:r>
        <w:rPr>
          <w:rFonts w:hint="eastAsia" w:ascii="仿宋_GB2312" w:eastAsia="仿宋_GB2312"/>
          <w:color w:val="auto"/>
          <w:sz w:val="31"/>
          <w:szCs w:val="31"/>
          <w:highlight w:val="none"/>
          <w:lang w:eastAsia="zh-CN"/>
        </w:rPr>
        <w:t>）</w:t>
      </w:r>
      <w:r>
        <w:rPr>
          <w:rFonts w:hint="eastAsia" w:ascii="仿宋_GB2312" w:eastAsia="仿宋_GB2312"/>
          <w:color w:val="auto"/>
          <w:sz w:val="31"/>
          <w:szCs w:val="31"/>
          <w:highlight w:val="none"/>
        </w:rPr>
        <w:t>牵头协调整顿和规范市场经济秩序工作，拟订规范市场运行、流通秩序的政策意见，推动商务领域信用建设，指导商业信用销售；参与建立市场诚信公共服务平台，配合上级业务主管部门对特殊流通行业进行监督管理。</w:t>
      </w:r>
    </w:p>
    <w:p>
      <w:pPr>
        <w:keepNext w:val="0"/>
        <w:keepLines w:val="0"/>
        <w:pageBreakBefore w:val="0"/>
        <w:kinsoku/>
        <w:wordWrap/>
        <w:overflowPunct/>
        <w:topLinePunct w:val="0"/>
        <w:autoSpaceDE/>
        <w:autoSpaceDN/>
        <w:bidi w:val="0"/>
        <w:adjustRightInd/>
        <w:spacing w:line="560" w:lineRule="exact"/>
        <w:ind w:left="0" w:leftChars="0" w:firstLine="620" w:firstLineChars="200"/>
        <w:textAlignment w:val="auto"/>
        <w:rPr>
          <w:rFonts w:hint="eastAsia" w:ascii="仿宋_GB2312" w:eastAsia="仿宋_GB2312"/>
          <w:color w:val="auto"/>
          <w:sz w:val="31"/>
          <w:szCs w:val="31"/>
          <w:highlight w:val="none"/>
        </w:rPr>
      </w:pPr>
      <w:r>
        <w:rPr>
          <w:rFonts w:hint="eastAsia" w:ascii="仿宋_GB2312" w:eastAsia="仿宋_GB2312"/>
          <w:color w:val="auto"/>
          <w:sz w:val="31"/>
          <w:szCs w:val="31"/>
          <w:highlight w:val="none"/>
          <w:lang w:eastAsia="zh-CN"/>
        </w:rPr>
        <w:t>（</w:t>
      </w:r>
      <w:r>
        <w:rPr>
          <w:rFonts w:hint="eastAsia" w:ascii="仿宋_GB2312" w:eastAsia="仿宋_GB2312"/>
          <w:color w:val="auto"/>
          <w:sz w:val="31"/>
          <w:szCs w:val="31"/>
          <w:highlight w:val="none"/>
          <w:lang w:val="en-US" w:eastAsia="zh-CN"/>
        </w:rPr>
        <w:t>五</w:t>
      </w:r>
      <w:r>
        <w:rPr>
          <w:rFonts w:hint="eastAsia" w:ascii="仿宋_GB2312" w:eastAsia="仿宋_GB2312"/>
          <w:color w:val="auto"/>
          <w:sz w:val="31"/>
          <w:szCs w:val="31"/>
          <w:highlight w:val="none"/>
          <w:lang w:eastAsia="zh-CN"/>
        </w:rPr>
        <w:t>）</w:t>
      </w:r>
      <w:r>
        <w:rPr>
          <w:rFonts w:hint="eastAsia" w:ascii="仿宋_GB2312" w:eastAsia="仿宋_GB2312"/>
          <w:color w:val="auto"/>
          <w:sz w:val="31"/>
          <w:szCs w:val="31"/>
          <w:highlight w:val="none"/>
        </w:rPr>
        <w:t>组织实施库尔勒市重要消费品市场调控和重要生产资料流通管理，负责建立健全库尔勒市生活必需品市场供应应急管理机制，监测分析市场运行、商品供求状况，调查分析商品价格信息，进行预测预警和信息引导；按分工负责重要消费品储备管理和市场调控工作，配合上级业务主管部门对成品油流通环节进行监督管理；负责全市酒类流通工作。</w:t>
      </w:r>
    </w:p>
    <w:p>
      <w:pPr>
        <w:keepNext w:val="0"/>
        <w:keepLines w:val="0"/>
        <w:pageBreakBefore w:val="0"/>
        <w:kinsoku/>
        <w:wordWrap/>
        <w:overflowPunct/>
        <w:topLinePunct w:val="0"/>
        <w:autoSpaceDE/>
        <w:autoSpaceDN/>
        <w:bidi w:val="0"/>
        <w:adjustRightInd/>
        <w:spacing w:line="560" w:lineRule="exact"/>
        <w:ind w:left="0" w:leftChars="0" w:firstLine="620" w:firstLineChars="200"/>
        <w:textAlignment w:val="auto"/>
        <w:rPr>
          <w:rFonts w:hint="eastAsia" w:ascii="仿宋_GB2312" w:eastAsia="仿宋_GB2312"/>
          <w:color w:val="auto"/>
          <w:sz w:val="31"/>
          <w:szCs w:val="31"/>
          <w:highlight w:val="none"/>
        </w:rPr>
      </w:pPr>
      <w:r>
        <w:rPr>
          <w:rFonts w:hint="eastAsia" w:ascii="仿宋_GB2312" w:eastAsia="仿宋_GB2312"/>
          <w:color w:val="auto"/>
          <w:sz w:val="31"/>
          <w:szCs w:val="31"/>
          <w:highlight w:val="none"/>
          <w:lang w:eastAsia="zh-CN"/>
        </w:rPr>
        <w:t>（</w:t>
      </w:r>
      <w:r>
        <w:rPr>
          <w:rFonts w:hint="eastAsia" w:ascii="仿宋_GB2312" w:eastAsia="仿宋_GB2312"/>
          <w:color w:val="auto"/>
          <w:sz w:val="31"/>
          <w:szCs w:val="31"/>
          <w:highlight w:val="none"/>
          <w:lang w:val="en-US" w:eastAsia="zh-CN"/>
        </w:rPr>
        <w:t>六</w:t>
      </w:r>
      <w:r>
        <w:rPr>
          <w:rFonts w:hint="eastAsia" w:ascii="仿宋_GB2312" w:eastAsia="仿宋_GB2312"/>
          <w:color w:val="auto"/>
          <w:sz w:val="31"/>
          <w:szCs w:val="31"/>
          <w:highlight w:val="none"/>
          <w:lang w:eastAsia="zh-CN"/>
        </w:rPr>
        <w:t>）</w:t>
      </w:r>
      <w:r>
        <w:rPr>
          <w:rFonts w:hint="eastAsia" w:ascii="仿宋_GB2312" w:eastAsia="仿宋_GB2312"/>
          <w:color w:val="auto"/>
          <w:sz w:val="31"/>
          <w:szCs w:val="31"/>
          <w:highlight w:val="none"/>
        </w:rPr>
        <w:t>贯彻执行上级外贸进出口中长期发展战略和促进外贸发展方式转变的政策措施；执行国家、自治区、自治州进出口商品管理办法和进出口商品、技术目录；贯彻国家和自治区、自治州加工贸易政策，指导库尔勒市贸易促进活动和外贸促进体系建设。</w:t>
      </w:r>
    </w:p>
    <w:p>
      <w:pPr>
        <w:keepNext w:val="0"/>
        <w:keepLines w:val="0"/>
        <w:pageBreakBefore w:val="0"/>
        <w:kinsoku/>
        <w:wordWrap/>
        <w:overflowPunct/>
        <w:topLinePunct w:val="0"/>
        <w:autoSpaceDE/>
        <w:autoSpaceDN/>
        <w:bidi w:val="0"/>
        <w:adjustRightInd/>
        <w:spacing w:line="560" w:lineRule="exact"/>
        <w:ind w:left="0" w:leftChars="0" w:firstLine="620" w:firstLineChars="200"/>
        <w:textAlignment w:val="auto"/>
        <w:rPr>
          <w:rFonts w:hint="eastAsia" w:ascii="仿宋_GB2312" w:eastAsia="仿宋_GB2312"/>
          <w:color w:val="auto"/>
          <w:sz w:val="31"/>
          <w:szCs w:val="31"/>
          <w:highlight w:val="none"/>
        </w:rPr>
      </w:pPr>
      <w:r>
        <w:rPr>
          <w:rFonts w:hint="eastAsia" w:ascii="仿宋_GB2312" w:eastAsia="仿宋_GB2312"/>
          <w:color w:val="auto"/>
          <w:sz w:val="31"/>
          <w:szCs w:val="31"/>
          <w:highlight w:val="none"/>
          <w:lang w:eastAsia="zh-CN"/>
        </w:rPr>
        <w:t>（</w:t>
      </w:r>
      <w:r>
        <w:rPr>
          <w:rFonts w:hint="eastAsia" w:ascii="仿宋_GB2312" w:eastAsia="仿宋_GB2312"/>
          <w:color w:val="auto"/>
          <w:sz w:val="31"/>
          <w:szCs w:val="31"/>
          <w:highlight w:val="none"/>
          <w:lang w:val="en-US" w:eastAsia="zh-CN"/>
        </w:rPr>
        <w:t>七</w:t>
      </w:r>
      <w:r>
        <w:rPr>
          <w:rFonts w:hint="eastAsia" w:ascii="仿宋_GB2312" w:eastAsia="仿宋_GB2312"/>
          <w:color w:val="auto"/>
          <w:sz w:val="31"/>
          <w:szCs w:val="31"/>
          <w:highlight w:val="none"/>
          <w:lang w:eastAsia="zh-CN"/>
        </w:rPr>
        <w:t>）</w:t>
      </w:r>
      <w:r>
        <w:rPr>
          <w:rFonts w:hint="eastAsia" w:ascii="仿宋_GB2312" w:eastAsia="仿宋_GB2312"/>
          <w:color w:val="auto"/>
          <w:sz w:val="31"/>
          <w:szCs w:val="31"/>
          <w:highlight w:val="none"/>
        </w:rPr>
        <w:t>组织实施国家对外技术贸易、出口管制以及鼓励技术和成套设备进出口的贸易政策，推进地方进出口贸易标准化工作；依法贯彻执行国家和自治区、自治州有关监督技术引进、设备进口、国家限制出口技术的工作。</w:t>
      </w:r>
    </w:p>
    <w:p>
      <w:pPr>
        <w:keepNext w:val="0"/>
        <w:keepLines w:val="0"/>
        <w:pageBreakBefore w:val="0"/>
        <w:kinsoku/>
        <w:wordWrap/>
        <w:overflowPunct/>
        <w:topLinePunct w:val="0"/>
        <w:autoSpaceDE/>
        <w:autoSpaceDN/>
        <w:bidi w:val="0"/>
        <w:adjustRightInd/>
        <w:spacing w:line="560" w:lineRule="exact"/>
        <w:ind w:left="0" w:leftChars="0" w:firstLine="620" w:firstLineChars="200"/>
        <w:textAlignment w:val="auto"/>
        <w:rPr>
          <w:rFonts w:hint="eastAsia" w:ascii="仿宋_GB2312" w:eastAsia="仿宋_GB2312"/>
          <w:color w:val="auto"/>
          <w:sz w:val="31"/>
          <w:szCs w:val="31"/>
          <w:highlight w:val="none"/>
        </w:rPr>
      </w:pPr>
      <w:r>
        <w:rPr>
          <w:rFonts w:hint="eastAsia" w:ascii="仿宋_GB2312" w:eastAsia="仿宋_GB2312"/>
          <w:color w:val="auto"/>
          <w:sz w:val="31"/>
          <w:szCs w:val="31"/>
          <w:highlight w:val="none"/>
          <w:lang w:eastAsia="zh-CN"/>
        </w:rPr>
        <w:t>（</w:t>
      </w:r>
      <w:r>
        <w:rPr>
          <w:rFonts w:hint="eastAsia" w:ascii="仿宋_GB2312" w:eastAsia="仿宋_GB2312"/>
          <w:color w:val="auto"/>
          <w:sz w:val="31"/>
          <w:szCs w:val="31"/>
          <w:highlight w:val="none"/>
          <w:lang w:val="en-US" w:eastAsia="zh-CN"/>
        </w:rPr>
        <w:t>八</w:t>
      </w:r>
      <w:r>
        <w:rPr>
          <w:rFonts w:hint="eastAsia" w:ascii="仿宋_GB2312" w:eastAsia="仿宋_GB2312"/>
          <w:color w:val="auto"/>
          <w:sz w:val="31"/>
          <w:szCs w:val="31"/>
          <w:highlight w:val="none"/>
          <w:lang w:eastAsia="zh-CN"/>
        </w:rPr>
        <w:t>）</w:t>
      </w:r>
      <w:r>
        <w:rPr>
          <w:rFonts w:hint="eastAsia" w:ascii="仿宋_GB2312" w:eastAsia="仿宋_GB2312"/>
          <w:color w:val="auto"/>
          <w:sz w:val="31"/>
          <w:szCs w:val="31"/>
          <w:highlight w:val="none"/>
        </w:rPr>
        <w:t>贯彻执行国家有关边境贸易的各项政策并组织实施。牵头拟订服务贸易发展规划并开展相关工作；负责会展业促进和管理工作；落实国家、自治区、自治州促进服务出口和服务外包相关工作。</w:t>
      </w:r>
    </w:p>
    <w:p>
      <w:pPr>
        <w:keepNext w:val="0"/>
        <w:keepLines w:val="0"/>
        <w:pageBreakBefore w:val="0"/>
        <w:kinsoku/>
        <w:wordWrap/>
        <w:overflowPunct/>
        <w:topLinePunct w:val="0"/>
        <w:autoSpaceDE/>
        <w:autoSpaceDN/>
        <w:bidi w:val="0"/>
        <w:adjustRightInd/>
        <w:spacing w:line="560" w:lineRule="exact"/>
        <w:ind w:left="0" w:leftChars="0" w:firstLine="620" w:firstLineChars="200"/>
        <w:textAlignment w:val="auto"/>
        <w:rPr>
          <w:rFonts w:hint="eastAsia" w:ascii="仿宋_GB2312" w:eastAsia="仿宋_GB2312"/>
          <w:color w:val="auto"/>
          <w:sz w:val="31"/>
          <w:szCs w:val="31"/>
          <w:highlight w:val="none"/>
        </w:rPr>
      </w:pPr>
      <w:r>
        <w:rPr>
          <w:rFonts w:hint="eastAsia" w:ascii="仿宋_GB2312" w:eastAsia="仿宋_GB2312"/>
          <w:color w:val="auto"/>
          <w:sz w:val="31"/>
          <w:szCs w:val="31"/>
          <w:highlight w:val="none"/>
          <w:lang w:eastAsia="zh-CN"/>
        </w:rPr>
        <w:t>（</w:t>
      </w:r>
      <w:r>
        <w:rPr>
          <w:rFonts w:hint="eastAsia" w:ascii="仿宋_GB2312" w:eastAsia="仿宋_GB2312"/>
          <w:color w:val="auto"/>
          <w:sz w:val="31"/>
          <w:szCs w:val="31"/>
          <w:highlight w:val="none"/>
          <w:lang w:val="en-US" w:eastAsia="zh-CN"/>
        </w:rPr>
        <w:t>九</w:t>
      </w:r>
      <w:r>
        <w:rPr>
          <w:rFonts w:hint="eastAsia" w:ascii="仿宋_GB2312" w:eastAsia="仿宋_GB2312"/>
          <w:color w:val="auto"/>
          <w:sz w:val="31"/>
          <w:szCs w:val="31"/>
          <w:highlight w:val="none"/>
          <w:lang w:eastAsia="zh-CN"/>
        </w:rPr>
        <w:t>）</w:t>
      </w:r>
      <w:r>
        <w:rPr>
          <w:rFonts w:hint="eastAsia" w:ascii="仿宋_GB2312" w:eastAsia="仿宋_GB2312"/>
          <w:color w:val="auto"/>
          <w:sz w:val="31"/>
          <w:szCs w:val="31"/>
          <w:highlight w:val="none"/>
        </w:rPr>
        <w:t>贯彻落实国家、自治区关于协调反倾销、反补贴、保障措施及其与进出口公平贸易相关的工作；配合依法开展对外贸易调查和产业损害调查，指导协调产业安全应对工作及国外对自治州出口商品反倾销、反补贴、保障措施的应诉工作。</w:t>
      </w:r>
    </w:p>
    <w:p>
      <w:pPr>
        <w:keepNext w:val="0"/>
        <w:keepLines w:val="0"/>
        <w:pageBreakBefore w:val="0"/>
        <w:kinsoku/>
        <w:wordWrap/>
        <w:overflowPunct/>
        <w:topLinePunct w:val="0"/>
        <w:autoSpaceDE/>
        <w:autoSpaceDN/>
        <w:bidi w:val="0"/>
        <w:adjustRightInd/>
        <w:spacing w:line="560" w:lineRule="exact"/>
        <w:ind w:left="0" w:leftChars="0" w:firstLine="620" w:firstLineChars="200"/>
        <w:textAlignment w:val="auto"/>
        <w:rPr>
          <w:rFonts w:hint="eastAsia" w:ascii="仿宋_GB2312" w:eastAsia="仿宋_GB2312"/>
          <w:color w:val="auto"/>
          <w:sz w:val="31"/>
          <w:szCs w:val="31"/>
          <w:highlight w:val="none"/>
        </w:rPr>
      </w:pPr>
      <w:r>
        <w:rPr>
          <w:rFonts w:hint="eastAsia" w:ascii="仿宋_GB2312" w:eastAsia="仿宋_GB2312"/>
          <w:color w:val="auto"/>
          <w:sz w:val="31"/>
          <w:szCs w:val="31"/>
          <w:highlight w:val="none"/>
          <w:lang w:eastAsia="zh-CN"/>
        </w:rPr>
        <w:t>（</w:t>
      </w:r>
      <w:r>
        <w:rPr>
          <w:rFonts w:hint="eastAsia" w:ascii="仿宋_GB2312" w:eastAsia="仿宋_GB2312"/>
          <w:color w:val="auto"/>
          <w:sz w:val="31"/>
          <w:szCs w:val="31"/>
          <w:highlight w:val="none"/>
          <w:lang w:val="en-US" w:eastAsia="zh-CN"/>
        </w:rPr>
        <w:t>十</w:t>
      </w:r>
      <w:r>
        <w:rPr>
          <w:rFonts w:hint="eastAsia" w:ascii="仿宋_GB2312" w:eastAsia="仿宋_GB2312"/>
          <w:color w:val="auto"/>
          <w:sz w:val="31"/>
          <w:szCs w:val="31"/>
          <w:highlight w:val="none"/>
          <w:lang w:eastAsia="zh-CN"/>
        </w:rPr>
        <w:t>）</w:t>
      </w:r>
      <w:r>
        <w:rPr>
          <w:rFonts w:hint="eastAsia" w:ascii="仿宋_GB2312" w:eastAsia="仿宋_GB2312"/>
          <w:color w:val="auto"/>
          <w:sz w:val="31"/>
          <w:szCs w:val="31"/>
          <w:highlight w:val="none"/>
          <w:lang w:val="en-US" w:eastAsia="zh-CN"/>
        </w:rPr>
        <w:t>贯彻执行国家、自治区、自治州有关外商投资政策，推进和指导本市外商投资工作；参与拟订库尔勒市外商投资政策并组织实施；协助上级主管部门依法审核国家、自治区、自治州规定权限内的外商投资企业的设立和变更事项；协助上级主管部门依法核准权限内外商投资企业项目的合同、章程及变更事项；协助上级主管部门依法监督检查外商投资企业执行有关法律和规章、合同章程的情况并协调解决有关问题；协助上级主管部门指导和管理库尔勒市外商投资企业的设立的申报、审批和年检工作，规范对外招商引资活动，参与指导园区、跨境经贸合作等相关工作</w:t>
      </w:r>
      <w:r>
        <w:rPr>
          <w:rFonts w:hint="eastAsia" w:ascii="仿宋_GB2312" w:eastAsia="仿宋_GB2312"/>
          <w:color w:val="auto"/>
          <w:sz w:val="31"/>
          <w:szCs w:val="31"/>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2.部门机构人员构成情况</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库尔勒市商务和工业信息化局编制数36人，实有人数89人，其中：在职32人；退休57人；离休0人。</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0"/>
          <w:rFonts w:hint="eastAsia" w:ascii="黑体" w:hAnsi="黑体" w:eastAsia="黑体" w:cs="黑体"/>
          <w:b w:val="0"/>
          <w:bCs/>
          <w:color w:val="auto"/>
          <w:spacing w:val="-4"/>
          <w:sz w:val="32"/>
          <w:szCs w:val="32"/>
          <w:highlight w:val="none"/>
          <w:lang w:val="en-US" w:eastAsia="zh-CN"/>
        </w:rPr>
      </w:pPr>
      <w:r>
        <w:rPr>
          <w:rStyle w:val="10"/>
          <w:rFonts w:hint="eastAsia" w:ascii="黑体" w:hAnsi="黑体" w:eastAsia="黑体" w:cs="黑体"/>
          <w:b w:val="0"/>
          <w:bCs/>
          <w:color w:val="auto"/>
          <w:spacing w:val="-4"/>
          <w:sz w:val="32"/>
          <w:szCs w:val="32"/>
          <w:highlight w:val="none"/>
          <w:lang w:val="en-US" w:eastAsia="zh-CN"/>
        </w:rPr>
        <w:t>(二)部门单位年度重点工作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1.2023年度工作计划</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4" w:firstLineChars="200"/>
        <w:textAlignment w:val="auto"/>
        <w:rPr>
          <w:rFonts w:hint="eastAsia" w:ascii="Times New Roman" w:hAnsi="Times New Roman" w:eastAsia="方正仿宋_GBK" w:cs="Times New Roman"/>
          <w:b w:val="0"/>
          <w:bCs w:val="0"/>
          <w:color w:val="auto"/>
          <w:spacing w:val="6"/>
          <w:kern w:val="0"/>
          <w:sz w:val="31"/>
          <w:szCs w:val="31"/>
          <w:highlight w:val="none"/>
          <w:u w:val="none"/>
          <w:lang w:val="en-US" w:eastAsia="zh-CN"/>
        </w:rPr>
      </w:pPr>
      <w:r>
        <w:rPr>
          <w:rFonts w:hint="eastAsia" w:ascii="Times New Roman" w:hAnsi="Times New Roman" w:eastAsia="方正仿宋_GBK" w:cs="Times New Roman"/>
          <w:b w:val="0"/>
          <w:bCs w:val="0"/>
          <w:color w:val="auto"/>
          <w:spacing w:val="6"/>
          <w:kern w:val="0"/>
          <w:sz w:val="31"/>
          <w:szCs w:val="31"/>
          <w:highlight w:val="none"/>
          <w:u w:val="none"/>
          <w:lang w:val="en-US" w:eastAsia="zh-CN"/>
        </w:rPr>
        <w:t>（1）商务物流方面：一是加快促进消费回暖，大力挖掘消费潜力；二是项目支撑。加大商务领域项目推进力度；三是加快直播电商发展，依托电商平台直播带货销售新模式，大力提升本地特色农产品影响力及附加值；四是持续发展夜间经济，着力打造提升一批特色夜间经济示范街区和夜间消费商圈;五是推进我市物流集散地建设; 六是力争外贸增长30%;七是联合市场监管、税务、统计等部门重点对年营业收入1000-2000万元的商贸企业进行全面摸排。</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4" w:firstLineChars="200"/>
        <w:textAlignment w:val="auto"/>
        <w:rPr>
          <w:rFonts w:hint="eastAsia" w:ascii="Times New Roman" w:hAnsi="Times New Roman" w:eastAsia="方正仿宋_GBK" w:cs="Times New Roman"/>
          <w:b w:val="0"/>
          <w:bCs w:val="0"/>
          <w:color w:val="auto"/>
          <w:spacing w:val="6"/>
          <w:kern w:val="0"/>
          <w:sz w:val="31"/>
          <w:szCs w:val="31"/>
          <w:highlight w:val="none"/>
          <w:u w:val="none"/>
          <w:lang w:val="en-US" w:eastAsia="zh-CN"/>
        </w:rPr>
      </w:pPr>
      <w:r>
        <w:rPr>
          <w:rFonts w:hint="eastAsia" w:ascii="Times New Roman" w:hAnsi="Times New Roman" w:eastAsia="方正仿宋_GBK" w:cs="Times New Roman"/>
          <w:b w:val="0"/>
          <w:bCs w:val="0"/>
          <w:color w:val="auto"/>
          <w:spacing w:val="6"/>
          <w:kern w:val="0"/>
          <w:sz w:val="31"/>
          <w:szCs w:val="31"/>
          <w:highlight w:val="none"/>
          <w:u w:val="none"/>
          <w:lang w:val="en-US" w:eastAsia="zh-CN"/>
        </w:rPr>
        <w:t>（2）工业经济方面：2023年，全市力争完成工业增加值530亿元，增长7.5%。围绕目标任务，重点开展以下工作：一是全力</w:t>
      </w:r>
      <w:r>
        <w:rPr>
          <w:rFonts w:hint="default" w:ascii="Times New Roman" w:hAnsi="Times New Roman" w:eastAsia="方正仿宋_GBK" w:cs="Times New Roman"/>
          <w:b w:val="0"/>
          <w:bCs w:val="0"/>
          <w:color w:val="auto"/>
          <w:spacing w:val="6"/>
          <w:kern w:val="0"/>
          <w:sz w:val="31"/>
          <w:szCs w:val="31"/>
          <w:highlight w:val="none"/>
          <w:u w:val="none"/>
          <w:lang w:val="en-US" w:eastAsia="zh-CN"/>
        </w:rPr>
        <w:t>推进</w:t>
      </w:r>
      <w:r>
        <w:rPr>
          <w:rFonts w:hint="eastAsia" w:ascii="Times New Roman" w:hAnsi="Times New Roman" w:eastAsia="方正仿宋_GBK" w:cs="Times New Roman"/>
          <w:b w:val="0"/>
          <w:bCs w:val="0"/>
          <w:color w:val="auto"/>
          <w:spacing w:val="6"/>
          <w:kern w:val="0"/>
          <w:sz w:val="31"/>
          <w:szCs w:val="31"/>
          <w:highlight w:val="none"/>
          <w:u w:val="none"/>
          <w:lang w:val="en-US" w:eastAsia="zh-CN"/>
        </w:rPr>
        <w:t>工业项目建设进度；二是全面开展小微企业摸底工作，联合税务、统计、市场监督管理、乡镇开展深入摸底调研，分行业建立小微企业台账，做到底数清；三是持续做好骨干企业跟踪服务，稳住经济基本盘；四是做好企业培育工作，促进企业提档升级。</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4" w:firstLineChars="200"/>
        <w:textAlignment w:val="auto"/>
        <w:rPr>
          <w:rFonts w:hint="eastAsia" w:ascii="Times New Roman" w:hAnsi="Times New Roman" w:eastAsia="方正仿宋_GBK" w:cs="Times New Roman"/>
          <w:b w:val="0"/>
          <w:bCs w:val="0"/>
          <w:color w:val="auto"/>
          <w:spacing w:val="6"/>
          <w:kern w:val="0"/>
          <w:sz w:val="31"/>
          <w:szCs w:val="31"/>
          <w:highlight w:val="none"/>
          <w:u w:val="none"/>
          <w:lang w:val="en-US" w:eastAsia="zh-CN"/>
        </w:rPr>
      </w:pPr>
      <w:r>
        <w:rPr>
          <w:rFonts w:hint="eastAsia" w:ascii="Times New Roman" w:hAnsi="Times New Roman" w:eastAsia="方正仿宋_GBK" w:cs="Times New Roman"/>
          <w:b w:val="0"/>
          <w:bCs w:val="0"/>
          <w:color w:val="auto"/>
          <w:spacing w:val="6"/>
          <w:kern w:val="0"/>
          <w:sz w:val="31"/>
          <w:szCs w:val="31"/>
          <w:highlight w:val="none"/>
          <w:u w:val="none"/>
          <w:lang w:val="en-US" w:eastAsia="zh-CN" w:bidi="ar-SA"/>
        </w:rPr>
        <w:t>（3）招商引资方面：一是高位推动，把招商引资作为“一号工程”抓落实。二是突出重点产业行业招商方向。三是紧盯目标企业精准对接，力争形成新的投资拉动，形成新的经济增长点；四是加</w:t>
      </w:r>
      <w:r>
        <w:rPr>
          <w:rFonts w:hint="eastAsia" w:ascii="Times New Roman" w:hAnsi="Times New Roman" w:eastAsia="方正仿宋_GBK" w:cs="Times New Roman"/>
          <w:b w:val="0"/>
          <w:bCs w:val="0"/>
          <w:color w:val="auto"/>
          <w:spacing w:val="6"/>
          <w:kern w:val="0"/>
          <w:sz w:val="31"/>
          <w:szCs w:val="31"/>
          <w:highlight w:val="none"/>
          <w:u w:val="none"/>
          <w:lang w:val="en-US" w:eastAsia="zh-CN"/>
        </w:rPr>
        <w:t>强企业协调服务，全方位了解企业落地诉求。</w:t>
      </w:r>
    </w:p>
    <w:p>
      <w:pPr>
        <w:keepNext w:val="0"/>
        <w:keepLines w:val="0"/>
        <w:pageBreakBefore w:val="0"/>
        <w:widowControl w:val="0"/>
        <w:kinsoku/>
        <w:wordWrap/>
        <w:overflowPunct/>
        <w:topLinePunct w:val="0"/>
        <w:autoSpaceDE/>
        <w:autoSpaceDN/>
        <w:bidi w:val="0"/>
        <w:adjustRightInd/>
        <w:snapToGrid/>
        <w:spacing w:line="560" w:lineRule="exact"/>
        <w:ind w:firstLine="644" w:firstLineChars="200"/>
        <w:textAlignment w:val="auto"/>
        <w:rPr>
          <w:rFonts w:hint="eastAsia" w:ascii="Times New Roman" w:hAnsi="Times New Roman" w:eastAsia="方正仿宋_GBK" w:cs="Times New Roman"/>
          <w:color w:val="auto"/>
          <w:sz w:val="31"/>
          <w:szCs w:val="31"/>
          <w:highlight w:val="none"/>
          <w:lang w:val="en-US" w:eastAsia="zh-CN"/>
        </w:rPr>
      </w:pPr>
      <w:r>
        <w:rPr>
          <w:rFonts w:hint="eastAsia" w:ascii="Times New Roman" w:hAnsi="Times New Roman" w:eastAsia="方正仿宋_GBK" w:cs="Times New Roman"/>
          <w:b w:val="0"/>
          <w:bCs w:val="0"/>
          <w:color w:val="auto"/>
          <w:spacing w:val="6"/>
          <w:kern w:val="0"/>
          <w:sz w:val="31"/>
          <w:szCs w:val="31"/>
          <w:highlight w:val="none"/>
          <w:u w:val="none"/>
          <w:lang w:val="en-US" w:eastAsia="zh-CN" w:bidi="ar-SA"/>
        </w:rPr>
        <w:t>（4）服务中小微企业方面：一是建立干部包联企业制度；二是加大企业培育服务；三是加大项目资金申请跑办服务；四是加大融资</w:t>
      </w:r>
      <w:r>
        <w:rPr>
          <w:rFonts w:hint="eastAsia" w:ascii="Times New Roman" w:hAnsi="Times New Roman" w:eastAsia="方正仿宋_GBK" w:cs="Times New Roman"/>
          <w:color w:val="auto"/>
          <w:sz w:val="31"/>
          <w:szCs w:val="31"/>
          <w:highlight w:val="none"/>
          <w:lang w:val="en-US" w:eastAsia="zh-CN"/>
        </w:rPr>
        <w:t>服务力度；五是加大清理政府部门拖欠民营企业中小企业账款工作力度。</w:t>
      </w:r>
    </w:p>
    <w:p>
      <w:pPr>
        <w:pStyle w:val="2"/>
        <w:pageBreakBefore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color w:val="auto"/>
          <w:highlight w:val="none"/>
          <w:lang w:val="en-US" w:eastAsia="zh-CN"/>
        </w:rPr>
      </w:pPr>
      <w:r>
        <w:rPr>
          <w:rFonts w:hint="eastAsia" w:ascii="黑体" w:hAnsi="黑体" w:eastAsia="黑体" w:cs="黑体"/>
          <w:b w:val="0"/>
          <w:bCs/>
          <w:color w:val="auto"/>
          <w:sz w:val="32"/>
          <w:szCs w:val="32"/>
          <w:highlight w:val="none"/>
          <w:lang w:val="en-US" w:eastAsia="zh-CN"/>
        </w:rPr>
        <w:t>2.机构人员保障情况</w:t>
      </w:r>
    </w:p>
    <w:p>
      <w:pPr>
        <w:pageBreakBefore w:val="0"/>
        <w:kinsoku/>
        <w:wordWrap/>
        <w:overflowPunct/>
        <w:topLinePunct w:val="0"/>
        <w:autoSpaceDE/>
        <w:autoSpaceDN/>
        <w:bidi w:val="0"/>
        <w:adjustRightInd/>
        <w:spacing w:line="560" w:lineRule="exact"/>
        <w:ind w:firstLine="624" w:firstLineChars="200"/>
        <w:textAlignment w:val="auto"/>
        <w:rPr>
          <w:rStyle w:val="10"/>
          <w:rFonts w:hint="eastAsia" w:ascii="仿宋" w:hAnsi="仿宋" w:eastAsia="仿宋" w:cs="仿宋"/>
          <w:b w:val="0"/>
          <w:bCs/>
          <w:color w:val="auto"/>
          <w:spacing w:val="-4"/>
          <w:sz w:val="32"/>
          <w:szCs w:val="32"/>
          <w:highlight w:val="none"/>
          <w:lang w:val="en-US" w:eastAsia="zh-CN"/>
        </w:rPr>
      </w:pPr>
      <w:r>
        <w:rPr>
          <w:rStyle w:val="10"/>
          <w:rFonts w:hint="eastAsia" w:ascii="仿宋" w:hAnsi="仿宋" w:eastAsia="仿宋" w:cs="仿宋"/>
          <w:b w:val="0"/>
          <w:bCs/>
          <w:color w:val="auto"/>
          <w:spacing w:val="-4"/>
          <w:sz w:val="32"/>
          <w:szCs w:val="32"/>
          <w:highlight w:val="none"/>
          <w:lang w:val="en-US" w:eastAsia="zh-CN"/>
        </w:rPr>
        <w:t>库尔勒市商务和工业信息化局2023年通过本部门预算支出，确保了32名在职人员的工资、津贴、补贴、社保、绩效、公积金等以及57名离退休人员的工资、医疗费等。人员保障性经费能够依规、按时、足额发放或缴纳，提升部门人员工作积极性和服务质量。同时，保障了部门全年正常运转，为部门正常履职和开展综合性事务管理提供有效支撑，确保了公用保障性经费按照财政安排和相关工作要求及时支出。</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0"/>
          <w:rFonts w:hint="eastAsia" w:ascii="黑体" w:hAnsi="黑体" w:eastAsia="黑体" w:cs="黑体"/>
          <w:b w:val="0"/>
          <w:bCs/>
          <w:color w:val="auto"/>
          <w:spacing w:val="-4"/>
          <w:sz w:val="32"/>
          <w:szCs w:val="32"/>
          <w:highlight w:val="none"/>
          <w:lang w:val="en-US" w:eastAsia="zh-CN"/>
        </w:rPr>
      </w:pPr>
      <w:r>
        <w:rPr>
          <w:rStyle w:val="10"/>
          <w:rFonts w:hint="eastAsia" w:ascii="黑体" w:hAnsi="黑体" w:eastAsia="黑体" w:cs="黑体"/>
          <w:b w:val="0"/>
          <w:bCs/>
          <w:color w:val="auto"/>
          <w:spacing w:val="-4"/>
          <w:sz w:val="32"/>
          <w:szCs w:val="32"/>
          <w:highlight w:val="none"/>
          <w:lang w:val="en-US" w:eastAsia="zh-CN"/>
        </w:rPr>
        <w:t>(三)部门单位整体预算规模及安排情况</w:t>
      </w:r>
    </w:p>
    <w:p>
      <w:pPr>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1.年初预算安排</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2023年我部门年初安排预算数为502.78万元，其中:上级安排0万元,本级安排502.78万元，其他资金0万元。</w:t>
      </w:r>
    </w:p>
    <w:p>
      <w:pPr>
        <w:pStyle w:val="2"/>
        <w:keepNext/>
        <w:keepLines/>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综上所述，部门预算安排与本单位职能关联度较高，预算安排结构清晰明了，能够直观展示各项费用的分配情况，预算规模合理，为单位的稳健发展和高效运行提供了有力保障。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2.预算年中调整情况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我部门年初安排预算数502.78万元，年中调整数+1542.85万元，调整后全年预算数2045.63万元，预算调整率306.86%。</w:t>
      </w:r>
    </w:p>
    <w:p>
      <w:pPr>
        <w:pStyle w:val="2"/>
        <w:keepNext/>
        <w:keepLines/>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color w:val="auto"/>
          <w:kern w:val="2"/>
          <w:sz w:val="32"/>
          <w:szCs w:val="32"/>
          <w:highlight w:val="none"/>
          <w:lang w:val="en-US" w:eastAsia="zh-CN" w:bidi="ar-SA"/>
        </w:rPr>
      </w:pPr>
      <w:r>
        <w:rPr>
          <w:rFonts w:hint="eastAsia" w:ascii="仿宋" w:hAnsi="仿宋" w:eastAsia="仿宋" w:cs="仿宋"/>
          <w:b w:val="0"/>
          <w:bCs/>
          <w:color w:val="auto"/>
          <w:kern w:val="2"/>
          <w:sz w:val="32"/>
          <w:szCs w:val="32"/>
          <w:highlight w:val="none"/>
          <w:lang w:val="en-US" w:eastAsia="zh-CN" w:bidi="ar-SA"/>
        </w:rPr>
        <w:t>综上所述，年中预算调整幅度与本单位运转情况和履职情况相匹配，未出现资金收支不平衡以及债务风险等负面影响，确保了预算调整的合理性和必要性。</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b w:val="0"/>
          <w:bCs/>
          <w:color w:val="auto"/>
          <w:sz w:val="32"/>
          <w:szCs w:val="32"/>
          <w:highlight w:val="none"/>
          <w:lang w:eastAsia="zh-CN"/>
        </w:rPr>
      </w:pPr>
      <w:r>
        <w:rPr>
          <w:rFonts w:hint="eastAsia" w:ascii="黑体" w:hAnsi="黑体" w:eastAsia="黑体" w:cs="黑体"/>
          <w:b w:val="0"/>
          <w:bCs/>
          <w:color w:val="auto"/>
          <w:sz w:val="32"/>
          <w:szCs w:val="32"/>
          <w:highlight w:val="none"/>
          <w:lang w:val="en-US" w:eastAsia="zh-CN"/>
        </w:rPr>
        <w:t>3.资金使用主要内容、涉及的范围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我单位2023年度部门整体支出为</w:t>
      </w:r>
      <w:r>
        <w:rPr>
          <w:rFonts w:hint="eastAsia" w:ascii="仿宋" w:hAnsi="仿宋" w:eastAsia="仿宋" w:cs="仿宋"/>
          <w:b w:val="0"/>
          <w:bCs/>
          <w:color w:val="auto"/>
          <w:sz w:val="32"/>
          <w:szCs w:val="32"/>
          <w:highlight w:val="none"/>
          <w:lang w:val="en-US" w:eastAsia="zh-CN"/>
        </w:rPr>
        <w:t>2045.63</w:t>
      </w:r>
      <w:r>
        <w:rPr>
          <w:rFonts w:hint="eastAsia" w:ascii="仿宋" w:hAnsi="仿宋" w:eastAsia="仿宋" w:cs="仿宋"/>
          <w:color w:val="auto"/>
          <w:kern w:val="2"/>
          <w:sz w:val="32"/>
          <w:szCs w:val="32"/>
          <w:highlight w:val="none"/>
          <w:lang w:val="en-US" w:eastAsia="zh-CN" w:bidi="ar-SA"/>
        </w:rPr>
        <w:t>万元，其中：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（1）基本支出</w:t>
      </w:r>
      <w:r>
        <w:rPr>
          <w:rFonts w:hint="eastAsia" w:ascii="仿宋" w:hAnsi="仿宋" w:eastAsia="仿宋" w:cs="仿宋"/>
          <w:b w:val="0"/>
          <w:bCs/>
          <w:color w:val="auto"/>
          <w:sz w:val="32"/>
          <w:szCs w:val="32"/>
          <w:highlight w:val="none"/>
          <w:lang w:val="en-US" w:eastAsia="zh-CN"/>
        </w:rPr>
        <w:t>1065.07</w:t>
      </w:r>
      <w:r>
        <w:rPr>
          <w:rFonts w:hint="eastAsia" w:ascii="仿宋" w:hAnsi="仿宋" w:eastAsia="仿宋" w:cs="仿宋"/>
          <w:color w:val="auto"/>
          <w:sz w:val="32"/>
          <w:szCs w:val="32"/>
          <w:highlight w:val="none"/>
          <w:lang w:val="en-US" w:eastAsia="zh-CN"/>
        </w:rPr>
        <w:t>万元，主要用于：</w:t>
      </w:r>
      <w:r>
        <w:rPr>
          <w:rFonts w:hint="eastAsia" w:ascii="仿宋" w:hAnsi="仿宋" w:eastAsia="仿宋" w:cs="仿宋"/>
          <w:color w:val="auto"/>
          <w:kern w:val="2"/>
          <w:sz w:val="32"/>
          <w:szCs w:val="32"/>
          <w:highlight w:val="none"/>
          <w:lang w:val="en-US" w:eastAsia="zh-CN" w:bidi="ar-SA"/>
        </w:rPr>
        <w:t>基本工资、津贴补贴、奖金、机关事业单位基本养老保险缴费、职业年金缴费、职工基本医疗保险缴费、</w:t>
      </w:r>
      <w:r>
        <w:rPr>
          <w:rFonts w:hint="eastAsia" w:ascii="仿宋" w:hAnsi="仿宋" w:eastAsia="仿宋" w:cs="仿宋"/>
          <w:color w:val="auto"/>
          <w:sz w:val="32"/>
          <w:szCs w:val="32"/>
          <w:highlight w:val="none"/>
          <w:lang w:val="en-US" w:eastAsia="zh-CN"/>
        </w:rPr>
        <w:t>办公费、差旅费、维修（护）费、福利费、</w:t>
      </w:r>
      <w:r>
        <w:rPr>
          <w:rFonts w:hint="eastAsia" w:ascii="仿宋" w:hAnsi="仿宋" w:eastAsia="仿宋" w:cs="仿宋"/>
          <w:color w:val="auto"/>
          <w:kern w:val="2"/>
          <w:sz w:val="32"/>
          <w:szCs w:val="32"/>
          <w:highlight w:val="none"/>
          <w:lang w:val="en-US" w:eastAsia="zh-CN" w:bidi="ar-SA"/>
        </w:rPr>
        <w:t>退休费等。</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（2）项目支出</w:t>
      </w:r>
      <w:r>
        <w:rPr>
          <w:rFonts w:hint="eastAsia" w:ascii="仿宋" w:hAnsi="仿宋" w:eastAsia="仿宋" w:cs="仿宋"/>
          <w:b w:val="0"/>
          <w:bCs/>
          <w:color w:val="auto"/>
          <w:sz w:val="32"/>
          <w:szCs w:val="32"/>
          <w:highlight w:val="none"/>
          <w:lang w:val="en-US" w:eastAsia="zh-CN"/>
        </w:rPr>
        <w:t>980.55</w:t>
      </w:r>
      <w:r>
        <w:rPr>
          <w:rFonts w:hint="eastAsia" w:ascii="仿宋" w:hAnsi="仿宋" w:eastAsia="仿宋" w:cs="仿宋"/>
          <w:color w:val="auto"/>
          <w:sz w:val="32"/>
          <w:szCs w:val="32"/>
          <w:highlight w:val="none"/>
          <w:lang w:val="en-US" w:eastAsia="zh-CN"/>
        </w:rPr>
        <w:t>万元，主要用于</w:t>
      </w:r>
      <w:r>
        <w:rPr>
          <w:rFonts w:hint="eastAsia" w:ascii="仿宋" w:hAnsi="仿宋" w:eastAsia="仿宋" w:cs="仿宋"/>
          <w:b w:val="0"/>
          <w:bCs w:val="0"/>
          <w:color w:val="auto"/>
          <w:kern w:val="2"/>
          <w:sz w:val="32"/>
          <w:szCs w:val="32"/>
          <w:highlight w:val="none"/>
          <w:lang w:val="en-US" w:eastAsia="zh-CN" w:bidi="ar-SA"/>
        </w:rPr>
        <w:t>部门专项——招商引资项目16.26万元、再生资源回收加工产业扶持奖励资金项目200万元、楼兰制衣援疆项目70万元、2023年纺织服装增值税专项资金3.10万元、2023年自治区战略性新兴产业专项资金30万元、2023年中小企业发展专项资金（小微企业融资担保降费奖补方向）17.98万元、2023年自治区重点技术创新专项资金15万元、2022年中小企业发展专项资金（小微企业融资担保降费奖补）46.6万元、2022年自治区重点技术创新专项资金15万元、2023年中央服务业发展资金427.37万元、新疆鼎博建材有限公司履行投资协议补贴资金100万元、格库铁路通信迁改39.24万元</w:t>
      </w:r>
      <w:r>
        <w:rPr>
          <w:rFonts w:hint="eastAsia" w:ascii="仿宋" w:hAnsi="仿宋" w:eastAsia="仿宋" w:cs="仿宋"/>
          <w:color w:val="auto"/>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二、部门单位整体支出管理及使用情况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（一）基本支出投入、管理和使用情况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1.基本支出投入和使用情况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2023年我部门基本支出年初预算安排482.78万元，全年预算数1065.07万元，全年实际支出数1065.07万元，其中：人员经费608.41万元，公用经费456.66万元。全年预算执行率100.00%。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2.基本支出管理情况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基本支出严格按照财务管理制度执行。人员工资由相关部门严格审核，按月申报及发放。基本公用经费主要用于支付单位日常的办公费、邮电费、差旅费、维修（护）费、车辆运行维护费等。公务用车运行维护费主要用于单位车辆加油、维修及购买车辆保险。</w:t>
      </w:r>
    </w:p>
    <w:p>
      <w:pPr>
        <w:pStyle w:val="2"/>
        <w:keepNext/>
        <w:keepLines/>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（二）项目支出投入、管理和使用情况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1.项目支出投入和使用情况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rPr>
      </w:pPr>
      <w:r>
        <w:rPr>
          <w:rFonts w:hint="eastAsia" w:ascii="仿宋" w:hAnsi="仿宋" w:eastAsia="仿宋" w:cs="仿宋"/>
          <w:color w:val="auto"/>
          <w:kern w:val="2"/>
          <w:sz w:val="32"/>
          <w:szCs w:val="32"/>
          <w:highlight w:val="none"/>
          <w:lang w:val="en-US" w:eastAsia="zh-CN"/>
        </w:rPr>
        <w:t>2023年本单位共安排12个项目，全年预算数为980.55万元，全年实际支出数980.55万元，执行率100.00%。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rPr>
      </w:pPr>
      <w:r>
        <w:rPr>
          <w:rFonts w:hint="eastAsia" w:ascii="仿宋" w:hAnsi="仿宋" w:eastAsia="仿宋" w:cs="仿宋"/>
          <w:color w:val="auto"/>
          <w:kern w:val="2"/>
          <w:sz w:val="32"/>
          <w:szCs w:val="32"/>
          <w:highlight w:val="none"/>
          <w:lang w:val="en-US" w:eastAsia="zh-CN"/>
        </w:rPr>
        <w:t>其中:上级安排项目7个555.05万元，本级安排项目4个355.50万元,其他资金安排项目1个70万元。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2.项目支出管理情况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依据《关于印发&lt;自治区财政资金使用跟踪反馈管理暂行办法&gt;的通知》（新财预字【2016】113号）、《中华人民共和国预算法》等相关资金、项目管理办法执行，按比例按资金用途使用，实行专款专用、严禁挤占挪用。加强对项目资金的预算执行及日常监督管理，确保每个项目按照规定的用途实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（2）资金拨付审批手续完整。项目资金专款专用，不存在支出依据不合规，序列项目支出，截留，挤占，挪用和超标准支出等现象，使项目资金的运用得到了合理的控制，项目得到了切实的保障。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3）会计信息质量真实。严格执行《会计法》等财经法规，严格按照相关会计制度办理会计业务，进行会计核算，并做好会计记录，真实的反映项目资金管理情况，并接受财政、审批部门及上级主管部门的检查、监督。</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（4）执行预决算管理。严格按预算管理要求使用资金，严格按进度和合同拨付资金，严格执行政府采购制度；严格执行国库集中支付制度，严防截留、挪用资金。</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Style w:val="10"/>
          <w:rFonts w:hint="eastAsia" w:ascii="仿宋_GB2312" w:hAnsi="楷体" w:eastAsia="仿宋_GB2312" w:cs="Times New Roman"/>
          <w:b w:val="0"/>
          <w:color w:val="auto"/>
          <w:spacing w:val="-4"/>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三、部门单位整体支出绩效分析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jc w:val="both"/>
        <w:textAlignment w:val="auto"/>
        <w:rPr>
          <w:rStyle w:val="10"/>
          <w:rFonts w:hint="eastAsia" w:ascii="仿宋" w:hAnsi="仿宋" w:eastAsia="仿宋" w:cs="仿宋"/>
          <w:b w:val="0"/>
          <w:color w:val="auto"/>
          <w:spacing w:val="-4"/>
          <w:sz w:val="32"/>
          <w:szCs w:val="32"/>
          <w:highlight w:val="none"/>
          <w:lang w:val="en-US" w:eastAsia="zh-CN"/>
        </w:rPr>
      </w:pPr>
      <w:r>
        <w:rPr>
          <w:rStyle w:val="10"/>
          <w:rFonts w:hint="eastAsia" w:ascii="仿宋" w:hAnsi="仿宋" w:eastAsia="仿宋" w:cs="仿宋"/>
          <w:b w:val="0"/>
          <w:color w:val="auto"/>
          <w:spacing w:val="-4"/>
          <w:sz w:val="32"/>
          <w:szCs w:val="32"/>
          <w:highlight w:val="none"/>
          <w:lang w:val="en-US" w:eastAsia="zh-CN"/>
        </w:rPr>
        <w:t>我单位2023年度部门整体支出绩效目标围绕部门职能、中长期规划、年度工作计划、重点工作任务及要求，确定年度部门整体支出的绩效目标。拟通过绩效评价分析部门整体支出对单位基本运转及单位职能履职的保障作用，总结经验做法，找出资金使用和管理中的薄弱环节，进一步加强预算管理，提高财政资金使用效益。</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jc w:val="both"/>
        <w:textAlignment w:val="auto"/>
        <w:rPr>
          <w:rStyle w:val="10"/>
          <w:rFonts w:hint="eastAsia" w:ascii="仿宋" w:hAnsi="仿宋" w:eastAsia="仿宋" w:cs="仿宋"/>
          <w:b w:val="0"/>
          <w:color w:val="auto"/>
          <w:spacing w:val="-4"/>
          <w:sz w:val="32"/>
          <w:szCs w:val="32"/>
          <w:highlight w:val="none"/>
          <w:lang w:val="en-US" w:eastAsia="zh-CN"/>
        </w:rPr>
      </w:pPr>
      <w:r>
        <w:rPr>
          <w:rStyle w:val="10"/>
          <w:rFonts w:hint="eastAsia" w:ascii="仿宋" w:hAnsi="仿宋" w:eastAsia="仿宋" w:cs="仿宋"/>
          <w:b w:val="0"/>
          <w:color w:val="auto"/>
          <w:spacing w:val="-4"/>
          <w:sz w:val="32"/>
          <w:szCs w:val="32"/>
          <w:highlight w:val="none"/>
          <w:lang w:val="en-US" w:eastAsia="zh-CN"/>
        </w:rPr>
        <w:t>我单位将部门单位整体绩效目标细化分解为具体的绩效指标，一级指标共1条，二级指标共1条，三级指标共4条，其中量化指标条数共4条，所有绩效指标均通过清晰、可衡量的指标值予以体现。</w:t>
      </w:r>
    </w:p>
    <w:p>
      <w:pPr>
        <w:pageBreakBefore w:val="0"/>
        <w:kinsoku/>
        <w:wordWrap/>
        <w:overflowPunct/>
        <w:topLinePunct w:val="0"/>
        <w:autoSpaceDE/>
        <w:autoSpaceDN/>
        <w:bidi w:val="0"/>
        <w:adjustRightInd/>
        <w:spacing w:line="560" w:lineRule="exact"/>
        <w:ind w:firstLine="624" w:firstLineChars="200"/>
        <w:textAlignment w:val="auto"/>
        <w:rPr>
          <w:rStyle w:val="10"/>
          <w:rFonts w:hint="eastAsia" w:ascii="黑体" w:hAnsi="黑体" w:eastAsia="黑体" w:cs="黑体"/>
          <w:b w:val="0"/>
          <w:bCs/>
          <w:color w:val="auto"/>
          <w:spacing w:val="-4"/>
          <w:sz w:val="32"/>
          <w:szCs w:val="32"/>
          <w:highlight w:val="none"/>
          <w:lang w:val="en-US" w:eastAsia="zh-CN"/>
        </w:rPr>
      </w:pPr>
      <w:r>
        <w:rPr>
          <w:rStyle w:val="10"/>
          <w:rFonts w:hint="eastAsia" w:ascii="黑体" w:hAnsi="黑体" w:eastAsia="黑体" w:cs="黑体"/>
          <w:b w:val="0"/>
          <w:bCs/>
          <w:color w:val="auto"/>
          <w:spacing w:val="-4"/>
          <w:sz w:val="32"/>
          <w:szCs w:val="32"/>
          <w:highlight w:val="none"/>
          <w:lang w:val="en-US" w:eastAsia="zh-CN"/>
        </w:rPr>
        <w:t>（一）指标一：运行成本</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jc w:val="both"/>
        <w:textAlignment w:val="auto"/>
        <w:rPr>
          <w:rStyle w:val="10"/>
          <w:rFonts w:hint="eastAsia" w:ascii="仿宋" w:hAnsi="仿宋" w:eastAsia="仿宋" w:cs="仿宋"/>
          <w:b w:val="0"/>
          <w:color w:val="auto"/>
          <w:spacing w:val="-4"/>
          <w:sz w:val="32"/>
          <w:szCs w:val="32"/>
          <w:highlight w:val="none"/>
          <w:lang w:val="en-US" w:eastAsia="zh-CN"/>
        </w:rPr>
      </w:pPr>
      <w:r>
        <w:rPr>
          <w:rStyle w:val="10"/>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560" w:lineRule="exact"/>
        <w:ind w:firstLine="624" w:firstLineChars="200"/>
        <w:textAlignment w:val="auto"/>
        <w:rPr>
          <w:rStyle w:val="10"/>
          <w:rFonts w:hint="eastAsia" w:ascii="黑体" w:hAnsi="黑体" w:eastAsia="黑体" w:cs="黑体"/>
          <w:b w:val="0"/>
          <w:bCs/>
          <w:color w:val="auto"/>
          <w:spacing w:val="-4"/>
          <w:sz w:val="32"/>
          <w:szCs w:val="32"/>
          <w:highlight w:val="none"/>
          <w:lang w:val="en-US" w:eastAsia="zh-CN"/>
        </w:rPr>
      </w:pPr>
      <w:r>
        <w:rPr>
          <w:rStyle w:val="10"/>
          <w:rFonts w:hint="eastAsia" w:ascii="黑体" w:hAnsi="黑体" w:eastAsia="黑体" w:cs="黑体"/>
          <w:b w:val="0"/>
          <w:bCs/>
          <w:color w:val="auto"/>
          <w:spacing w:val="-4"/>
          <w:sz w:val="32"/>
          <w:szCs w:val="32"/>
          <w:highlight w:val="none"/>
          <w:lang w:val="en-US" w:eastAsia="zh-CN"/>
        </w:rPr>
        <w:t>（二）指标二：管理效率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jc w:val="both"/>
        <w:textAlignment w:val="auto"/>
        <w:rPr>
          <w:rStyle w:val="10"/>
          <w:rFonts w:hint="eastAsia" w:ascii="仿宋" w:hAnsi="仿宋" w:eastAsia="仿宋" w:cs="仿宋"/>
          <w:b w:val="0"/>
          <w:color w:val="auto"/>
          <w:spacing w:val="-4"/>
          <w:sz w:val="32"/>
          <w:szCs w:val="32"/>
          <w:highlight w:val="none"/>
          <w:lang w:val="en-US" w:eastAsia="zh-CN"/>
        </w:rPr>
      </w:pPr>
      <w:r>
        <w:rPr>
          <w:rStyle w:val="10"/>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560" w:lineRule="exact"/>
        <w:ind w:firstLine="624" w:firstLineChars="200"/>
        <w:textAlignment w:val="auto"/>
        <w:rPr>
          <w:rStyle w:val="10"/>
          <w:rFonts w:hint="eastAsia" w:ascii="黑体" w:hAnsi="黑体" w:eastAsia="黑体" w:cs="黑体"/>
          <w:b w:val="0"/>
          <w:bCs/>
          <w:color w:val="auto"/>
          <w:spacing w:val="-4"/>
          <w:sz w:val="32"/>
          <w:szCs w:val="32"/>
          <w:highlight w:val="none"/>
          <w:lang w:val="en-US" w:eastAsia="zh-CN"/>
        </w:rPr>
      </w:pPr>
      <w:r>
        <w:rPr>
          <w:rStyle w:val="10"/>
          <w:rFonts w:hint="eastAsia" w:ascii="黑体" w:hAnsi="黑体" w:eastAsia="黑体" w:cs="黑体"/>
          <w:b w:val="0"/>
          <w:bCs/>
          <w:color w:val="auto"/>
          <w:spacing w:val="-4"/>
          <w:sz w:val="32"/>
          <w:szCs w:val="32"/>
          <w:highlight w:val="none"/>
          <w:lang w:val="en-US" w:eastAsia="zh-CN"/>
        </w:rPr>
        <w:t>（三）指标三：履职效能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jc w:val="both"/>
        <w:textAlignment w:val="auto"/>
        <w:rPr>
          <w:rStyle w:val="10"/>
          <w:rFonts w:hint="eastAsia" w:ascii="仿宋" w:hAnsi="仿宋" w:eastAsia="仿宋" w:cs="仿宋"/>
          <w:b w:val="0"/>
          <w:color w:val="auto"/>
          <w:spacing w:val="-4"/>
          <w:sz w:val="32"/>
          <w:szCs w:val="32"/>
          <w:highlight w:val="none"/>
          <w:lang w:val="en-US" w:eastAsia="zh-CN"/>
        </w:rPr>
      </w:pPr>
      <w:r>
        <w:rPr>
          <w:rStyle w:val="10"/>
          <w:rFonts w:hint="eastAsia" w:ascii="仿宋" w:hAnsi="仿宋" w:eastAsia="仿宋" w:cs="仿宋"/>
          <w:b w:val="0"/>
          <w:color w:val="auto"/>
          <w:spacing w:val="-4"/>
          <w:sz w:val="32"/>
          <w:szCs w:val="32"/>
          <w:highlight w:val="none"/>
          <w:lang w:val="en-US" w:eastAsia="zh-CN"/>
        </w:rPr>
        <w:t>数量指标1：社会消费品零售总额增长率,预期指标值为：≥11%；监控节点完成值：=12.8%；评价实际完成值：=12.5%；指标完成率：100.00%；成效分析：</w:t>
      </w:r>
      <w:r>
        <w:rPr>
          <w:rStyle w:val="10"/>
          <w:rFonts w:hint="eastAsia" w:ascii="仿宋" w:hAnsi="仿宋" w:eastAsia="仿宋" w:cs="仿宋"/>
          <w:b w:val="0"/>
          <w:bCs/>
          <w:color w:val="auto"/>
          <w:spacing w:val="-4"/>
          <w:sz w:val="32"/>
          <w:szCs w:val="32"/>
          <w:highlight w:val="none"/>
          <w:lang w:val="en-US" w:eastAsia="zh-CN"/>
        </w:rPr>
        <w:t>通过单位正常运转</w:t>
      </w:r>
      <w:r>
        <w:rPr>
          <w:rStyle w:val="10"/>
          <w:rFonts w:hint="eastAsia" w:ascii="仿宋" w:hAnsi="仿宋" w:eastAsia="仿宋" w:cs="仿宋"/>
          <w:b w:val="0"/>
          <w:color w:val="auto"/>
          <w:spacing w:val="-4"/>
          <w:sz w:val="32"/>
          <w:szCs w:val="32"/>
          <w:highlight w:val="none"/>
          <w:lang w:val="en-US" w:eastAsia="zh-CN"/>
        </w:rPr>
        <w:t>，扩大大宗消费、升温大宗消费、拓展农村消费。</w:t>
      </w:r>
    </w:p>
    <w:p>
      <w:pPr>
        <w:pStyle w:val="2"/>
        <w:keepNext/>
        <w:keepLines/>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color w:val="auto"/>
          <w:highlight w:val="none"/>
          <w:lang w:val="en-US" w:eastAsia="zh-CN"/>
        </w:rPr>
      </w:pPr>
      <w:r>
        <w:rPr>
          <w:rStyle w:val="10"/>
          <w:rFonts w:hint="eastAsia" w:ascii="仿宋" w:hAnsi="仿宋" w:eastAsia="仿宋" w:cs="仿宋"/>
          <w:b w:val="0"/>
          <w:bCs/>
          <w:color w:val="auto"/>
          <w:spacing w:val="-4"/>
          <w:sz w:val="32"/>
          <w:szCs w:val="32"/>
          <w:highlight w:val="none"/>
          <w:lang w:val="en-US" w:eastAsia="zh-CN"/>
        </w:rPr>
        <w:t>数量指标2：完成工业增加值增速,预期指标值为：</w:t>
      </w:r>
      <w:r>
        <w:rPr>
          <w:rStyle w:val="10"/>
          <w:rFonts w:hint="eastAsia" w:ascii="仿宋" w:hAnsi="仿宋" w:eastAsia="仿宋" w:cs="仿宋"/>
          <w:b w:val="0"/>
          <w:bCs/>
          <w:color w:val="auto"/>
          <w:spacing w:val="-4"/>
          <w:sz w:val="32"/>
          <w:szCs w:val="32"/>
          <w:highlight w:val="none"/>
          <w:lang w:val="en-US" w:eastAsia="zh-CN"/>
        </w:rPr>
        <w:t>≥</w:t>
      </w:r>
      <w:r>
        <w:rPr>
          <w:rStyle w:val="10"/>
          <w:rFonts w:hint="eastAsia" w:ascii="仿宋" w:hAnsi="仿宋" w:eastAsia="仿宋" w:cs="仿宋"/>
          <w:b w:val="0"/>
          <w:bCs/>
          <w:color w:val="auto"/>
          <w:spacing w:val="-4"/>
          <w:sz w:val="32"/>
          <w:szCs w:val="32"/>
          <w:highlight w:val="none"/>
          <w:lang w:val="en-US" w:eastAsia="zh-CN"/>
        </w:rPr>
        <w:t>7.5%；监控节点完成值：=7%；评价实际完成值：=3.5%；指标完成率：46.67%；成效分析：通过单位正常运转，推动传统产业提档升级、新兴产业培育壮大、战略支柱产业集群发展。偏差原因：规上工业企业总量偏小，产业链条短，要素保障还有诸多短板。下一步措施：充分发挥重大项目投资牵引带动作用，真心服务市场主体。</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jc w:val="both"/>
        <w:textAlignment w:val="auto"/>
        <w:rPr>
          <w:rStyle w:val="10"/>
          <w:rFonts w:hint="eastAsia" w:ascii="仿宋" w:hAnsi="仿宋" w:eastAsia="仿宋" w:cs="仿宋"/>
          <w:b w:val="0"/>
          <w:color w:val="auto"/>
          <w:spacing w:val="-4"/>
          <w:sz w:val="32"/>
          <w:szCs w:val="32"/>
          <w:highlight w:val="none"/>
          <w:lang w:val="en-US" w:eastAsia="zh-CN"/>
        </w:rPr>
      </w:pPr>
      <w:r>
        <w:rPr>
          <w:rStyle w:val="10"/>
          <w:rFonts w:hint="eastAsia" w:ascii="仿宋" w:hAnsi="仿宋" w:eastAsia="仿宋" w:cs="仿宋"/>
          <w:b w:val="0"/>
          <w:color w:val="auto"/>
          <w:spacing w:val="-4"/>
          <w:sz w:val="32"/>
          <w:szCs w:val="32"/>
          <w:highlight w:val="none"/>
          <w:lang w:val="en-US" w:eastAsia="zh-CN"/>
        </w:rPr>
        <w:t>数量指标3：招商引资项目投资额,预期指标值为：≥226亿元；监控节点完成值：=64.35亿元；评价实际完成值：=184亿元；指标完成率：81.41%；成效分析：</w:t>
      </w:r>
      <w:r>
        <w:rPr>
          <w:rStyle w:val="10"/>
          <w:rFonts w:hint="eastAsia" w:ascii="仿宋" w:hAnsi="仿宋" w:eastAsia="仿宋" w:cs="仿宋"/>
          <w:b w:val="0"/>
          <w:bCs/>
          <w:color w:val="auto"/>
          <w:spacing w:val="-4"/>
          <w:sz w:val="32"/>
          <w:szCs w:val="32"/>
          <w:highlight w:val="none"/>
          <w:lang w:val="en-US" w:eastAsia="zh-CN"/>
        </w:rPr>
        <w:t>通过</w:t>
      </w:r>
      <w:r>
        <w:rPr>
          <w:rStyle w:val="10"/>
          <w:rFonts w:hint="eastAsia" w:ascii="仿宋" w:hAnsi="仿宋" w:eastAsia="仿宋" w:cs="仿宋"/>
          <w:b w:val="0"/>
          <w:color w:val="auto"/>
          <w:spacing w:val="-4"/>
          <w:sz w:val="32"/>
          <w:szCs w:val="32"/>
          <w:highlight w:val="none"/>
          <w:lang w:val="en-US" w:eastAsia="zh-CN"/>
        </w:rPr>
        <w:t>招商引资项目投资，补充产业链短板弱项，形成产业链闭环，提升产业集群化。偏差原因：营商环境尚需优化。</w:t>
      </w:r>
      <w:r>
        <w:rPr>
          <w:rStyle w:val="10"/>
          <w:rFonts w:hint="eastAsia" w:ascii="仿宋" w:hAnsi="仿宋" w:eastAsia="仿宋" w:cs="仿宋"/>
          <w:b w:val="0"/>
          <w:bCs/>
          <w:color w:val="auto"/>
          <w:spacing w:val="-4"/>
          <w:sz w:val="32"/>
          <w:szCs w:val="32"/>
          <w:highlight w:val="none"/>
          <w:lang w:val="en-US" w:eastAsia="zh-CN"/>
        </w:rPr>
        <w:t>下一步措施：持续深化“放管服”改革，多层次多角度推进构建优化营商环境法治联合体，创新营造公平透明可预期法治化营商环境，坚决查处破坏营商环境行为。</w:t>
      </w:r>
    </w:p>
    <w:p>
      <w:pPr>
        <w:pageBreakBefore w:val="0"/>
        <w:kinsoku/>
        <w:wordWrap/>
        <w:overflowPunct/>
        <w:topLinePunct w:val="0"/>
        <w:autoSpaceDE/>
        <w:autoSpaceDN/>
        <w:bidi w:val="0"/>
        <w:adjustRightInd/>
        <w:spacing w:line="560" w:lineRule="exact"/>
        <w:ind w:firstLine="624" w:firstLineChars="200"/>
        <w:textAlignment w:val="auto"/>
        <w:rPr>
          <w:rStyle w:val="10"/>
          <w:rFonts w:hint="eastAsia" w:ascii="黑体" w:hAnsi="黑体" w:eastAsia="黑体" w:cs="黑体"/>
          <w:b w:val="0"/>
          <w:bCs/>
          <w:color w:val="auto"/>
          <w:spacing w:val="-4"/>
          <w:sz w:val="32"/>
          <w:szCs w:val="32"/>
          <w:highlight w:val="none"/>
          <w:lang w:val="en-US" w:eastAsia="zh-CN"/>
        </w:rPr>
      </w:pPr>
      <w:r>
        <w:rPr>
          <w:rStyle w:val="10"/>
          <w:rFonts w:hint="eastAsia" w:ascii="仿宋" w:hAnsi="仿宋" w:eastAsia="仿宋" w:cs="仿宋"/>
          <w:b w:val="0"/>
          <w:color w:val="auto"/>
          <w:spacing w:val="-4"/>
          <w:sz w:val="32"/>
          <w:szCs w:val="32"/>
          <w:highlight w:val="none"/>
          <w:lang w:val="en-US" w:eastAsia="zh-CN"/>
        </w:rPr>
        <w:t>数量指标4：培育申报自治区创新中小企业数量,预期指标值为：≥</w:t>
      </w:r>
      <w:r>
        <w:rPr>
          <w:rStyle w:val="10"/>
          <w:rFonts w:hint="eastAsia" w:ascii="仿宋" w:hAnsi="仿宋" w:eastAsia="仿宋" w:cs="仿宋"/>
          <w:b w:val="0"/>
          <w:bCs/>
          <w:color w:val="auto"/>
          <w:spacing w:val="-4"/>
          <w:sz w:val="32"/>
          <w:szCs w:val="32"/>
          <w:highlight w:val="none"/>
          <w:lang w:val="en-US" w:eastAsia="zh-CN"/>
        </w:rPr>
        <w:t>14家</w:t>
      </w:r>
      <w:r>
        <w:rPr>
          <w:rStyle w:val="10"/>
          <w:rFonts w:hint="eastAsia" w:ascii="仿宋" w:hAnsi="仿宋" w:eastAsia="仿宋" w:cs="仿宋"/>
          <w:b w:val="0"/>
          <w:color w:val="auto"/>
          <w:spacing w:val="-4"/>
          <w:sz w:val="32"/>
          <w:szCs w:val="32"/>
          <w:highlight w:val="none"/>
          <w:lang w:val="en-US" w:eastAsia="zh-CN"/>
        </w:rPr>
        <w:t>；监控节点完成值：=20家；评价实际完成值：=17家；指标完成率：100.00%；成效分析：</w:t>
      </w:r>
      <w:r>
        <w:rPr>
          <w:rStyle w:val="10"/>
          <w:rFonts w:hint="eastAsia" w:ascii="仿宋" w:hAnsi="仿宋" w:eastAsia="仿宋" w:cs="仿宋"/>
          <w:b w:val="0"/>
          <w:bCs/>
          <w:color w:val="auto"/>
          <w:spacing w:val="-4"/>
          <w:sz w:val="32"/>
          <w:szCs w:val="32"/>
          <w:highlight w:val="none"/>
          <w:lang w:val="en-US" w:eastAsia="zh-CN"/>
        </w:rPr>
        <w:t>通过</w:t>
      </w:r>
      <w:r>
        <w:rPr>
          <w:rStyle w:val="10"/>
          <w:rFonts w:hint="eastAsia" w:ascii="仿宋" w:hAnsi="仿宋" w:eastAsia="仿宋" w:cs="仿宋"/>
          <w:b w:val="0"/>
          <w:color w:val="auto"/>
          <w:spacing w:val="-4"/>
          <w:sz w:val="32"/>
          <w:szCs w:val="32"/>
          <w:highlight w:val="none"/>
          <w:lang w:val="en-US" w:eastAsia="zh-CN"/>
        </w:rPr>
        <w:t>申报自治区创新中小企业加速科技创新成果转化，科技创新支撑经济社会高质量发展的能力不断提升。</w:t>
      </w:r>
    </w:p>
    <w:p>
      <w:pPr>
        <w:pageBreakBefore w:val="0"/>
        <w:kinsoku/>
        <w:wordWrap/>
        <w:overflowPunct/>
        <w:topLinePunct w:val="0"/>
        <w:autoSpaceDE/>
        <w:autoSpaceDN/>
        <w:bidi w:val="0"/>
        <w:adjustRightInd/>
        <w:spacing w:line="560" w:lineRule="exact"/>
        <w:ind w:firstLine="624" w:firstLineChars="200"/>
        <w:textAlignment w:val="auto"/>
        <w:rPr>
          <w:rStyle w:val="10"/>
          <w:rFonts w:hint="eastAsia" w:ascii="黑体" w:hAnsi="黑体" w:eastAsia="黑体" w:cs="黑体"/>
          <w:b w:val="0"/>
          <w:bCs/>
          <w:color w:val="auto"/>
          <w:spacing w:val="-4"/>
          <w:sz w:val="32"/>
          <w:szCs w:val="32"/>
          <w:highlight w:val="none"/>
          <w:lang w:val="en-US" w:eastAsia="zh-CN"/>
        </w:rPr>
      </w:pPr>
      <w:r>
        <w:rPr>
          <w:rStyle w:val="10"/>
          <w:rFonts w:hint="eastAsia" w:ascii="黑体" w:hAnsi="黑体" w:eastAsia="黑体" w:cs="黑体"/>
          <w:b w:val="0"/>
          <w:bCs/>
          <w:color w:val="auto"/>
          <w:spacing w:val="-4"/>
          <w:sz w:val="32"/>
          <w:szCs w:val="32"/>
          <w:highlight w:val="none"/>
          <w:lang w:val="en-US" w:eastAsia="zh-CN"/>
        </w:rPr>
        <w:t>（四）指标四：社会效益</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jc w:val="both"/>
        <w:textAlignment w:val="auto"/>
        <w:rPr>
          <w:rStyle w:val="10"/>
          <w:rFonts w:hint="eastAsia" w:ascii="仿宋" w:hAnsi="仿宋" w:eastAsia="仿宋" w:cs="仿宋"/>
          <w:b w:val="0"/>
          <w:color w:val="auto"/>
          <w:spacing w:val="-4"/>
          <w:sz w:val="32"/>
          <w:szCs w:val="32"/>
          <w:highlight w:val="none"/>
          <w:lang w:val="en-US" w:eastAsia="zh-CN"/>
        </w:rPr>
      </w:pPr>
      <w:r>
        <w:rPr>
          <w:rStyle w:val="10"/>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560" w:lineRule="exact"/>
        <w:ind w:firstLine="624" w:firstLineChars="200"/>
        <w:textAlignment w:val="auto"/>
        <w:rPr>
          <w:rStyle w:val="10"/>
          <w:rFonts w:hint="eastAsia" w:ascii="黑体" w:hAnsi="黑体" w:eastAsia="黑体" w:cs="黑体"/>
          <w:b w:val="0"/>
          <w:bCs/>
          <w:color w:val="auto"/>
          <w:spacing w:val="-4"/>
          <w:sz w:val="32"/>
          <w:szCs w:val="32"/>
          <w:highlight w:val="none"/>
          <w:lang w:val="en-US" w:eastAsia="zh-CN"/>
        </w:rPr>
      </w:pPr>
      <w:r>
        <w:rPr>
          <w:rStyle w:val="10"/>
          <w:rFonts w:hint="eastAsia" w:ascii="黑体" w:hAnsi="黑体" w:eastAsia="黑体" w:cs="黑体"/>
          <w:b w:val="0"/>
          <w:bCs/>
          <w:color w:val="auto"/>
          <w:spacing w:val="-4"/>
          <w:sz w:val="32"/>
          <w:szCs w:val="32"/>
          <w:highlight w:val="none"/>
          <w:lang w:val="en-US" w:eastAsia="zh-CN"/>
        </w:rPr>
        <w:t>（五）指标五：可持续发展能力</w:t>
      </w:r>
    </w:p>
    <w:p>
      <w:pPr>
        <w:pageBreakBefore w:val="0"/>
        <w:kinsoku/>
        <w:wordWrap/>
        <w:overflowPunct/>
        <w:topLinePunct w:val="0"/>
        <w:autoSpaceDE/>
        <w:autoSpaceDN/>
        <w:bidi w:val="0"/>
        <w:adjustRightInd/>
        <w:spacing w:line="560" w:lineRule="exact"/>
        <w:ind w:firstLine="624" w:firstLineChars="200"/>
        <w:textAlignment w:val="auto"/>
        <w:rPr>
          <w:rStyle w:val="10"/>
          <w:rFonts w:hint="eastAsia" w:ascii="仿宋" w:hAnsi="仿宋" w:eastAsia="仿宋" w:cs="仿宋"/>
          <w:b w:val="0"/>
          <w:color w:val="auto"/>
          <w:spacing w:val="-4"/>
          <w:sz w:val="32"/>
          <w:szCs w:val="32"/>
          <w:highlight w:val="none"/>
          <w:lang w:val="en-US" w:eastAsia="zh-CN"/>
        </w:rPr>
      </w:pPr>
      <w:r>
        <w:rPr>
          <w:rStyle w:val="10"/>
          <w:rFonts w:hint="eastAsia" w:ascii="仿宋" w:hAnsi="仿宋" w:eastAsia="仿宋" w:cs="仿宋"/>
          <w:b w:val="0"/>
          <w:color w:val="auto"/>
          <w:spacing w:val="-4"/>
          <w:sz w:val="32"/>
          <w:szCs w:val="32"/>
          <w:highlight w:val="none"/>
          <w:lang w:val="en-US" w:eastAsia="zh-CN"/>
        </w:rPr>
        <w:t>无此项指标。</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0"/>
          <w:rFonts w:hint="eastAsia" w:ascii="黑体" w:hAnsi="黑体" w:eastAsia="黑体" w:cs="黑体"/>
          <w:b w:val="0"/>
          <w:bCs/>
          <w:color w:val="auto"/>
          <w:spacing w:val="-4"/>
          <w:sz w:val="32"/>
          <w:szCs w:val="32"/>
          <w:highlight w:val="none"/>
          <w:lang w:val="en-US" w:eastAsia="zh-CN"/>
        </w:rPr>
      </w:pPr>
      <w:r>
        <w:rPr>
          <w:rStyle w:val="10"/>
          <w:rFonts w:hint="eastAsia" w:ascii="黑体" w:hAnsi="黑体" w:eastAsia="黑体" w:cs="黑体"/>
          <w:b w:val="0"/>
          <w:bCs/>
          <w:color w:val="auto"/>
          <w:spacing w:val="-4"/>
          <w:sz w:val="32"/>
          <w:szCs w:val="32"/>
          <w:highlight w:val="none"/>
          <w:lang w:val="en-US" w:eastAsia="zh-CN"/>
        </w:rPr>
        <w:t>（六）指标六：服务对象满意度</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jc w:val="both"/>
        <w:textAlignment w:val="auto"/>
        <w:rPr>
          <w:rStyle w:val="10"/>
          <w:rFonts w:hint="eastAsia" w:ascii="仿宋" w:hAnsi="仿宋" w:eastAsia="仿宋" w:cs="仿宋"/>
          <w:b w:val="0"/>
          <w:color w:val="auto"/>
          <w:spacing w:val="-4"/>
          <w:sz w:val="32"/>
          <w:szCs w:val="32"/>
          <w:highlight w:val="none"/>
          <w:lang w:val="en-US" w:eastAsia="zh-CN"/>
        </w:rPr>
      </w:pPr>
      <w:r>
        <w:rPr>
          <w:rStyle w:val="10"/>
          <w:rFonts w:hint="eastAsia" w:ascii="仿宋" w:hAnsi="仿宋" w:eastAsia="仿宋" w:cs="仿宋"/>
          <w:b w:val="0"/>
          <w:color w:val="auto"/>
          <w:spacing w:val="-4"/>
          <w:sz w:val="32"/>
          <w:szCs w:val="32"/>
          <w:highlight w:val="none"/>
          <w:lang w:val="en-US" w:eastAsia="zh-CN"/>
        </w:rPr>
        <w:t>无此项指标。</w:t>
      </w:r>
    </w:p>
    <w:p>
      <w:pPr>
        <w:pStyle w:val="14"/>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24" w:firstLineChars="200"/>
        <w:textAlignment w:val="auto"/>
        <w:rPr>
          <w:rStyle w:val="10"/>
          <w:rFonts w:ascii="黑体" w:hAnsi="黑体" w:eastAsia="黑体"/>
          <w:b w:val="0"/>
          <w:bCs w:val="0"/>
          <w:color w:val="auto"/>
          <w:spacing w:val="-4"/>
          <w:sz w:val="32"/>
          <w:szCs w:val="32"/>
          <w:highlight w:val="none"/>
        </w:rPr>
      </w:pPr>
      <w:r>
        <w:rPr>
          <w:rStyle w:val="10"/>
          <w:rFonts w:hint="eastAsia" w:ascii="黑体" w:hAnsi="黑体" w:eastAsia="黑体"/>
          <w:b w:val="0"/>
          <w:bCs w:val="0"/>
          <w:color w:val="auto"/>
          <w:spacing w:val="-4"/>
          <w:sz w:val="32"/>
          <w:szCs w:val="32"/>
          <w:highlight w:val="none"/>
          <w:lang w:val="en-US" w:eastAsia="zh-CN"/>
        </w:rPr>
        <w:t>四、</w:t>
      </w:r>
      <w:r>
        <w:rPr>
          <w:rStyle w:val="10"/>
          <w:rFonts w:hint="eastAsia" w:ascii="黑体" w:hAnsi="黑体" w:eastAsia="黑体"/>
          <w:b w:val="0"/>
          <w:bCs w:val="0"/>
          <w:color w:val="auto"/>
          <w:spacing w:val="-4"/>
          <w:sz w:val="32"/>
          <w:szCs w:val="32"/>
          <w:highlight w:val="none"/>
          <w:lang w:eastAsia="zh-CN"/>
        </w:rPr>
        <w:t>评价结论</w:t>
      </w:r>
    </w:p>
    <w:p>
      <w:pPr>
        <w:pageBreakBefore w:val="0"/>
        <w:kinsoku/>
        <w:wordWrap/>
        <w:overflowPunct/>
        <w:topLinePunct w:val="0"/>
        <w:autoSpaceDE/>
        <w:autoSpaceDN/>
        <w:bidi w:val="0"/>
        <w:adjustRightInd/>
        <w:spacing w:line="560" w:lineRule="exact"/>
        <w:ind w:firstLine="624" w:firstLineChars="200"/>
        <w:textAlignment w:val="auto"/>
        <w:rPr>
          <w:rStyle w:val="10"/>
          <w:rFonts w:hint="eastAsia" w:ascii="仿宋" w:hAnsi="仿宋" w:eastAsia="仿宋" w:cs="仿宋"/>
          <w:b w:val="0"/>
          <w:bCs/>
          <w:color w:val="auto"/>
          <w:spacing w:val="-4"/>
          <w:sz w:val="32"/>
          <w:szCs w:val="32"/>
          <w:highlight w:val="none"/>
          <w:lang w:val="en-US" w:eastAsia="zh-CN"/>
        </w:rPr>
      </w:pPr>
      <w:r>
        <w:rPr>
          <w:rStyle w:val="10"/>
          <w:rFonts w:hint="eastAsia" w:ascii="仿宋" w:hAnsi="仿宋" w:eastAsia="仿宋" w:cs="仿宋"/>
          <w:b w:val="0"/>
          <w:bCs/>
          <w:color w:val="auto"/>
          <w:spacing w:val="-4"/>
          <w:sz w:val="32"/>
          <w:szCs w:val="32"/>
          <w:highlight w:val="none"/>
          <w:lang w:val="en-US" w:eastAsia="zh-CN"/>
        </w:rPr>
        <w:t>本部门严格按照科学公正、统筹兼顾、激励约束、公开透明的绩效评价原则，对本部门预算执行情况、部门单位整体支出管理及使用情况、部门单位整体支出绩效指标完成情况等进行了综合评价。</w:t>
      </w:r>
    </w:p>
    <w:p>
      <w:pPr>
        <w:pageBreakBefore w:val="0"/>
        <w:kinsoku/>
        <w:wordWrap/>
        <w:overflowPunct/>
        <w:topLinePunct w:val="0"/>
        <w:autoSpaceDE/>
        <w:autoSpaceDN/>
        <w:bidi w:val="0"/>
        <w:adjustRightInd/>
        <w:spacing w:line="560" w:lineRule="exact"/>
        <w:ind w:firstLine="624" w:firstLineChars="200"/>
        <w:textAlignment w:val="auto"/>
        <w:rPr>
          <w:rStyle w:val="10"/>
          <w:rFonts w:hint="eastAsia" w:ascii="仿宋" w:hAnsi="仿宋" w:eastAsia="仿宋" w:cs="仿宋"/>
          <w:b w:val="0"/>
          <w:bCs/>
          <w:color w:val="auto"/>
          <w:spacing w:val="-4"/>
          <w:sz w:val="32"/>
          <w:szCs w:val="32"/>
          <w:highlight w:val="none"/>
          <w:lang w:val="en-US" w:eastAsia="zh-CN"/>
        </w:rPr>
      </w:pPr>
      <w:r>
        <w:rPr>
          <w:rStyle w:val="10"/>
          <w:rFonts w:hint="eastAsia" w:ascii="仿宋" w:hAnsi="仿宋" w:eastAsia="仿宋" w:cs="仿宋"/>
          <w:b w:val="0"/>
          <w:bCs/>
          <w:color w:val="auto"/>
          <w:spacing w:val="-4"/>
          <w:sz w:val="32"/>
          <w:szCs w:val="32"/>
          <w:highlight w:val="none"/>
          <w:lang w:val="en-US" w:eastAsia="zh-CN"/>
        </w:rPr>
        <w:t>2023年度部门整体支出绩效自评综合得分82.95分，评价结果为“良”。</w:t>
      </w:r>
    </w:p>
    <w:p>
      <w:pPr>
        <w:pStyle w:val="14"/>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24" w:firstLineChars="200"/>
        <w:textAlignment w:val="auto"/>
        <w:rPr>
          <w:rStyle w:val="10"/>
          <w:rFonts w:hint="eastAsia" w:ascii="黑体" w:hAnsi="黑体" w:eastAsia="黑体" w:cs="黑体"/>
          <w:b w:val="0"/>
          <w:bCs w:val="0"/>
          <w:color w:val="auto"/>
          <w:spacing w:val="-4"/>
          <w:sz w:val="32"/>
          <w:szCs w:val="32"/>
          <w:highlight w:val="none"/>
        </w:rPr>
      </w:pPr>
      <w:r>
        <w:rPr>
          <w:rStyle w:val="10"/>
          <w:rFonts w:hint="eastAsia" w:ascii="黑体" w:hAnsi="黑体" w:eastAsia="黑体" w:cs="黑体"/>
          <w:b w:val="0"/>
          <w:bCs w:val="0"/>
          <w:color w:val="auto"/>
          <w:spacing w:val="-4"/>
          <w:sz w:val="32"/>
          <w:szCs w:val="32"/>
          <w:highlight w:val="none"/>
          <w:lang w:val="en-US" w:eastAsia="zh-CN"/>
        </w:rPr>
        <w:t>五、</w:t>
      </w:r>
      <w:r>
        <w:rPr>
          <w:rStyle w:val="10"/>
          <w:rFonts w:hint="eastAsia" w:ascii="黑体" w:hAnsi="黑体" w:eastAsia="黑体" w:cs="黑体"/>
          <w:b w:val="0"/>
          <w:bCs w:val="0"/>
          <w:color w:val="auto"/>
          <w:spacing w:val="-4"/>
          <w:sz w:val="32"/>
          <w:szCs w:val="32"/>
          <w:highlight w:val="none"/>
        </w:rPr>
        <w:t>存在的主要问题</w:t>
      </w:r>
      <w:r>
        <w:rPr>
          <w:rStyle w:val="10"/>
          <w:rFonts w:hint="eastAsia" w:ascii="黑体" w:hAnsi="黑体" w:eastAsia="黑体" w:cs="黑体"/>
          <w:b w:val="0"/>
          <w:bCs w:val="0"/>
          <w:color w:val="auto"/>
          <w:spacing w:val="-4"/>
          <w:sz w:val="32"/>
          <w:szCs w:val="32"/>
          <w:highlight w:val="none"/>
          <w:lang w:eastAsia="zh-CN"/>
        </w:rPr>
        <w:t>及原因分析</w:t>
      </w:r>
    </w:p>
    <w:p>
      <w:pPr>
        <w:pageBreakBefore w:val="0"/>
        <w:kinsoku/>
        <w:wordWrap/>
        <w:overflowPunct/>
        <w:topLinePunct w:val="0"/>
        <w:autoSpaceDE/>
        <w:autoSpaceDN/>
        <w:bidi w:val="0"/>
        <w:adjustRightInd/>
        <w:spacing w:line="560" w:lineRule="exact"/>
        <w:ind w:firstLine="640" w:firstLineChars="200"/>
        <w:jc w:val="both"/>
        <w:textAlignment w:val="auto"/>
        <w:rPr>
          <w:rFonts w:ascii="仿宋" w:hAnsi="仿宋" w:eastAsia="仿宋" w:cs="仿宋"/>
          <w:color w:val="auto"/>
          <w:sz w:val="32"/>
          <w:szCs w:val="32"/>
          <w:highlight w:val="none"/>
        </w:rPr>
      </w:pPr>
      <w:r>
        <w:rPr>
          <w:rFonts w:hint="eastAsia" w:ascii="仿宋" w:hAnsi="仿宋" w:eastAsia="仿宋" w:cs="仿宋"/>
          <w:color w:val="auto"/>
          <w:sz w:val="32"/>
          <w:szCs w:val="32"/>
          <w:highlight w:val="none"/>
          <w:lang w:eastAsia="zh-CN"/>
        </w:rPr>
        <w:t>通过对全年预算项目的绩效评监控及评价，</w:t>
      </w:r>
      <w:r>
        <w:rPr>
          <w:rFonts w:hint="eastAsia" w:ascii="仿宋" w:hAnsi="仿宋" w:eastAsia="仿宋" w:cs="仿宋"/>
          <w:color w:val="auto"/>
          <w:sz w:val="32"/>
          <w:szCs w:val="32"/>
          <w:highlight w:val="none"/>
        </w:rPr>
        <w:t>我单位客观、全面地完成了项目执行的实际情况和取得的成果的相关</w:t>
      </w:r>
      <w:r>
        <w:rPr>
          <w:rFonts w:hint="eastAsia" w:ascii="仿宋" w:hAnsi="仿宋" w:eastAsia="仿宋" w:cs="仿宋"/>
          <w:color w:val="auto"/>
          <w:sz w:val="32"/>
          <w:szCs w:val="32"/>
          <w:highlight w:val="none"/>
          <w:lang w:eastAsia="zh-CN"/>
        </w:rPr>
        <w:t>资料</w:t>
      </w:r>
      <w:r>
        <w:rPr>
          <w:rFonts w:hint="eastAsia" w:ascii="仿宋" w:hAnsi="仿宋" w:eastAsia="仿宋" w:cs="仿宋"/>
          <w:color w:val="auto"/>
          <w:sz w:val="32"/>
          <w:szCs w:val="32"/>
          <w:highlight w:val="none"/>
        </w:rPr>
        <w:t>收集工作，并完成了资金实施偏差和项目完成可能性分析。但在</w:t>
      </w:r>
      <w:r>
        <w:rPr>
          <w:rFonts w:hint="eastAsia" w:ascii="仿宋" w:hAnsi="仿宋" w:eastAsia="仿宋" w:cs="仿宋"/>
          <w:color w:val="auto"/>
          <w:sz w:val="32"/>
          <w:szCs w:val="32"/>
          <w:highlight w:val="none"/>
          <w:lang w:eastAsia="zh-CN"/>
        </w:rPr>
        <w:t>项目</w:t>
      </w:r>
      <w:r>
        <w:rPr>
          <w:rFonts w:hint="eastAsia" w:ascii="仿宋" w:hAnsi="仿宋" w:eastAsia="仿宋" w:cs="仿宋"/>
          <w:color w:val="auto"/>
          <w:sz w:val="32"/>
          <w:szCs w:val="32"/>
          <w:highlight w:val="none"/>
        </w:rPr>
        <w:t>绩效工作组织管理中我单位还存在以下问题：</w:t>
      </w:r>
    </w:p>
    <w:p>
      <w:pPr>
        <w:pageBreakBefore w:val="0"/>
        <w:kinsoku/>
        <w:wordWrap/>
        <w:overflowPunct/>
        <w:topLinePunct w:val="0"/>
        <w:autoSpaceDE/>
        <w:autoSpaceDN/>
        <w:bidi w:val="0"/>
        <w:adjustRightInd/>
        <w:spacing w:line="560" w:lineRule="exact"/>
        <w:ind w:firstLine="640" w:firstLineChars="200"/>
        <w:jc w:val="both"/>
        <w:textAlignment w:val="auto"/>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单位管理制度仍有漏洞，还需继续完善，对财务制度执行力有待加强；单位主要领导对财务重视度不够，有些工作不能统筹做到落实到具体到相关科室及人和事；财务制度管理不完善，需进一步加强；单位财务人员专业水平有待提高。</w:t>
      </w:r>
    </w:p>
    <w:p>
      <w:pPr>
        <w:pStyle w:val="14"/>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24" w:firstLineChars="200"/>
        <w:textAlignment w:val="auto"/>
        <w:rPr>
          <w:rStyle w:val="10"/>
          <w:rFonts w:hint="eastAsia" w:ascii="黑体" w:hAnsi="黑体" w:eastAsia="黑体" w:cs="黑体"/>
          <w:b w:val="0"/>
          <w:bCs w:val="0"/>
          <w:color w:val="auto"/>
          <w:spacing w:val="-4"/>
          <w:sz w:val="32"/>
          <w:szCs w:val="32"/>
          <w:highlight w:val="none"/>
        </w:rPr>
      </w:pPr>
      <w:r>
        <w:rPr>
          <w:rStyle w:val="10"/>
          <w:rFonts w:hint="eastAsia" w:ascii="黑体" w:hAnsi="黑体" w:eastAsia="黑体" w:cs="黑体"/>
          <w:b w:val="0"/>
          <w:bCs w:val="0"/>
          <w:color w:val="auto"/>
          <w:spacing w:val="-4"/>
          <w:sz w:val="32"/>
          <w:szCs w:val="32"/>
          <w:highlight w:val="none"/>
          <w:lang w:val="en-US" w:eastAsia="zh-CN"/>
        </w:rPr>
        <w:t>六、</w:t>
      </w:r>
      <w:r>
        <w:rPr>
          <w:rStyle w:val="10"/>
          <w:rFonts w:hint="eastAsia" w:ascii="黑体" w:hAnsi="黑体" w:eastAsia="黑体" w:cs="黑体"/>
          <w:b w:val="0"/>
          <w:bCs w:val="0"/>
          <w:color w:val="auto"/>
          <w:spacing w:val="-4"/>
          <w:sz w:val="32"/>
          <w:szCs w:val="32"/>
          <w:highlight w:val="none"/>
        </w:rPr>
        <w:t>改进措施和建议</w:t>
      </w:r>
    </w:p>
    <w:p>
      <w:pPr>
        <w:pageBreakBefore w:val="0"/>
        <w:kinsoku/>
        <w:wordWrap/>
        <w:overflowPunct/>
        <w:topLinePunct w:val="0"/>
        <w:autoSpaceDE/>
        <w:autoSpaceDN/>
        <w:bidi w:val="0"/>
        <w:adjustRightInd/>
        <w:spacing w:line="560" w:lineRule="exact"/>
        <w:ind w:firstLine="640" w:firstLineChars="200"/>
        <w:textAlignment w:val="auto"/>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为顺利推进本单位预算绩效管理工作，确保绩效目标实现，提高财政资金使用效益，下一步我单位将不断完善绩效评价和评价体系，具体措施如下：</w:t>
      </w:r>
    </w:p>
    <w:p>
      <w:pPr>
        <w:pageBreakBefore w:val="0"/>
        <w:kinsoku/>
        <w:wordWrap/>
        <w:overflowPunct/>
        <w:topLinePunct w:val="0"/>
        <w:autoSpaceDE/>
        <w:autoSpaceDN/>
        <w:bidi w:val="0"/>
        <w:adjustRightInd/>
        <w:spacing w:line="560" w:lineRule="exact"/>
        <w:ind w:firstLine="640" w:firstLineChars="200"/>
        <w:textAlignment w:val="auto"/>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1、继续加强项目实时监控，严格按照相关要求对相关项目的资金进行使用，确保资金使用及时有效。</w:t>
      </w:r>
    </w:p>
    <w:p>
      <w:pPr>
        <w:pageBreakBefore w:val="0"/>
        <w:kinsoku/>
        <w:wordWrap/>
        <w:overflowPunct/>
        <w:topLinePunct w:val="0"/>
        <w:autoSpaceDE/>
        <w:autoSpaceDN/>
        <w:bidi w:val="0"/>
        <w:adjustRightInd/>
        <w:spacing w:line="560" w:lineRule="exact"/>
        <w:ind w:firstLine="640" w:firstLineChars="200"/>
        <w:textAlignment w:val="auto"/>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2、继续加强项目开展进度的跟踪，提前做好预算及资金的支付计划，保证项目顺利开展的同时资金使用规范合理。</w:t>
      </w:r>
    </w:p>
    <w:p>
      <w:pPr>
        <w:pageBreakBefore w:val="0"/>
        <w:kinsoku/>
        <w:wordWrap/>
        <w:overflowPunct/>
        <w:topLinePunct w:val="0"/>
        <w:autoSpaceDE/>
        <w:autoSpaceDN/>
        <w:bidi w:val="0"/>
        <w:adjustRightInd/>
        <w:spacing w:line="560" w:lineRule="exact"/>
        <w:ind w:firstLine="640" w:firstLineChars="200"/>
        <w:textAlignment w:val="auto"/>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3、财务分管领导及时与主要领导汇报预算绩效评价工作，统筹好各科室按照职责分工做好绩效监控。</w:t>
      </w:r>
    </w:p>
    <w:p>
      <w:pPr>
        <w:pageBreakBefore w:val="0"/>
        <w:kinsoku/>
        <w:wordWrap/>
        <w:overflowPunct/>
        <w:topLinePunct w:val="0"/>
        <w:autoSpaceDE/>
        <w:autoSpaceDN/>
        <w:bidi w:val="0"/>
        <w:adjustRightInd/>
        <w:spacing w:line="560" w:lineRule="exact"/>
        <w:ind w:firstLine="640" w:firstLineChars="200"/>
        <w:textAlignment w:val="auto"/>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4、督促财务人员积极参加财政部门举办的各类有关财务的培训班。</w:t>
      </w:r>
    </w:p>
    <w:p>
      <w:pPr>
        <w:pStyle w:val="14"/>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24" w:firstLineChars="200"/>
        <w:textAlignment w:val="auto"/>
        <w:rPr>
          <w:rStyle w:val="10"/>
          <w:rFonts w:hint="eastAsia" w:ascii="黑体" w:hAnsi="黑体" w:eastAsia="黑体" w:cs="黑体"/>
          <w:b w:val="0"/>
          <w:bCs w:val="0"/>
          <w:color w:val="auto"/>
          <w:spacing w:val="-4"/>
          <w:sz w:val="32"/>
          <w:szCs w:val="32"/>
          <w:highlight w:val="none"/>
        </w:rPr>
      </w:pPr>
      <w:r>
        <w:rPr>
          <w:rStyle w:val="10"/>
          <w:rFonts w:hint="eastAsia" w:ascii="黑体" w:hAnsi="黑体" w:eastAsia="黑体" w:cs="黑体"/>
          <w:b w:val="0"/>
          <w:bCs w:val="0"/>
          <w:color w:val="auto"/>
          <w:spacing w:val="-4"/>
          <w:sz w:val="32"/>
          <w:szCs w:val="32"/>
          <w:highlight w:val="none"/>
          <w:lang w:val="en-US" w:eastAsia="zh-CN"/>
        </w:rPr>
        <w:t>七、</w:t>
      </w:r>
      <w:r>
        <w:rPr>
          <w:rStyle w:val="10"/>
          <w:rFonts w:hint="eastAsia" w:ascii="黑体" w:hAnsi="黑体" w:eastAsia="黑体" w:cs="黑体"/>
          <w:b w:val="0"/>
          <w:bCs w:val="0"/>
          <w:color w:val="auto"/>
          <w:spacing w:val="-4"/>
          <w:sz w:val="32"/>
          <w:szCs w:val="32"/>
          <w:highlight w:val="none"/>
        </w:rPr>
        <w:t>附表：《部门整体支出绩效自评表》</w:t>
      </w:r>
    </w:p>
    <w:bookmarkEnd w:id="0"/>
    <w:sectPr>
      <w:headerReference r:id="rId4" w:type="first"/>
      <w:footerReference r:id="rId6" w:type="first"/>
      <w:headerReference r:id="rId3" w:type="even"/>
      <w:footerReference r:id="rId5" w:type="even"/>
      <w:pgSz w:w="11906" w:h="16838"/>
      <w:pgMar w:top="1440" w:right="1800" w:bottom="1440" w:left="1800" w:header="851" w:footer="992" w:gutter="0"/>
      <w:pgNumType w:fmt="numberInDash" w:start="25"/>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504E232-31DD-414A-93BA-EC5AA061C94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1E80EF97-5E12-41B1-AAC3-B8F9CAA80132}"/>
  </w:font>
  <w:font w:name="仿宋_GB2312">
    <w:panose1 w:val="02010609030101010101"/>
    <w:charset w:val="86"/>
    <w:family w:val="modern"/>
    <w:pitch w:val="default"/>
    <w:sig w:usb0="00000001" w:usb1="080E0000" w:usb2="00000000" w:usb3="00000000" w:csb0="00040000" w:csb1="00000000"/>
    <w:embedRegular r:id="rId3" w:fontKey="{B7856FB8-DA3F-42F0-A5CE-C67148AEE27C}"/>
  </w:font>
  <w:font w:name="方正仿宋_GBK">
    <w:panose1 w:val="03000509000000000000"/>
    <w:charset w:val="86"/>
    <w:family w:val="script"/>
    <w:pitch w:val="default"/>
    <w:sig w:usb0="00000001" w:usb1="080E0000" w:usb2="00000000" w:usb3="00000000" w:csb0="00040000" w:csb1="00000000"/>
    <w:embedRegular r:id="rId4" w:fontKey="{6615B533-838E-47E9-A975-920A5DD3FB94}"/>
  </w:font>
  <w:font w:name="楷体">
    <w:panose1 w:val="02010609060101010101"/>
    <w:charset w:val="86"/>
    <w:family w:val="modern"/>
    <w:pitch w:val="default"/>
    <w:sig w:usb0="800002BF" w:usb1="38CF7CFA" w:usb2="00000016" w:usb3="00000000" w:csb0="00040001" w:csb1="00000000"/>
    <w:embedRegular r:id="rId5" w:fontKey="{7BE7EB1B-DC0C-4577-A37B-58E7A1ADE075}"/>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kM2Y3OTk4YWJkMTlhY2M0M2NiNzUzNWU4NjU4YjYifQ=="/>
    <w:docVar w:name="KSO_WPS_MARK_KEY" w:val="40e95650-004b-4697-ae2b-25bffeeac740"/>
  </w:docVars>
  <w:rsids>
    <w:rsidRoot w:val="00633862"/>
    <w:rsid w:val="000D3AFA"/>
    <w:rsid w:val="00191BA3"/>
    <w:rsid w:val="0022744B"/>
    <w:rsid w:val="005B1250"/>
    <w:rsid w:val="00633862"/>
    <w:rsid w:val="006C5BED"/>
    <w:rsid w:val="00702D4A"/>
    <w:rsid w:val="007115C8"/>
    <w:rsid w:val="00867FFD"/>
    <w:rsid w:val="0097614B"/>
    <w:rsid w:val="00AA5126"/>
    <w:rsid w:val="00AD16CD"/>
    <w:rsid w:val="00CD2F35"/>
    <w:rsid w:val="00DB1085"/>
    <w:rsid w:val="00EA14FA"/>
    <w:rsid w:val="00F84215"/>
    <w:rsid w:val="010E0C0C"/>
    <w:rsid w:val="016D0077"/>
    <w:rsid w:val="017D4D3A"/>
    <w:rsid w:val="021F7DC1"/>
    <w:rsid w:val="022573A2"/>
    <w:rsid w:val="02355837"/>
    <w:rsid w:val="023B0973"/>
    <w:rsid w:val="02610413"/>
    <w:rsid w:val="02F163A2"/>
    <w:rsid w:val="02FE786C"/>
    <w:rsid w:val="03341650"/>
    <w:rsid w:val="036F2FCB"/>
    <w:rsid w:val="03B2599D"/>
    <w:rsid w:val="043C5F8E"/>
    <w:rsid w:val="049941F3"/>
    <w:rsid w:val="04A60F90"/>
    <w:rsid w:val="04D2103C"/>
    <w:rsid w:val="04D550AF"/>
    <w:rsid w:val="06B83B39"/>
    <w:rsid w:val="06DE29E2"/>
    <w:rsid w:val="071579E5"/>
    <w:rsid w:val="07702E6D"/>
    <w:rsid w:val="07A86AAB"/>
    <w:rsid w:val="07C65825"/>
    <w:rsid w:val="09067414"/>
    <w:rsid w:val="09170A81"/>
    <w:rsid w:val="09BA6059"/>
    <w:rsid w:val="0AC27E84"/>
    <w:rsid w:val="0B0F5B25"/>
    <w:rsid w:val="0BD256C9"/>
    <w:rsid w:val="0D022864"/>
    <w:rsid w:val="0D3F0613"/>
    <w:rsid w:val="0D617282"/>
    <w:rsid w:val="0F661726"/>
    <w:rsid w:val="0F772EC6"/>
    <w:rsid w:val="0F877334"/>
    <w:rsid w:val="10182B28"/>
    <w:rsid w:val="109160DD"/>
    <w:rsid w:val="10947BCD"/>
    <w:rsid w:val="114B3E5E"/>
    <w:rsid w:val="115E3FEE"/>
    <w:rsid w:val="116B384E"/>
    <w:rsid w:val="11DD16C8"/>
    <w:rsid w:val="127A77C1"/>
    <w:rsid w:val="130A20A3"/>
    <w:rsid w:val="13352CE1"/>
    <w:rsid w:val="137E6912"/>
    <w:rsid w:val="13E07D60"/>
    <w:rsid w:val="150177FB"/>
    <w:rsid w:val="15875F52"/>
    <w:rsid w:val="15B73666"/>
    <w:rsid w:val="15C42D02"/>
    <w:rsid w:val="168A2EA6"/>
    <w:rsid w:val="16D64CDF"/>
    <w:rsid w:val="17D5194F"/>
    <w:rsid w:val="180A4FDB"/>
    <w:rsid w:val="1840056E"/>
    <w:rsid w:val="192177D8"/>
    <w:rsid w:val="196A001E"/>
    <w:rsid w:val="198331C0"/>
    <w:rsid w:val="19AD1CFF"/>
    <w:rsid w:val="19C92FDD"/>
    <w:rsid w:val="19DB061A"/>
    <w:rsid w:val="19E576EB"/>
    <w:rsid w:val="19FF664E"/>
    <w:rsid w:val="1A091F78"/>
    <w:rsid w:val="1A6D6D72"/>
    <w:rsid w:val="1AEB4D61"/>
    <w:rsid w:val="1C230AC0"/>
    <w:rsid w:val="1C560616"/>
    <w:rsid w:val="1C615CEF"/>
    <w:rsid w:val="1CDA72AF"/>
    <w:rsid w:val="1D4666F2"/>
    <w:rsid w:val="1D632B53"/>
    <w:rsid w:val="1D7602A9"/>
    <w:rsid w:val="1DC83D3D"/>
    <w:rsid w:val="1E613949"/>
    <w:rsid w:val="1EAE0073"/>
    <w:rsid w:val="1F195A2C"/>
    <w:rsid w:val="205102FB"/>
    <w:rsid w:val="20762FC4"/>
    <w:rsid w:val="212C60E2"/>
    <w:rsid w:val="21521E4A"/>
    <w:rsid w:val="21DB6E7F"/>
    <w:rsid w:val="21DE15EF"/>
    <w:rsid w:val="23021A8B"/>
    <w:rsid w:val="2320540D"/>
    <w:rsid w:val="23254B60"/>
    <w:rsid w:val="236E0539"/>
    <w:rsid w:val="23E6478B"/>
    <w:rsid w:val="2422471A"/>
    <w:rsid w:val="24A85EE5"/>
    <w:rsid w:val="24DB72C2"/>
    <w:rsid w:val="25B14925"/>
    <w:rsid w:val="25CD79B1"/>
    <w:rsid w:val="263962DE"/>
    <w:rsid w:val="276460F3"/>
    <w:rsid w:val="27660FAF"/>
    <w:rsid w:val="277166D1"/>
    <w:rsid w:val="277B4318"/>
    <w:rsid w:val="27B7194D"/>
    <w:rsid w:val="27E37B45"/>
    <w:rsid w:val="280600C8"/>
    <w:rsid w:val="28081174"/>
    <w:rsid w:val="28481571"/>
    <w:rsid w:val="28722F64"/>
    <w:rsid w:val="2895052E"/>
    <w:rsid w:val="289B5D70"/>
    <w:rsid w:val="28E15521"/>
    <w:rsid w:val="290A1EBC"/>
    <w:rsid w:val="296B40D0"/>
    <w:rsid w:val="29980ADF"/>
    <w:rsid w:val="29B460DC"/>
    <w:rsid w:val="29D532D8"/>
    <w:rsid w:val="29E74DB9"/>
    <w:rsid w:val="2A0B6FEB"/>
    <w:rsid w:val="2A2A3694"/>
    <w:rsid w:val="2A6B1740"/>
    <w:rsid w:val="2AB71864"/>
    <w:rsid w:val="2AD30362"/>
    <w:rsid w:val="2B161A0E"/>
    <w:rsid w:val="2B1D67DB"/>
    <w:rsid w:val="2B2D4A4E"/>
    <w:rsid w:val="2BCA3DF7"/>
    <w:rsid w:val="2BFA5278"/>
    <w:rsid w:val="2C3F44FD"/>
    <w:rsid w:val="2C8903AA"/>
    <w:rsid w:val="2CAD4098"/>
    <w:rsid w:val="2CD01740"/>
    <w:rsid w:val="2CE43832"/>
    <w:rsid w:val="2DAA6B58"/>
    <w:rsid w:val="2DB034FA"/>
    <w:rsid w:val="2E4A4A48"/>
    <w:rsid w:val="2ED37AE5"/>
    <w:rsid w:val="2F8715FA"/>
    <w:rsid w:val="2FB43990"/>
    <w:rsid w:val="2FC040E2"/>
    <w:rsid w:val="30143D58"/>
    <w:rsid w:val="30240D0F"/>
    <w:rsid w:val="308158E7"/>
    <w:rsid w:val="309817B5"/>
    <w:rsid w:val="30A86679"/>
    <w:rsid w:val="31505F30"/>
    <w:rsid w:val="3177520D"/>
    <w:rsid w:val="31C7249B"/>
    <w:rsid w:val="31FB7654"/>
    <w:rsid w:val="32565D7D"/>
    <w:rsid w:val="336E47B8"/>
    <w:rsid w:val="337D2302"/>
    <w:rsid w:val="33935522"/>
    <w:rsid w:val="33DE0EF4"/>
    <w:rsid w:val="3416678C"/>
    <w:rsid w:val="34486A39"/>
    <w:rsid w:val="34C13400"/>
    <w:rsid w:val="34F32864"/>
    <w:rsid w:val="35386E11"/>
    <w:rsid w:val="35612ABD"/>
    <w:rsid w:val="36EC1C61"/>
    <w:rsid w:val="37492C0F"/>
    <w:rsid w:val="375B2943"/>
    <w:rsid w:val="38086A4E"/>
    <w:rsid w:val="38C32119"/>
    <w:rsid w:val="38EE054F"/>
    <w:rsid w:val="39440A0C"/>
    <w:rsid w:val="398443D3"/>
    <w:rsid w:val="398C3287"/>
    <w:rsid w:val="39A60AF6"/>
    <w:rsid w:val="3AA12D62"/>
    <w:rsid w:val="3B2319C9"/>
    <w:rsid w:val="3B5D5890"/>
    <w:rsid w:val="3BA6683D"/>
    <w:rsid w:val="3BC431AC"/>
    <w:rsid w:val="3C012639"/>
    <w:rsid w:val="3DA52B6A"/>
    <w:rsid w:val="3E833FCF"/>
    <w:rsid w:val="3EE3321B"/>
    <w:rsid w:val="3EE93EED"/>
    <w:rsid w:val="3F177A97"/>
    <w:rsid w:val="3FF57BF1"/>
    <w:rsid w:val="41590DEA"/>
    <w:rsid w:val="416C231C"/>
    <w:rsid w:val="41C31810"/>
    <w:rsid w:val="41D659E7"/>
    <w:rsid w:val="428635CD"/>
    <w:rsid w:val="428A15BF"/>
    <w:rsid w:val="42BB7663"/>
    <w:rsid w:val="432A3936"/>
    <w:rsid w:val="434765EB"/>
    <w:rsid w:val="43A3164E"/>
    <w:rsid w:val="43C43532"/>
    <w:rsid w:val="43F77637"/>
    <w:rsid w:val="44332E1A"/>
    <w:rsid w:val="44692B43"/>
    <w:rsid w:val="44BF2CE3"/>
    <w:rsid w:val="44BF6C07"/>
    <w:rsid w:val="459C176B"/>
    <w:rsid w:val="462C7B1B"/>
    <w:rsid w:val="46BF2EEE"/>
    <w:rsid w:val="47013FF5"/>
    <w:rsid w:val="484A2C8B"/>
    <w:rsid w:val="48500FEB"/>
    <w:rsid w:val="49284D7B"/>
    <w:rsid w:val="49487285"/>
    <w:rsid w:val="49543DC1"/>
    <w:rsid w:val="4A0F39E7"/>
    <w:rsid w:val="4B364032"/>
    <w:rsid w:val="4B3B68BB"/>
    <w:rsid w:val="4B443785"/>
    <w:rsid w:val="4B537C75"/>
    <w:rsid w:val="4BE53646"/>
    <w:rsid w:val="4C431ECB"/>
    <w:rsid w:val="4CC33C9F"/>
    <w:rsid w:val="4E760D0B"/>
    <w:rsid w:val="4E8F65E3"/>
    <w:rsid w:val="4EC80245"/>
    <w:rsid w:val="4ED65AC3"/>
    <w:rsid w:val="4EEC51FC"/>
    <w:rsid w:val="4F596A69"/>
    <w:rsid w:val="50063DD3"/>
    <w:rsid w:val="504133D8"/>
    <w:rsid w:val="505863A4"/>
    <w:rsid w:val="50591CBD"/>
    <w:rsid w:val="50A240F7"/>
    <w:rsid w:val="51971C1E"/>
    <w:rsid w:val="51FF2E33"/>
    <w:rsid w:val="525877BC"/>
    <w:rsid w:val="5272504D"/>
    <w:rsid w:val="52CA50F4"/>
    <w:rsid w:val="5394300C"/>
    <w:rsid w:val="543D24BF"/>
    <w:rsid w:val="54837309"/>
    <w:rsid w:val="548754B8"/>
    <w:rsid w:val="54AB4AB2"/>
    <w:rsid w:val="54CA318A"/>
    <w:rsid w:val="55517AB0"/>
    <w:rsid w:val="55A90FF1"/>
    <w:rsid w:val="57192BB8"/>
    <w:rsid w:val="5734671F"/>
    <w:rsid w:val="57423EBA"/>
    <w:rsid w:val="57813298"/>
    <w:rsid w:val="57AE7CE9"/>
    <w:rsid w:val="57BB500C"/>
    <w:rsid w:val="58753EBA"/>
    <w:rsid w:val="58E426FC"/>
    <w:rsid w:val="58FC3B2E"/>
    <w:rsid w:val="59063548"/>
    <w:rsid w:val="5A6776CD"/>
    <w:rsid w:val="5ADD1E8F"/>
    <w:rsid w:val="5AE6303A"/>
    <w:rsid w:val="5B155A7C"/>
    <w:rsid w:val="5B442B97"/>
    <w:rsid w:val="5B745BFD"/>
    <w:rsid w:val="5B977B3E"/>
    <w:rsid w:val="5C5B0B6B"/>
    <w:rsid w:val="5CB643E4"/>
    <w:rsid w:val="5D8D11F8"/>
    <w:rsid w:val="5DE057CC"/>
    <w:rsid w:val="5E2D5305"/>
    <w:rsid w:val="5F1D65AC"/>
    <w:rsid w:val="5F230066"/>
    <w:rsid w:val="5F41229A"/>
    <w:rsid w:val="5F814D8D"/>
    <w:rsid w:val="5FA47678"/>
    <w:rsid w:val="5FE455B0"/>
    <w:rsid w:val="60504E56"/>
    <w:rsid w:val="60535261"/>
    <w:rsid w:val="627A5057"/>
    <w:rsid w:val="62A033DD"/>
    <w:rsid w:val="62B113CD"/>
    <w:rsid w:val="62D376AD"/>
    <w:rsid w:val="63002758"/>
    <w:rsid w:val="63322EC0"/>
    <w:rsid w:val="63886101"/>
    <w:rsid w:val="63E072F9"/>
    <w:rsid w:val="63E738F2"/>
    <w:rsid w:val="648B2856"/>
    <w:rsid w:val="64AD2180"/>
    <w:rsid w:val="64F46001"/>
    <w:rsid w:val="658E5B0E"/>
    <w:rsid w:val="65D86017"/>
    <w:rsid w:val="65E6594A"/>
    <w:rsid w:val="660E1EAC"/>
    <w:rsid w:val="661600DA"/>
    <w:rsid w:val="66263F98"/>
    <w:rsid w:val="66DF5346"/>
    <w:rsid w:val="66E14AAB"/>
    <w:rsid w:val="6736630B"/>
    <w:rsid w:val="67EE0E11"/>
    <w:rsid w:val="68DF3109"/>
    <w:rsid w:val="693F2885"/>
    <w:rsid w:val="699F5DE9"/>
    <w:rsid w:val="6A9776F8"/>
    <w:rsid w:val="6AAF0A00"/>
    <w:rsid w:val="6AEF34F2"/>
    <w:rsid w:val="6B234F4A"/>
    <w:rsid w:val="6C5F0204"/>
    <w:rsid w:val="6C69186D"/>
    <w:rsid w:val="6C7D443F"/>
    <w:rsid w:val="6C8851EE"/>
    <w:rsid w:val="6CCF1622"/>
    <w:rsid w:val="6CE7035E"/>
    <w:rsid w:val="6DB1246A"/>
    <w:rsid w:val="6EAE5472"/>
    <w:rsid w:val="6F710834"/>
    <w:rsid w:val="702F5608"/>
    <w:rsid w:val="708F2CC4"/>
    <w:rsid w:val="709444F0"/>
    <w:rsid w:val="71182116"/>
    <w:rsid w:val="71205936"/>
    <w:rsid w:val="71477CCB"/>
    <w:rsid w:val="7178018F"/>
    <w:rsid w:val="71BA40BB"/>
    <w:rsid w:val="71CD052F"/>
    <w:rsid w:val="733A72D5"/>
    <w:rsid w:val="73740A39"/>
    <w:rsid w:val="73D43285"/>
    <w:rsid w:val="742B746E"/>
    <w:rsid w:val="74736F42"/>
    <w:rsid w:val="74CA7F29"/>
    <w:rsid w:val="752B1D3E"/>
    <w:rsid w:val="75913D16"/>
    <w:rsid w:val="763C0048"/>
    <w:rsid w:val="76F50ADC"/>
    <w:rsid w:val="77135965"/>
    <w:rsid w:val="77262B54"/>
    <w:rsid w:val="772D4414"/>
    <w:rsid w:val="773A5C43"/>
    <w:rsid w:val="775947BB"/>
    <w:rsid w:val="77AD276B"/>
    <w:rsid w:val="77B87094"/>
    <w:rsid w:val="77C96E08"/>
    <w:rsid w:val="78320EC2"/>
    <w:rsid w:val="78E27C50"/>
    <w:rsid w:val="79500F4C"/>
    <w:rsid w:val="7986195D"/>
    <w:rsid w:val="79E005EE"/>
    <w:rsid w:val="7A044DC4"/>
    <w:rsid w:val="7A865511"/>
    <w:rsid w:val="7AA20E97"/>
    <w:rsid w:val="7AAA4D40"/>
    <w:rsid w:val="7ABC4A73"/>
    <w:rsid w:val="7AC10876"/>
    <w:rsid w:val="7B2F16E9"/>
    <w:rsid w:val="7B334ED0"/>
    <w:rsid w:val="7B9D48A5"/>
    <w:rsid w:val="7C4B6886"/>
    <w:rsid w:val="7C71236F"/>
    <w:rsid w:val="7C7B25BC"/>
    <w:rsid w:val="7C8D2B6B"/>
    <w:rsid w:val="7D360B0D"/>
    <w:rsid w:val="7D55069E"/>
    <w:rsid w:val="7D670C49"/>
    <w:rsid w:val="7D680207"/>
    <w:rsid w:val="7D711B45"/>
    <w:rsid w:val="7E5F5E41"/>
    <w:rsid w:val="7E78432D"/>
    <w:rsid w:val="7E8E02D3"/>
    <w:rsid w:val="7EA902C5"/>
    <w:rsid w:val="7EAA3560"/>
    <w:rsid w:val="7ECF553C"/>
    <w:rsid w:val="7EF10E29"/>
    <w:rsid w:val="7FB364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qFormat="1" w:uiPriority="99"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0"/>
    <w:pPr>
      <w:keepNext/>
      <w:keepLines/>
      <w:spacing w:line="560" w:lineRule="exact"/>
      <w:outlineLvl w:val="2"/>
    </w:pPr>
    <w:rPr>
      <w:b/>
      <w:bCs/>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3"/>
    <w:unhideWhenUsed/>
    <w:qFormat/>
    <w:uiPriority w:val="99"/>
    <w:pPr>
      <w:tabs>
        <w:tab w:val="center" w:pos="4153"/>
        <w:tab w:val="right" w:pos="8306"/>
      </w:tabs>
      <w:snapToGrid w:val="0"/>
      <w:jc w:val="left"/>
    </w:pPr>
    <w:rPr>
      <w:sz w:val="18"/>
      <w:szCs w:val="18"/>
    </w:rPr>
  </w:style>
  <w:style w:type="paragraph" w:styleId="4">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table of figures"/>
    <w:basedOn w:val="1"/>
    <w:next w:val="1"/>
    <w:unhideWhenUsed/>
    <w:qFormat/>
    <w:uiPriority w:val="99"/>
    <w:pPr>
      <w:ind w:left="200" w:leftChars="200" w:hanging="200" w:hangingChars="200"/>
    </w:p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7">
    <w:name w:val="Title"/>
    <w:basedOn w:val="1"/>
    <w:next w:val="1"/>
    <w:qFormat/>
    <w:uiPriority w:val="0"/>
    <w:pPr>
      <w:spacing w:before="240" w:after="60"/>
      <w:jc w:val="center"/>
      <w:outlineLvl w:val="0"/>
    </w:pPr>
    <w:rPr>
      <w:rFonts w:ascii="Arial" w:hAnsi="Arial" w:cs="Arial"/>
      <w:b/>
      <w:bCs/>
      <w:sz w:val="32"/>
      <w:szCs w:val="32"/>
    </w:rPr>
  </w:style>
  <w:style w:type="character" w:styleId="10">
    <w:name w:val="Strong"/>
    <w:basedOn w:val="9"/>
    <w:qFormat/>
    <w:uiPriority w:val="0"/>
    <w:rPr>
      <w:b/>
      <w:bCs/>
    </w:rPr>
  </w:style>
  <w:style w:type="character" w:styleId="11">
    <w:name w:val="page number"/>
    <w:basedOn w:val="9"/>
    <w:qFormat/>
    <w:uiPriority w:val="0"/>
  </w:style>
  <w:style w:type="character" w:customStyle="1" w:styleId="12">
    <w:name w:val="页眉 Char"/>
    <w:basedOn w:val="9"/>
    <w:link w:val="4"/>
    <w:qFormat/>
    <w:uiPriority w:val="99"/>
    <w:rPr>
      <w:sz w:val="18"/>
      <w:szCs w:val="18"/>
    </w:rPr>
  </w:style>
  <w:style w:type="character" w:customStyle="1" w:styleId="13">
    <w:name w:val="页脚 Char"/>
    <w:basedOn w:val="9"/>
    <w:link w:val="3"/>
    <w:qFormat/>
    <w:uiPriority w:val="99"/>
    <w:rPr>
      <w:sz w:val="18"/>
      <w:szCs w:val="18"/>
    </w:rPr>
  </w:style>
  <w:style w:type="paragraph" w:styleId="14">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11</Pages>
  <Words>409</Words>
  <Characters>422</Characters>
  <Lines>9</Lines>
  <Paragraphs>2</Paragraphs>
  <TotalTime>1</TotalTime>
  <ScaleCrop>false</ScaleCrop>
  <LinksUpToDate>false</LinksUpToDate>
  <CharactersWithSpaces>444</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2019-01-16T17:12:00Z</dcterms:created>
  <dc:creator>jc</dc:creator>
  <cp:lastModifiedBy>右先生</cp:lastModifiedBy>
  <cp:lastPrinted>2024-03-04T11:32:00Z</cp:lastPrinted>
  <dcterms:modified xsi:type="dcterms:W3CDTF">2024-05-15T03:30:16Z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7B718A08F4AD449EB4F3ABBB2F254500_13</vt:lpwstr>
  </property>
</Properties>
</file>