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2023</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库尔勒市哈拉玉宫乡人民政府</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2024年04月22日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哈拉玉宫镇党委、政府在市委领导下，负责贯彻落实新时代党的组织路线和</w:t>
      </w:r>
      <w:r>
        <w:rPr>
          <w:rFonts w:hint="eastAsia" w:ascii="仿宋_GB2312" w:hAnsi="宋体" w:eastAsia="仿宋_GB2312"/>
          <w:bCs/>
          <w:sz w:val="32"/>
          <w:szCs w:val="32"/>
          <w:lang w:eastAsia="zh-CN"/>
        </w:rPr>
        <w:t>以</w:t>
      </w:r>
      <w:r>
        <w:rPr>
          <w:rFonts w:hint="eastAsia" w:ascii="仿宋_GB2312" w:hAnsi="宋体" w:eastAsia="仿宋_GB2312"/>
          <w:bCs/>
          <w:sz w:val="32"/>
          <w:szCs w:val="32"/>
        </w:rPr>
        <w:t>习近平同志为核心的党中央治疆方略、聚焦服务社会稳定和长治久安总目标，落实党中央、自治区党委、州委和县市委关于组织体系、领导班子建设，领导干部队伍、公务员队伍、人才队伍、离退休干部建设的方针政策和决策部署。主要职责是：1、执行本级人民代表大会的决议和上级国家行政机关的决定和命令，发布决定和命令。2、执行本行政区域内的经济和社会发展计划、预算，管理本行政区域内的经济、教育、科学、文化、卫生、体育事业、财政、民政、司法行政、计划生育等行政工作。3、保护社会主义的全民所有的财产和劳动群众集体所有的财产，保护公民私人所有的合法财产，维护社会秩序，保障公民的人身权利、民主权利和其他权利。4、保护各种经济组织的合法权益。5、保障少数民族的权利和尊重少数民族的风俗习惯。6、办理上级人民政府交办的其他事项。</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2.部门机构人员构成情况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哈拉玉宫镇人民政府编制数117人，实有人数103人，其中：在职82人；退休21人；离休0人。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1.2023年度工作计划</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哈拉玉宫镇人民政府2023年坚持把学习</w:t>
      </w:r>
      <w:r>
        <w:rPr>
          <w:rFonts w:hint="eastAsia" w:ascii="仿宋_GB2312" w:hAnsi="宋体" w:eastAsia="仿宋_GB2312"/>
          <w:bCs/>
          <w:sz w:val="32"/>
          <w:szCs w:val="32"/>
          <w:lang w:eastAsia="zh-CN"/>
        </w:rPr>
        <w:t>以</w:t>
      </w:r>
      <w:r>
        <w:rPr>
          <w:rFonts w:hint="eastAsia" w:ascii="仿宋_GB2312" w:hAnsi="宋体" w:eastAsia="仿宋_GB2312"/>
          <w:bCs/>
          <w:sz w:val="32"/>
          <w:szCs w:val="32"/>
        </w:rPr>
        <w:t>习近平新时代中国特色社会主义思想作为主线，坚定坚决贯彻落实以习近平同志为核心的党中央治疆方略，特别是社会稳定和长治久安总目标，在市党委、市政府的坚强领导下，扎实落实中央第三次新疆工作座谈会的总体工作部署，以饱满的热情和更加有力的举措推动各项工作落实。具体如下：</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一、基层党的建设不断加强，战斗力、凝聚力明显提升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深入开展学习</w:t>
      </w:r>
      <w:r>
        <w:rPr>
          <w:rFonts w:hint="eastAsia" w:ascii="仿宋_GB2312" w:hAnsi="宋体" w:eastAsia="仿宋_GB2312"/>
          <w:bCs/>
          <w:sz w:val="32"/>
          <w:szCs w:val="32"/>
          <w:lang w:eastAsia="zh-CN"/>
        </w:rPr>
        <w:t>以</w:t>
      </w:r>
      <w:r>
        <w:rPr>
          <w:rFonts w:hint="eastAsia" w:ascii="仿宋_GB2312" w:hAnsi="宋体" w:eastAsia="仿宋_GB2312"/>
          <w:bCs/>
          <w:sz w:val="32"/>
          <w:szCs w:val="32"/>
        </w:rPr>
        <w:t>习近平新时代中国特色社会主义思想和党的十九大精神活动，把坚定理想信念作为根本目标、把培育先进典型作为重要</w:t>
      </w:r>
      <w:bookmarkStart w:id="1" w:name="_GoBack"/>
      <w:bookmarkEnd w:id="1"/>
      <w:r>
        <w:rPr>
          <w:rFonts w:hint="eastAsia" w:ascii="仿宋_GB2312" w:hAnsi="宋体" w:eastAsia="仿宋_GB2312"/>
          <w:bCs/>
          <w:sz w:val="32"/>
          <w:szCs w:val="32"/>
        </w:rPr>
        <w:t>举措、把党群共建作为重要内容、把创建活动作为重要载体，开展好每月主题党日和每周政治学习。</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1、规范党内生活，加强党的政治建设。</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2、发挥领导核心作用，提高基层治理水平。</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3、履行党委主体责任，促干部作风转变。</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二、坚定不移维护社会和谐稳定、推进长治久安</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1、多管齐下，保持大局稳定。</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2、狠抓扫黑除恶，净化社会环境。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3、树牢安全发展理念，推动形势稳定向好。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4、发挥调解职能，增强普法成效。</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2.机构人员保障情况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哈拉玉宫镇人民政府2023年通过本部门预算支出，确保了82名在职人员的工资、津贴、补贴、社保、绩效、公积金等21名离退休人员的工资、医疗费等。人员保障性经费能够依规、按时、足额发放或缴纳，提升部门人员工作积极性和服务质量。同时，保障了部门全年正常运转，为部门正常履职和开展综合性事务管理提供有效支撑，确保了公用保障性经费按照财政安排和相关工作要求及时支出。</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1.年初预算安排</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2023年我部门年初安排预算数为2207.14万元，其中:上级安排0万元,本级安排2207.14万元，其他资金0万元。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综上所述，部门预算安排与本单位职能关联度较高，预算安排结构清晰明了，能够直观展示各项费用的分配情况，预算规模合理，为单位的稳健发展和高效运行提供了有力保障。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2.预算年中调整情况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我部门年初安排预算数2207.14万元，年中调整数+10718.2万元，调整后全年预算数12925.34万元，预算调整率485.61%。</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综上所述，年中预算调整幅度与本单位运转情况和履职情况相匹配，未出现资金收支不平衡以及债务风险等负面影响，确保了预算调整的合理性和必要性。</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3.资金使用主要内容、涉及的范围</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我单位2023年度部门整体支出为12925.34万元，其中：</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2192.92万元，主要用于：基本工资、津贴补贴、奖金、机关事业单位基本养老保险缴费、职业年金缴费、职工基本医疗保险缴费、办公费、差旅费、维修（护）费、福利费、退休费，抚恤金，生活补助，其他个人补助支出等。</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（2）项目支出10732.42万元，主要用于 2022年基层组织建设项目（哈乡五小场所基础设施建设）项目62.8万元、哈乡巴格吉代村村级组织活动场所基础设施建设项目资金项目52.48万元、哈乡偿还下多尕村科普馆基础设施工程项目资金项目116.07万元、纪检监察转移支付资金办公设备购置费项目资金项目0.52万元、哈乡2022年基层组织建设项目（中兴社区）基础设施建设项目资金项目46.88万元、 哈拉玉宫乡乡村建设项目资金项目57.5万元、哈拉玉宫乡春节前农民工工资项目资金17.55万元、哈乡援疆项目（许可农牧民养殖合作社提供发展扶持资金）资金项目30万元、  哈乡中多尕村人居环境整治项目资金项目1000万元、哈乡肉牛养殖基地建设项目基础设施工程项目资金项目650万元、哈拉玉宫乡哈拉玉宫村人居环境整治项目资金项目106.55万元、哈乡智慧农业数字中心基础设施建设项目资金项目91.42万元、哈拉玉宫乡废旧物资回收产业园项目资金项目337.4万元、哈乡2020年中央美丽乡村建设项目（巴格吉代村绿化官网改造项目）15.88万元、哈拉玉宫乡2023年度棉花目标价格补贴项目资金8147.37万元。</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（一）基本支出投入、管理和使用情况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1.基本支出投入和使用情况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2023年我部门基本支出年初预算安排2137.44万元，全年预算数2192.91万元，全年实际支出数2192.91万元，其中：人员经费2048.33万元，公用经费144.58万元。全年预算执行率100.00%。</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2.基本支出管理情况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基本支出严格按照财务管理制度执行。人员工资由相关部门严格审核，按月申报及发放。基本公用经费主要用于支付单位日常的办公费、邮电费、差旅费、维修（护）费、劳务费、车辆运行维护费等。公务用车运行维护费主要用于单位车辆加油、维修及购买车辆保险。</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（二）项目支出投入、管理和使用情况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1.项目支出投入和使用情况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2023年本单位共安排15个项目，全年预算数为10732.42万元，全年实际支出数10732.42万元，执行率100.00%。</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其中:上级安排项目12个10541.3万元，本级安排项目3个191.12万元,其他资金安排项目0个0万元。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2.项目支出管理情况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依据《关于印发&lt;自治区财政资金使用跟踪反馈管理暂行办法&gt;的通知》（新财预字【2016】113号）、《中华人民共和国预算法》等相关资金、项目管理办法执行，按比例按资金用途使用，实行专款专用、严禁挤占挪用。加强对项目资金的预算执行及日常监督管理，确保每个项目按照规定的用途实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（2）资金拨付审批手续完整。项目资金专款专用，不存在支出依据不合规，序列项目支出，截留，挤占，挪用和超标准支出等现象，使项目资金的运用得到了合理的控制，项目得到了切实的保障。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会计信息质量真实。严格执行《会计法》等财经法规，严格按照相关会计制度办理会计业务，进行会计核算，并做好会计记录，真实的反映项目资金管理情况，并接受财政、审批部门及上级主管部门的检查、监督。</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（4）执行预决算管理。严格按预算管理要求使用资金，严格按进度和合同拨付资金，严格执行政府采购制度；严格执行国库集中支付制度，严防截留、挪用资金。</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我单位2023年度部门整体支出绩效目标围绕部门职能、中长期规划、年度工作计划、重点工作任务及要求，确定年度部门整体支出的绩效目标。拟通过绩效评价分析部门整体支出对单位基本运转及单位职能履职的保障作用，总结经验做法，找出资金使用和管理中的薄弱环节，进一步加强预算管理，提高财政资金使用效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我单位将部门单位整体绩效目标细化分解为具体的绩效指标，一级指标共1条，二级指标共1条，三级指标共4条，其中量化指标条数共4条，所有绩效指标均通过清晰、可衡量的指标值予以体现。</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（一）指标一：运行成本</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（二）指标二：管理效率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（三）指标三：履职效能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数量指标1：覆盖基层组织个数,预期指标值为：&gt;=6个；监控节点完成值：=6个；评价实际完成值：=6个；指标完成率：100.00%；成效分析：通过单位正常运转，提高了工作效率，改善了工作质量及服务水平，。</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数量指标2：工作队在职人数,预期指标值为：&gt;=24人；监控节点完成值：=24人；评价实际完成值：=24人；指标完成率：100.00%；成效分析：通过单位正常运转，提高了工作效率，改善了工作质量及服务水平。</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3：农牧民实用技能培训场次数,预期指标值为：&gt;=10次；监控节点完成值：=5次；评价实际完成值：=10次；指标完成率：100.00%；成效分析：通过单位正常运转，提高了工作效率，改善了工作质量及服务水平。</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数量指标4：为民办实事件数量,预期指标值为：&gt;=10件；监控节点完成值：=5件；评价实际完成值：=12件；指标完成率：100.00%；成效分析：通过单位正常运转，提高了工作效率，改善了工作质量及服务水平，。</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（四）指标四：社会效益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（五）指标五：可持续发展能力</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（六）指标六：服务对象满意度</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本部门严格按照科学公正、统筹兼顾、激励约束、公开透明的绩效评价原则，对本部门预算执行情况、部门单位整体支出管理及使用情况、部门单位整体支出绩效指标完成情况等进行了综合评价。</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2023年度部门整体支出绩效自评综合得分100分，评价结果为“优”。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2023年本单位基本支出绩效目标全部完成，不存在未完成绩效目标情况。但在资金管理等方面仍存在部分问题，具体如下：</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一是对预算绩效的认识还不够深入，相关知识了解还不够、掌握还不够多，把绩效管理简单等同于工作目标、工作考核和业务管理；二是资金管理水平有待进一步提高，财务审核还需进一步加强。</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（1）预算绩效观念不深入。</w:t>
      </w:r>
      <w:r>
        <w:rPr>
          <w:rFonts w:hint="eastAsia" w:ascii="仿宋_GB2312" w:hAnsi="宋体" w:eastAsia="仿宋_GB2312"/>
          <w:bCs/>
          <w:sz w:val="32"/>
          <w:szCs w:val="32"/>
        </w:rPr>
        <w:br w:type="textWrapping"/>
      </w:r>
      <w:r>
        <w:rPr>
          <w:rFonts w:hint="eastAsia" w:ascii="仿宋_GB2312" w:hAnsi="宋体" w:eastAsia="仿宋_GB2312"/>
          <w:bCs/>
          <w:sz w:val="32"/>
          <w:szCs w:val="32"/>
        </w:rPr>
        <w:t>在日常绩效监控工作中存在着一定程度的“重分配、轻管理重支出轻绩                                                          效”的情况，造成该问题的主要原因是自身绩效理念较薄弱，单位绩效目标编制仍有缺失，需要进一步加强对资金绩效管理的重视程度。</w:t>
      </w:r>
      <w:r>
        <w:rPr>
          <w:rFonts w:hint="eastAsia" w:ascii="仿宋_GB2312" w:hAnsi="宋体" w:eastAsia="仿宋_GB2312"/>
          <w:bCs/>
          <w:sz w:val="32"/>
          <w:szCs w:val="32"/>
        </w:rPr>
        <w:br w:type="textWrapping"/>
      </w:r>
      <w:r>
        <w:rPr>
          <w:rFonts w:hint="eastAsia" w:ascii="仿宋_GB2312" w:hAnsi="宋体" w:eastAsia="仿宋_GB2312"/>
          <w:bCs/>
          <w:sz w:val="32"/>
          <w:szCs w:val="32"/>
        </w:rPr>
        <w:t>（2）预算绩效规范管理有盲点。</w:t>
      </w:r>
      <w:r>
        <w:rPr>
          <w:rFonts w:hint="eastAsia" w:ascii="仿宋_GB2312" w:hAnsi="宋体" w:eastAsia="仿宋_GB2312"/>
          <w:bCs/>
          <w:sz w:val="32"/>
          <w:szCs w:val="32"/>
        </w:rPr>
        <w:br w:type="textWrapping"/>
      </w:r>
      <w:r>
        <w:rPr>
          <w:rFonts w:hint="eastAsia" w:ascii="仿宋_GB2312" w:hAnsi="宋体" w:eastAsia="仿宋_GB2312"/>
          <w:bCs/>
          <w:sz w:val="32"/>
          <w:szCs w:val="32"/>
        </w:rPr>
        <w:t>财务人员面对当前绩效管理工作既没有现成的经验可供借鉴，又缺乏专业性很强的技能储备，只能是边工作、边学习、边积累，短期内部分工作只能停留在表面，难以做到程序规范、管理科学，难以满足当前绩效管理要求。</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0805D6"/>
    <w:rsid w:val="06696209"/>
    <w:rsid w:val="0D1922F1"/>
    <w:rsid w:val="10DF6E84"/>
    <w:rsid w:val="1438599A"/>
    <w:rsid w:val="200F4073"/>
    <w:rsid w:val="24B86128"/>
    <w:rsid w:val="2E564034"/>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10</TotalTime>
  <ScaleCrop>false</ScaleCrop>
  <LinksUpToDate>false</LinksUpToDate>
  <CharactersWithSpaces>384</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2025-03-26T08:53:36Z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4E2A216151A24EE5A190066F518526B7</vt:lpwstr>
  </property>
</Properties>
</file>