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库尔勒市哈拉玉宫镇人民政府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val="en-US"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bookmarkStart w:id="4" w:name="_Toc31238"/>
      <w:bookmarkStart w:id="5" w:name="_Toc2151"/>
      <w:r>
        <w:rPr>
          <w:rFonts w:hint="eastAsia" w:ascii="仿宋_GB2312" w:hAnsi="Times New Roman" w:eastAsia="仿宋_GB2312" w:cs="Times New Roman"/>
          <w:color w:val="auto"/>
          <w:sz w:val="32"/>
          <w:szCs w:val="32"/>
          <w:highlight w:val="none"/>
          <w:lang w:val="en-US" w:eastAsia="zh-CN"/>
        </w:rPr>
        <w:t>新疆巴州库尔勒市哈拉玉宫镇党委、政府在市委领导下，负责贯彻落实新时代党的组织路线和</w:t>
      </w:r>
      <w:r>
        <w:rPr>
          <w:rFonts w:hint="eastAsia" w:ascii="仿宋_GB2312" w:eastAsia="仿宋_GB2312" w:cs="Times New Roman"/>
          <w:color w:val="auto"/>
          <w:sz w:val="32"/>
          <w:szCs w:val="32"/>
          <w:highlight w:val="none"/>
          <w:lang w:val="en-US" w:eastAsia="zh-CN"/>
        </w:rPr>
        <w:t>以</w:t>
      </w:r>
      <w:bookmarkStart w:id="48" w:name="_GoBack"/>
      <w:bookmarkEnd w:id="48"/>
      <w:r>
        <w:rPr>
          <w:rFonts w:hint="eastAsia" w:ascii="仿宋_GB2312" w:hAnsi="Times New Roman" w:eastAsia="仿宋_GB2312" w:cs="Times New Roman"/>
          <w:color w:val="auto"/>
          <w:sz w:val="32"/>
          <w:szCs w:val="32"/>
          <w:highlight w:val="none"/>
          <w:lang w:val="en-US" w:eastAsia="zh-CN"/>
        </w:rPr>
        <w:t>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执行本级人民代表大会的决议和上级国家行政机关的决定和命令，发布决定和命令。</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执行本行政区域内的经济和社会发展计划、预算，管理本行政区域内的经济、教育、科学、文化、卫生、体育事业、财政、民政、司法行政、计划生育等行政工作。</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保护各种经济组织的合法权益。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保障少数民族的权利和尊重少数民族的风俗习。</w:t>
      </w:r>
      <w:r>
        <w:rPr>
          <w:rFonts w:hint="eastAsia" w:ascii="仿宋_GB2312" w:eastAsia="仿宋_GB2312" w:cs="Times New Roman"/>
          <w:color w:val="auto"/>
          <w:sz w:val="32"/>
          <w:szCs w:val="32"/>
          <w:highlight w:val="non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办理上级人民政府交办的其他事项。</w:t>
      </w:r>
      <w:r>
        <w:rPr>
          <w:rFonts w:hint="eastAsia" w:ascii="仿宋_GB2312" w:eastAsia="仿宋_GB2312" w:cs="Times New Roman"/>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highlight w:val="none"/>
        </w:rPr>
      </w:pPr>
      <w:r>
        <w:rPr>
          <w:rFonts w:hint="eastAsia" w:ascii="仿宋_GB2312" w:hAnsi="Times New Roman" w:eastAsia="仿宋_GB2312" w:cs="Times New Roman"/>
          <w:sz w:val="32"/>
          <w:szCs w:val="32"/>
          <w:highlight w:val="none"/>
          <w:lang w:eastAsia="zh-CN"/>
        </w:rPr>
        <w:t>新疆巴州库尔勒市哈拉玉宫镇人民政府</w:t>
      </w:r>
      <w:r>
        <w:rPr>
          <w:rFonts w:hint="eastAsia" w:ascii="仿宋_GB2312" w:hAnsi="Times New Roman" w:eastAsia="仿宋_GB2312" w:cs="Times New Roman"/>
          <w:sz w:val="32"/>
          <w:szCs w:val="32"/>
          <w:highlight w:val="none"/>
        </w:rPr>
        <w:t>202</w:t>
      </w:r>
      <w:r>
        <w:rPr>
          <w:rFonts w:hint="eastAsia" w:ascii="仿宋_GB2312" w:hAnsi="Times New Roman" w:eastAsia="仿宋_GB2312" w:cs="Times New Roman"/>
          <w:sz w:val="32"/>
          <w:szCs w:val="32"/>
          <w:highlight w:val="none"/>
          <w:lang w:val="en-US" w:eastAsia="zh-CN"/>
        </w:rPr>
        <w:t>3</w:t>
      </w:r>
      <w:r>
        <w:rPr>
          <w:rFonts w:hint="eastAsia" w:ascii="仿宋_GB2312" w:hAnsi="Times New Roman" w:eastAsia="仿宋_GB2312" w:cs="Times New Roman"/>
          <w:sz w:val="32"/>
          <w:szCs w:val="32"/>
          <w:highlight w:val="none"/>
        </w:rPr>
        <w:t>年度，实有人数</w:t>
      </w:r>
      <w:r>
        <w:rPr>
          <w:rFonts w:hint="eastAsia" w:ascii="仿宋_GB2312" w:hAnsi="Times New Roman" w:eastAsia="仿宋_GB2312" w:cs="Times New Roman"/>
          <w:sz w:val="32"/>
          <w:szCs w:val="32"/>
          <w:highlight w:val="none"/>
          <w:lang w:val="en-US" w:eastAsia="zh-CN"/>
        </w:rPr>
        <w:t>103</w:t>
      </w:r>
      <w:r>
        <w:rPr>
          <w:rFonts w:hint="eastAsia" w:ascii="仿宋_GB2312" w:hAnsi="Times New Roman" w:eastAsia="仿宋_GB2312" w:cs="Times New Roman"/>
          <w:sz w:val="32"/>
          <w:szCs w:val="32"/>
          <w:highlight w:val="none"/>
        </w:rPr>
        <w:t>人，其中：在职人员</w:t>
      </w:r>
      <w:r>
        <w:rPr>
          <w:rFonts w:hint="eastAsia" w:ascii="仿宋_GB2312" w:hAnsi="Times New Roman" w:eastAsia="仿宋_GB2312" w:cs="Times New Roman"/>
          <w:sz w:val="32"/>
          <w:szCs w:val="32"/>
          <w:highlight w:val="none"/>
          <w:lang w:val="en-US" w:eastAsia="zh-CN"/>
        </w:rPr>
        <w:t>82</w:t>
      </w:r>
      <w:r>
        <w:rPr>
          <w:rFonts w:hint="eastAsia" w:ascii="仿宋_GB2312" w:hAnsi="Times New Roman" w:eastAsia="仿宋_GB2312" w:cs="Times New Roman"/>
          <w:sz w:val="32"/>
          <w:szCs w:val="32"/>
          <w:highlight w:val="none"/>
        </w:rPr>
        <w:t>人，离休人员</w:t>
      </w:r>
      <w:r>
        <w:rPr>
          <w:rFonts w:hint="eastAsia" w:ascii="仿宋_GB2312" w:hAnsi="Times New Roman" w:eastAsia="仿宋_GB2312" w:cs="Times New Roman"/>
          <w:sz w:val="32"/>
          <w:szCs w:val="32"/>
          <w:highlight w:val="none"/>
          <w:lang w:val="en-US" w:eastAsia="zh-CN"/>
        </w:rPr>
        <w:t>0</w:t>
      </w:r>
      <w:r>
        <w:rPr>
          <w:rFonts w:hint="eastAsia" w:ascii="仿宋_GB2312" w:hAnsi="Times New Roman" w:eastAsia="仿宋_GB2312" w:cs="Times New Roman"/>
          <w:sz w:val="32"/>
          <w:szCs w:val="32"/>
          <w:highlight w:val="none"/>
        </w:rPr>
        <w:t>人，退休人员</w:t>
      </w:r>
      <w:r>
        <w:rPr>
          <w:rFonts w:hint="eastAsia" w:ascii="仿宋_GB2312" w:hAnsi="Times New Roman" w:eastAsia="仿宋_GB2312" w:cs="Times New Roman"/>
          <w:sz w:val="32"/>
          <w:szCs w:val="32"/>
          <w:highlight w:val="none"/>
          <w:lang w:val="en-US" w:eastAsia="zh-CN"/>
        </w:rPr>
        <w:t>21</w:t>
      </w:r>
      <w:r>
        <w:rPr>
          <w:rFonts w:hint="eastAsia" w:ascii="仿宋_GB2312" w:hAnsi="Times New Roman" w:eastAsia="仿宋_GB2312" w:cs="Times New Roman"/>
          <w:sz w:val="32"/>
          <w:szCs w:val="32"/>
          <w:highlight w:val="none"/>
        </w:rPr>
        <w:t>人。</w:t>
      </w:r>
    </w:p>
    <w:p>
      <w:pPr>
        <w:widowControl/>
        <w:spacing w:line="560" w:lineRule="exact"/>
        <w:ind w:firstLine="640" w:firstLineChars="200"/>
        <w:jc w:val="left"/>
        <w:rPr>
          <w:rFonts w:hint="eastAsia" w:ascii="Calibri" w:hAnsi="仿宋" w:eastAsia="仿宋_GB2312"/>
          <w:sz w:val="32"/>
          <w:szCs w:val="32"/>
          <w:highlight w:val="none"/>
          <w:lang w:eastAsia="zh-CN"/>
        </w:rPr>
      </w:pPr>
      <w:r>
        <w:rPr>
          <w:rFonts w:hint="eastAsia" w:ascii="仿宋_GB2312" w:hAnsi="黑体" w:eastAsia="仿宋_GB2312" w:cs="宋体"/>
          <w:bCs/>
          <w:kern w:val="0"/>
          <w:sz w:val="32"/>
          <w:szCs w:val="32"/>
          <w:highlight w:val="none"/>
        </w:rPr>
        <w:t>单位无下属预算单位，下设</w:t>
      </w:r>
      <w:r>
        <w:rPr>
          <w:rFonts w:hint="eastAsia" w:ascii="仿宋_GB2312" w:eastAsia="仿宋_GB2312"/>
          <w:sz w:val="32"/>
          <w:szCs w:val="32"/>
          <w:highlight w:val="none"/>
          <w:lang w:val="en-US" w:eastAsia="zh-CN"/>
        </w:rPr>
        <w:t>6</w:t>
      </w:r>
      <w:r>
        <w:rPr>
          <w:rFonts w:hint="eastAsia" w:ascii="仿宋_GB2312" w:hAnsi="黑体" w:eastAsia="仿宋_GB2312" w:cs="宋体"/>
          <w:bCs/>
          <w:kern w:val="0"/>
          <w:sz w:val="32"/>
          <w:szCs w:val="32"/>
          <w:highlight w:val="none"/>
        </w:rPr>
        <w:t>个处室，分别是：</w:t>
      </w:r>
      <w:r>
        <w:rPr>
          <w:rFonts w:hint="eastAsia" w:ascii="Calibri" w:hAnsi="仿宋" w:eastAsia="仿宋_GB2312"/>
          <w:sz w:val="32"/>
          <w:szCs w:val="32"/>
          <w:highlight w:val="none"/>
        </w:rPr>
        <w:t>农业（畜牧业）发展中心，文化体育广播电视服务中心，社会保障（民政）服务中心，(财政所)农村合作经济经营管理服务站），村镇规划建设发展服务中心（环境保护工作站），人口和计划生育生殖健康服务站</w:t>
      </w:r>
      <w:r>
        <w:rPr>
          <w:rFonts w:hint="eastAsia" w:ascii="Calibri" w:hAnsi="仿宋"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12,925.34万元，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12,925.34万元，使用非财政拨款结余0.00万元，年初结转和结余0.00万元。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12,925.34万元，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12,925.34万元，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增加7,030.13万元</w:t>
      </w:r>
      <w:r>
        <w:rPr>
          <w:rFonts w:hint="eastAsia" w:ascii="仿宋_GB2312" w:eastAsia="仿宋_GB2312"/>
          <w:color w:val="auto"/>
          <w:spacing w:val="0"/>
          <w:sz w:val="32"/>
          <w:szCs w:val="32"/>
          <w:highlight w:val="none"/>
          <w:lang w:eastAsia="zh-CN"/>
        </w:rPr>
        <w:t>，增长119.25%，主要原因是：</w:t>
      </w:r>
      <w:r>
        <w:rPr>
          <w:rFonts w:hint="eastAsia" w:ascii="仿宋_GB2312" w:eastAsia="仿宋_GB2312"/>
          <w:color w:val="auto"/>
          <w:spacing w:val="0"/>
          <w:sz w:val="32"/>
          <w:szCs w:val="32"/>
          <w:highlight w:val="none"/>
          <w:lang w:val="en-US" w:eastAsia="zh-CN"/>
        </w:rPr>
        <w:t>2023年比上年增加巩固脱贫衔接乡村振兴补助资金项目：哈拉玉宫乡中多尕村人居环境整治项目、肉牛养殖地项目、哈拉玉宫村人居环境整治项目并2022年度项目余款（哈拉玉宫乡废旧物资回收产业园项目、智慧农业数字中心项目）及农林水支出（棉花目标价格改革补贴资金）、其他组织事务支出（基层组织建设项目）、其他收入：河北援疆资金收入（巴州许可农牧民养殖合作社提供发展扶持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12,925.34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12,895.34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99.77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0.23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本年支出12,925.34万元，其中：基本支出2,192.91万元，占16.97%；项目支出10,732.42万元，占83.03%；上缴上级支出0.00万元，占0.00%；经营支出0.00万元，占0.00%；对附属单位补助支出0.00万元，占0.00%。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12,895.34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12,895.34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12,895.34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12,895.34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增加7,000.13万元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增长118.74%,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比上年增加巩固脱贫衔接乡村振兴补助资金项目：哈拉玉宫乡中多尕村人居环境整治项目、肉牛养殖地项目、哈拉玉宫村人居环境整治项目并2022年度未竣工项目尾款（哈拉玉宫乡废旧物资回收产业园项目、智慧农业数字中心项目）及农林水支出（棉花目标价格改革补贴资金）、其他组织事务支出（基层组织建设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2,207.14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12,895.34</w:t>
      </w:r>
      <w:r>
        <w:rPr>
          <w:rFonts w:hint="eastAsia" w:ascii="仿宋_GB2312" w:eastAsia="仿宋_GB2312"/>
          <w:color w:val="auto"/>
          <w:spacing w:val="0"/>
          <w:sz w:val="32"/>
          <w:szCs w:val="32"/>
          <w:highlight w:val="none"/>
          <w:lang w:eastAsia="zh-CN"/>
        </w:rPr>
        <w:t>万元，预决算差异率484.26%，主要原因是：</w:t>
      </w:r>
      <w:r>
        <w:rPr>
          <w:rFonts w:hint="eastAsia" w:ascii="仿宋_GB2312" w:eastAsia="仿宋_GB2312"/>
          <w:color w:val="auto"/>
          <w:spacing w:val="0"/>
          <w:sz w:val="32"/>
          <w:szCs w:val="32"/>
          <w:highlight w:val="none"/>
          <w:lang w:val="en-US" w:eastAsia="zh-CN"/>
        </w:rPr>
        <w:t>2023年追加巩固脱贫衔接乡村振兴补助资金项目：哈拉玉宫乡中多尕村人居环境整治项目、肉牛养殖地项目、哈拉玉宫村人居环境整治项目并2022年度未竣工项目尾款（哈拉玉宫乡废旧物资回收产业园项目、智慧农业数字中心项目）及农林水支出（棉花目标价格改革补贴资金）、其他组织事务支出（基层组织建设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2023年度一般公共预算财政拨款支出12,820.28万元，占本年支出合计的</w:t>
      </w:r>
      <w:r>
        <w:rPr>
          <w:rFonts w:hint="eastAsia" w:ascii="仿宋_GB2312" w:eastAsia="仿宋_GB2312"/>
          <w:color w:val="auto"/>
          <w:spacing w:val="0"/>
          <w:sz w:val="32"/>
          <w:szCs w:val="32"/>
          <w:highlight w:val="none"/>
          <w:lang w:val="zh-CN" w:eastAsia="zh-CN"/>
        </w:rPr>
        <w:t>99.19%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增加7,076.08万元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增长123.19%,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比上年增加巩固脱贫衔接乡村振兴补助资金项目：哈拉玉宫乡中多尕村人居环境整治项目、肉牛养殖地项目、哈拉玉宫村人居环境整治项目并2022年度未竣工项目尾款（哈拉玉宫乡废旧物资回收产业园项目、智慧农业数字中心项目）及农林水支出（棉花目标价格改革补贴资金）、其他组织事务支出（基层组织建设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2,149.64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12,820.28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496.39%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追加巩固脱贫衔接乡村振兴补助资金项目：哈拉玉宫乡中多尕村人居环境整治项目、肉牛养殖地项目、哈拉玉宫村人居环境整治项目并2022年度未竣工项目尾款（哈拉玉宫乡废旧物资回收产业园项目、智慧农业数字中心项目）及农林水支出（棉花目标价格改革补贴资金）、其他组织事务支出（基层组织建设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1,688.98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4.56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0.40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0.00</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10.34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198.66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w:t>
      </w: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67.54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0.53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10,745.47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w:t>
      </w:r>
      <w:r>
        <w:rPr>
          <w:rFonts w:hint="eastAsia" w:ascii="仿宋_GB2312" w:eastAsia="仿宋_GB2312" w:cs="Times New Roman"/>
          <w:color w:val="auto"/>
          <w:spacing w:val="0"/>
          <w:kern w:val="2"/>
          <w:sz w:val="32"/>
          <w:szCs w:val="32"/>
          <w:highlight w:val="none"/>
          <w:lang w:val="en-US" w:eastAsia="zh-CN" w:bidi="ar-SA"/>
        </w:rPr>
        <w:t>82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8</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104.34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0.8</w:t>
      </w: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1.一般公共服务支出（类）人大事务（款）代表工作（项）:支出决算数为2.87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2023年财政预算安排新增人大代表工作经费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.一般公共服务支出（类）政府办公厅（室）及相关机构事务（款）行政运行（项）:支出决算数为1,386.22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334.15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31.76%，主要原因是：</w:t>
      </w:r>
      <w:r>
        <w:rPr>
          <w:rFonts w:hint="eastAsia" w:ascii="仿宋_GB2312" w:eastAsia="仿宋_GB2312"/>
          <w:sz w:val="32"/>
          <w:szCs w:val="32"/>
          <w:highlight w:val="none"/>
        </w:rPr>
        <w:t>按照文件精神</w:t>
      </w:r>
      <w:r>
        <w:rPr>
          <w:rFonts w:hint="eastAsia" w:ascii="仿宋_GB2312" w:eastAsia="仿宋_GB2312"/>
          <w:sz w:val="32"/>
          <w:szCs w:val="32"/>
          <w:highlight w:val="none"/>
          <w:lang w:eastAsia="zh-CN"/>
        </w:rPr>
        <w:t>增涨</w:t>
      </w:r>
      <w:r>
        <w:rPr>
          <w:rFonts w:hint="eastAsia" w:ascii="仿宋_GB2312" w:eastAsia="仿宋_GB2312"/>
          <w:sz w:val="32"/>
          <w:szCs w:val="32"/>
          <w:highlight w:val="none"/>
        </w:rPr>
        <w:t>绩效及基本工资调标</w:t>
      </w:r>
      <w:r>
        <w:rPr>
          <w:rFonts w:hint="eastAsia" w:ascii="仿宋_GB2312" w:eastAsia="仿宋_GB2312"/>
          <w:sz w:val="32"/>
          <w:szCs w:val="32"/>
          <w:highlight w:val="none"/>
          <w:lang w:eastAsia="zh-CN"/>
        </w:rPr>
        <w:t>及</w:t>
      </w:r>
      <w:r>
        <w:rPr>
          <w:rFonts w:hint="eastAsia" w:ascii="仿宋_GB2312" w:eastAsia="仿宋_GB2312"/>
          <w:sz w:val="32"/>
          <w:szCs w:val="32"/>
          <w:highlight w:val="none"/>
        </w:rPr>
        <w:t>机关事业单位社保资金基数</w:t>
      </w:r>
      <w:r>
        <w:rPr>
          <w:rFonts w:hint="eastAsia" w:ascii="仿宋_GB2312" w:eastAsia="仿宋_GB2312"/>
          <w:sz w:val="32"/>
          <w:szCs w:val="32"/>
          <w:highlight w:val="none"/>
          <w:lang w:eastAsia="zh-CN"/>
        </w:rPr>
        <w:t>提高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.一般公共服务支出（类）政府办公厅（室）及相关机构事务（款）其他政府办公厅（室）及相关机构事务支出（项）:支出决算数为240.62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172.03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250.8</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lang w:val="en-US" w:eastAsia="zh-CN"/>
        </w:rPr>
        <w:t>今年新增项目支出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.一般公共服务支出（类）纪检监察事务（款）其他纪检监察事务支出（项）:支出决算数为1.50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51.5</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2023年增加中央纪检监察事务其他纪检监察事务支出（装备经费及办案经费）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.一般公共服务支出（类）组织事务（款）其他组织事务支出（项）:支出决算数为52.10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37.02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41.54%，主要原因是：</w:t>
      </w:r>
      <w:r>
        <w:rPr>
          <w:rFonts w:hint="eastAsia" w:eastAsia="仿宋_GB2312" w:cs="Times New Roman"/>
          <w:color w:val="auto"/>
          <w:kern w:val="2"/>
          <w:sz w:val="32"/>
          <w:szCs w:val="32"/>
          <w:highlight w:val="none"/>
          <w:lang w:val="en-US" w:eastAsia="zh-CN" w:bidi="ar-SA"/>
        </w:rPr>
        <w:t>2023年比2022年减少基层组织项目资金及驻村工作队人员数量</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6.一般公共服务支出（类）宣传事务（款）其他宣传事务支出（项）:支出决算数为1.00万元，比上年决算增加1.00万元，增长100%，主要原因是：2023年</w:t>
      </w:r>
      <w:r>
        <w:rPr>
          <w:rFonts w:hint="eastAsia" w:eastAsia="仿宋_GB2312" w:cs="Times New Roman"/>
          <w:color w:val="auto"/>
          <w:kern w:val="2"/>
          <w:sz w:val="32"/>
          <w:szCs w:val="32"/>
          <w:highlight w:val="none"/>
          <w:lang w:val="zh-CN" w:eastAsia="zh-CN" w:bidi="ar-SA"/>
        </w:rPr>
        <w:t>比</w:t>
      </w:r>
      <w:r>
        <w:rPr>
          <w:rFonts w:hint="eastAsia" w:eastAsia="仿宋_GB2312" w:cs="Times New Roman"/>
          <w:color w:val="auto"/>
          <w:kern w:val="2"/>
          <w:sz w:val="32"/>
          <w:szCs w:val="32"/>
          <w:highlight w:val="none"/>
          <w:lang w:val="en-US" w:eastAsia="zh-CN" w:bidi="ar-SA"/>
        </w:rPr>
        <w:t>2022年预算安排新增《扫黄》经费项目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.一般公共服务支出（类）统战事务（款）其他统战事务支出（项）:支出决算数为2.67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82.98%，主要原因是：</w:t>
      </w:r>
      <w:r>
        <w:rPr>
          <w:rFonts w:hint="eastAsia" w:eastAsia="仿宋_GB2312" w:cs="Times New Roman"/>
          <w:color w:val="auto"/>
          <w:kern w:val="2"/>
          <w:sz w:val="32"/>
          <w:szCs w:val="32"/>
          <w:highlight w:val="none"/>
          <w:lang w:val="en-US" w:eastAsia="zh-CN" w:bidi="ar-SA"/>
        </w:rPr>
        <w:t>2023年减少驻村管委会人员数量</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val="zh-CN" w:eastAsia="zh-CN"/>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.一般公共服务支出（类）统战事务（款）宗教事务（项）:支出决算数为2.00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en-US" w:eastAsia="zh-CN" w:bidi="ar-SA"/>
        </w:rPr>
        <w:t>宗教事务</w:t>
      </w:r>
      <w:r>
        <w:rPr>
          <w:rFonts w:hint="eastAsia" w:eastAsia="仿宋_GB2312" w:cs="Times New Roman"/>
          <w:color w:val="auto"/>
          <w:kern w:val="2"/>
          <w:sz w:val="32"/>
          <w:szCs w:val="32"/>
          <w:highlight w:val="none"/>
          <w:lang w:val="en-US" w:eastAsia="zh-CN" w:bidi="ar-SA"/>
        </w:rPr>
        <w:t>工作经费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9.教育支出（类）进修及培训（款）培训支出（项）:支出决算数为4.56万元，比上年决算减少2.02万元，下降30.70%，主要原因是：比上年</w:t>
      </w:r>
      <w:r>
        <w:rPr>
          <w:rFonts w:hint="eastAsia" w:eastAsia="仿宋_GB2312" w:cs="Times New Roman"/>
          <w:color w:val="auto"/>
          <w:kern w:val="2"/>
          <w:sz w:val="32"/>
          <w:szCs w:val="32"/>
          <w:highlight w:val="none"/>
          <w:lang w:val="zh-CN" w:eastAsia="zh-CN" w:bidi="ar-SA"/>
        </w:rPr>
        <w:t>单位职工培训次数减少导致培训费下降。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.科学技术支出（类）科学技术普及（款）科普活动（项）:支出决算数为0.40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en-US" w:eastAsia="zh-CN" w:bidi="ar-SA"/>
        </w:rPr>
        <w:t>科普活动</w:t>
      </w:r>
      <w:r>
        <w:rPr>
          <w:rFonts w:hint="eastAsia" w:eastAsia="仿宋_GB2312" w:cs="Times New Roman"/>
          <w:color w:val="auto"/>
          <w:kern w:val="2"/>
          <w:sz w:val="32"/>
          <w:szCs w:val="32"/>
          <w:highlight w:val="none"/>
          <w:lang w:val="en-US" w:eastAsia="zh-CN" w:bidi="ar-SA"/>
        </w:rPr>
        <w:t>项目0.40万元</w:t>
      </w:r>
      <w:r>
        <w:rPr>
          <w:rFonts w:hint="eastAsia" w:eastAsia="仿宋_GB2312" w:cs="Times New Roman"/>
          <w:color w:val="auto"/>
          <w:kern w:val="2"/>
          <w:sz w:val="32"/>
          <w:szCs w:val="32"/>
          <w:highlight w:val="none"/>
          <w:lang w:val="zh-CN" w:eastAsia="zh-CN" w:bidi="ar-SA"/>
        </w:rPr>
        <w:t>。</w:t>
      </w:r>
    </w:p>
    <w:p>
      <w:pPr>
        <w:spacing w:line="600" w:lineRule="exact"/>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.文化旅游体育与传媒支出（类）文化和旅游（款）其他文化和旅游支出（项）:支出决算数为4.00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82.96%，主要原因是：</w:t>
      </w:r>
      <w:r>
        <w:rPr>
          <w:rFonts w:hint="eastAsia" w:eastAsia="仿宋_GB2312" w:cs="Times New Roman"/>
          <w:color w:val="auto"/>
          <w:kern w:val="2"/>
          <w:sz w:val="32"/>
          <w:szCs w:val="32"/>
          <w:highlight w:val="none"/>
          <w:lang w:val="en-US" w:eastAsia="zh-CN" w:bidi="ar-SA"/>
        </w:rPr>
        <w:t>2023年比2022年</w:t>
      </w:r>
      <w:r>
        <w:rPr>
          <w:rFonts w:hint="eastAsia" w:ascii="仿宋_GB2312" w:hAnsi="仿宋_GB2312" w:eastAsia="仿宋_GB2312" w:cs="仿宋_GB2312"/>
          <w:kern w:val="0"/>
          <w:sz w:val="32"/>
          <w:szCs w:val="32"/>
          <w:highlight w:val="none"/>
          <w:lang w:eastAsia="zh-CN"/>
        </w:rPr>
        <w:t>减少</w:t>
      </w:r>
      <w:r>
        <w:rPr>
          <w:rFonts w:hint="eastAsia" w:eastAsia="仿宋_GB2312" w:cs="Times New Roman"/>
          <w:color w:val="auto"/>
          <w:kern w:val="2"/>
          <w:sz w:val="32"/>
          <w:szCs w:val="32"/>
          <w:highlight w:val="none"/>
          <w:lang w:val="en-US" w:eastAsia="zh-CN" w:bidi="ar-SA"/>
        </w:rPr>
        <w:t>文化旅游</w:t>
      </w:r>
      <w:r>
        <w:rPr>
          <w:rFonts w:hint="eastAsia" w:ascii="仿宋_GB2312" w:hAnsi="仿宋_GB2312" w:eastAsia="仿宋_GB2312" w:cs="仿宋_GB2312"/>
          <w:kern w:val="0"/>
          <w:sz w:val="32"/>
          <w:szCs w:val="32"/>
          <w:highlight w:val="none"/>
        </w:rPr>
        <w:t>项目资金</w:t>
      </w:r>
      <w:r>
        <w:rPr>
          <w:rFonts w:hint="eastAsia" w:ascii="仿宋_GB2312" w:hAnsi="仿宋_GB2312" w:eastAsia="仿宋_GB2312" w:cs="仿宋_GB2312"/>
          <w:kern w:val="0"/>
          <w:sz w:val="32"/>
          <w:szCs w:val="32"/>
          <w:highlight w:val="none"/>
          <w:lang w:eastAsia="zh-CN"/>
        </w:rPr>
        <w:t>及勤俭节约。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.文化旅游体育与传媒支出（类）其他文化旅游体育与传媒支出（款）其他文化旅游体育与传媒支出（项）:支出决算数为6.34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2023年增加文化，体育，图书馆《三馆一站》各种活动经费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.社会保障和就业支出（类）行政事业单位养老支出（款）行政单位离退休（项）:支出决算数为13.20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73%，主要原因是：</w:t>
      </w:r>
      <w:r>
        <w:rPr>
          <w:rFonts w:hint="eastAsia" w:eastAsia="仿宋_GB2312" w:cs="Times New Roman"/>
          <w:color w:val="auto"/>
          <w:kern w:val="2"/>
          <w:sz w:val="32"/>
          <w:szCs w:val="32"/>
          <w:highlight w:val="none"/>
          <w:lang w:val="en-US" w:eastAsia="zh-CN" w:bidi="ar-SA"/>
        </w:rPr>
        <w:t>因2023年退休人员的增加</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en-US" w:eastAsia="zh-CN" w:bidi="ar-SA"/>
        </w:rPr>
        <w:t>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val="en-US" w:eastAsia="zh-CN"/>
        </w:rPr>
      </w:pPr>
      <w:r>
        <w:rPr>
          <w:rFonts w:hint="eastAsia" w:eastAsia="仿宋_GB2312" w:cs="Times New Roman"/>
          <w:color w:val="auto"/>
          <w:kern w:val="2"/>
          <w:sz w:val="32"/>
          <w:szCs w:val="32"/>
          <w:highlight w:val="none"/>
          <w:lang w:val="en-US" w:eastAsia="zh-CN" w:bidi="ar-SA"/>
        </w:rPr>
        <w:t>14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.社会保障和就业支出（类）行政事业单位养老支出（款）机关事业单位基本养老保险缴费支出（项）:支出决算数为130.21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12.51%，主要原因是：</w:t>
      </w:r>
      <w:r>
        <w:rPr>
          <w:rFonts w:hint="eastAsia" w:eastAsia="仿宋_GB2312" w:cs="Times New Roman"/>
          <w:color w:val="auto"/>
          <w:kern w:val="2"/>
          <w:sz w:val="32"/>
          <w:szCs w:val="32"/>
          <w:highlight w:val="none"/>
          <w:lang w:val="en-US" w:eastAsia="zh-CN" w:bidi="ar-SA"/>
        </w:rPr>
        <w:t>2023年因人员调出和退休人员的增加养老保险支出减少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15</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.社会保障和就业支出（类）行政事业单位养老支出（款）机关事业单位职业年金缴费支出（项）:支出决算数为29.61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280.10%，主要原因是：</w:t>
      </w:r>
      <w:r>
        <w:rPr>
          <w:rFonts w:hint="eastAsia" w:eastAsia="仿宋_GB2312" w:cs="Times New Roman"/>
          <w:color w:val="auto"/>
          <w:kern w:val="2"/>
          <w:sz w:val="32"/>
          <w:szCs w:val="32"/>
          <w:highlight w:val="none"/>
          <w:lang w:val="en-US" w:eastAsia="zh-CN" w:bidi="ar-SA"/>
        </w:rPr>
        <w:t>因2023年退休人员的增加职业年金缴费比2022年职业年金增长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16</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.社会保障和就业支出（类）就业补助（款）公益性岗位补贴（项）:支出决算数为22.65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115.54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83.61%，主要原因是：</w:t>
      </w:r>
      <w:r>
        <w:rPr>
          <w:rFonts w:hint="eastAsia" w:eastAsia="仿宋_GB2312" w:cs="Times New Roman"/>
          <w:color w:val="auto"/>
          <w:kern w:val="2"/>
          <w:sz w:val="32"/>
          <w:szCs w:val="32"/>
          <w:highlight w:val="none"/>
          <w:lang w:val="en-US" w:eastAsia="zh-CN" w:bidi="ar-SA"/>
        </w:rPr>
        <w:t>2023年比2022年</w:t>
      </w:r>
      <w:r>
        <w:rPr>
          <w:rFonts w:hint="eastAsia" w:ascii="仿宋_GB2312" w:eastAsia="仿宋_GB2312"/>
          <w:sz w:val="32"/>
          <w:szCs w:val="32"/>
          <w:highlight w:val="none"/>
          <w:lang w:eastAsia="zh-CN"/>
        </w:rPr>
        <w:t>减少公益性岗位人员数量及</w:t>
      </w:r>
      <w:r>
        <w:rPr>
          <w:rFonts w:hint="eastAsia" w:ascii="仿宋_GB2312" w:eastAsia="仿宋_GB2312"/>
          <w:sz w:val="32"/>
          <w:szCs w:val="32"/>
          <w:highlight w:val="none"/>
        </w:rPr>
        <w:t>按照文件精神机关事业单位社保资金基数</w:t>
      </w:r>
      <w:r>
        <w:rPr>
          <w:rFonts w:hint="eastAsia" w:ascii="仿宋_GB2312" w:eastAsia="仿宋_GB2312"/>
          <w:sz w:val="32"/>
          <w:szCs w:val="32"/>
          <w:highlight w:val="none"/>
          <w:lang w:eastAsia="zh-CN"/>
        </w:rPr>
        <w:t>调整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17</w:t>
      </w:r>
      <w:r>
        <w:rPr>
          <w:rFonts w:hint="eastAsia" w:ascii="Times New Roman" w:hAnsi="Times New Roman" w:eastAsia="仿宋_GB2312" w:cs="Times New Roman"/>
          <w:color w:val="auto"/>
          <w:kern w:val="2"/>
          <w:sz w:val="32"/>
          <w:szCs w:val="32"/>
          <w:highlight w:val="none"/>
          <w:lang w:val="en-US" w:eastAsia="zh-CN" w:bidi="ar-SA"/>
        </w:rPr>
        <w:t>.社会保障和就业支出（类）社会福利（款）其他社会福利支出（项）:支出决算数为3.00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支付幸福大院日常办公经费。</w:t>
      </w:r>
    </w:p>
    <w:p>
      <w:pPr>
        <w:spacing w:line="600" w:lineRule="exact"/>
        <w:ind w:firstLine="640"/>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18</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.卫生健康支出（类）行政事业单位医疗（款）行政单位医疗（项）:支出决算数为60.27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23.78%，主要原因是</w:t>
      </w:r>
      <w:r>
        <w:rPr>
          <w:rFonts w:hint="eastAsia" w:eastAsia="仿宋_GB2312" w:cs="Times New Roman"/>
          <w:color w:val="auto"/>
          <w:kern w:val="2"/>
          <w:sz w:val="32"/>
          <w:szCs w:val="32"/>
          <w:highlight w:val="none"/>
          <w:lang w:val="en-US" w:eastAsia="zh-CN" w:bidi="ar-SA"/>
        </w:rPr>
        <w:t>：由于2023年人员调出因</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 xml:space="preserve">下降 </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19</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27.48%，主要原因是：</w:t>
      </w:r>
      <w:r>
        <w:rPr>
          <w:rFonts w:hint="eastAsia" w:eastAsia="仿宋_GB2312" w:cs="Times New Roman"/>
          <w:color w:val="auto"/>
          <w:kern w:val="2"/>
          <w:sz w:val="32"/>
          <w:szCs w:val="32"/>
          <w:highlight w:val="none"/>
          <w:lang w:val="en-US" w:eastAsia="zh-CN" w:bidi="ar-SA"/>
        </w:rPr>
        <w:t>由于2023年人员调出及</w:t>
      </w:r>
      <w:r>
        <w:rPr>
          <w:rFonts w:hint="eastAsia" w:ascii="仿宋_GB2312" w:eastAsia="仿宋_GB2312"/>
          <w:sz w:val="32"/>
          <w:szCs w:val="32"/>
          <w:highlight w:val="none"/>
          <w:lang w:eastAsia="zh-CN"/>
        </w:rPr>
        <w:t>公务员退休</w:t>
      </w:r>
      <w:r>
        <w:rPr>
          <w:rFonts w:hint="eastAsia" w:ascii="仿宋_GB2312" w:eastAsia="仿宋_GB2312"/>
          <w:sz w:val="32"/>
          <w:szCs w:val="32"/>
          <w:highlight w:val="none"/>
          <w:lang w:val="en-US" w:eastAsia="zh-CN"/>
        </w:rPr>
        <w:t>等</w:t>
      </w:r>
      <w:r>
        <w:rPr>
          <w:rFonts w:hint="eastAsia" w:eastAsia="仿宋_GB2312" w:cs="Times New Roman"/>
          <w:color w:val="auto"/>
          <w:kern w:val="2"/>
          <w:sz w:val="32"/>
          <w:szCs w:val="32"/>
          <w:highlight w:val="none"/>
          <w:lang w:val="en-US" w:eastAsia="zh-CN" w:bidi="ar-SA"/>
        </w:rPr>
        <w:t>原因，导致此项支出的下降</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.卫生健康支出（类）公共卫生（款）突发公共卫生事件应急处理（项）:支出决算数为0.00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46.20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2023年没有此项目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21</w:t>
      </w:r>
      <w:r>
        <w:rPr>
          <w:rFonts w:hint="eastAsia" w:ascii="Times New Roman" w:hAnsi="Times New Roman" w:eastAsia="仿宋_GB2312" w:cs="Times New Roman"/>
          <w:color w:val="auto"/>
          <w:kern w:val="2"/>
          <w:sz w:val="32"/>
          <w:szCs w:val="32"/>
          <w:highlight w:val="none"/>
          <w:lang w:val="en-US" w:eastAsia="zh-CN" w:bidi="ar-SA"/>
        </w:rPr>
        <w:t>.卫生健康支出（类）计划生育事务（款）其他计划生育事务支出（项）:支出决算数为0.00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36.35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2023年没有此项目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22</w:t>
      </w:r>
      <w:r>
        <w:rPr>
          <w:rFonts w:hint="eastAsia" w:ascii="Times New Roman" w:hAnsi="Times New Roman" w:eastAsia="仿宋_GB2312" w:cs="Times New Roman"/>
          <w:color w:val="auto"/>
          <w:kern w:val="2"/>
          <w:sz w:val="32"/>
          <w:szCs w:val="32"/>
          <w:highlight w:val="none"/>
          <w:lang w:val="en-US" w:eastAsia="zh-CN" w:bidi="ar-SA"/>
        </w:rPr>
        <w:t>.农林水支出（类）农业农村（款）事业运行（项）:支出决算数为0.00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324.65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2023年没有此项目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23</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.农林水支出（类）巩固脱贫攻坚成果衔接乡村振兴（款）农村基础设施建设（项）:支出决算数为1,000.00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en-US" w:eastAsia="zh-CN" w:bidi="ar-SA"/>
        </w:rPr>
        <w:t>巩固脱贫攻坚成果衔接乡村振兴农村基础设施建设</w:t>
      </w:r>
      <w:r>
        <w:rPr>
          <w:rFonts w:hint="eastAsia" w:eastAsia="仿宋_GB2312" w:cs="Times New Roman"/>
          <w:color w:val="auto"/>
          <w:kern w:val="2"/>
          <w:sz w:val="32"/>
          <w:szCs w:val="32"/>
          <w:highlight w:val="none"/>
          <w:lang w:val="en-US" w:eastAsia="zh-CN" w:bidi="ar-SA"/>
        </w:rPr>
        <w:t>项目（中多尕村人居环境整治项目）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24</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.农林水支出（类）巩固脱贫攻坚成果衔接乡村振兴（款）生产发展（项）:支出决算数为1,185.36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2,250.54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65.50%，主要原因是：</w:t>
      </w:r>
      <w:r>
        <w:rPr>
          <w:rFonts w:hint="eastAsia" w:ascii="仿宋_GB2312" w:eastAsia="仿宋_GB2312"/>
          <w:color w:val="auto"/>
          <w:spacing w:val="0"/>
          <w:sz w:val="32"/>
          <w:szCs w:val="32"/>
          <w:highlight w:val="none"/>
          <w:lang w:val="en-US" w:eastAsia="zh-CN"/>
        </w:rPr>
        <w:t>2023年比上年减少巩固脱贫衔接乡村振兴补助资金项目：（哈拉玉宫乡废旧物资回收产业园项目2500万元、智慧农业数字中心项目2063万元）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25.</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农林水支出（类）巩固脱贫攻坚成果衔接乡村振兴（款）其他巩固脱贫攻坚成果衔接乡村振兴支出（项）:支出决算数为46.88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46.88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pacing w:val="0"/>
          <w:sz w:val="32"/>
          <w:szCs w:val="32"/>
          <w:highlight w:val="none"/>
          <w:lang w:val="en-US" w:eastAsia="zh-CN"/>
        </w:rPr>
        <w:t>2023年比上年增加巩固脱贫衔接乡村振兴补助资金项目：哈拉玉宫乡中多尕村人居环境整治项目、肉牛养殖地项目、哈拉玉宫村人居环境整治项目并2022年度未竣工项目尾款（哈拉玉宫乡废旧物资回收产业园项目、智慧农业数字中心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26</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.农林水支出（类）农村综合改革（款）对村级公益事业建设的补助（项）:支出决算数为15.89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2023年财政安排2020年中央美丽乡村建设项目资金巴格吉代村绿化管网资金余款。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27</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.农林水支出（类）农村综合改革（款）对村民委员会和村党支部的补助（项）:支出决算数为349.97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269.80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336.54%，主要原因是：</w:t>
      </w:r>
      <w:r>
        <w:rPr>
          <w:rFonts w:hint="eastAsia" w:ascii="仿宋_GB2312" w:eastAsia="仿宋_GB2312"/>
          <w:sz w:val="32"/>
          <w:szCs w:val="32"/>
          <w:highlight w:val="none"/>
          <w:lang w:eastAsia="zh-CN"/>
        </w:rPr>
        <w:t>提高村两位干部及村民小组干部工资</w:t>
      </w:r>
      <w:r>
        <w:rPr>
          <w:rFonts w:hint="eastAsia" w:ascii="仿宋_GB2312" w:eastAsia="仿宋_GB2312"/>
          <w:sz w:val="32"/>
          <w:szCs w:val="32"/>
          <w:highlight w:val="none"/>
        </w:rPr>
        <w:t>基数</w:t>
      </w:r>
      <w:r>
        <w:rPr>
          <w:rFonts w:hint="eastAsia" w:ascii="仿宋_GB2312" w:eastAsia="仿宋_GB2312"/>
          <w:sz w:val="32"/>
          <w:szCs w:val="32"/>
          <w:highlight w:val="none"/>
          <w:lang w:eastAsia="zh-CN"/>
        </w:rPr>
        <w:t>及同时增加村级运行经费和村民小组经费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highlight w:val="none"/>
          <w:lang w:val="en-US" w:eastAsia="zh-CN"/>
        </w:rPr>
      </w:pPr>
      <w:r>
        <w:rPr>
          <w:rFonts w:hint="eastAsia" w:eastAsia="仿宋_GB2312" w:cs="Times New Roman"/>
          <w:color w:val="auto"/>
          <w:kern w:val="2"/>
          <w:sz w:val="32"/>
          <w:szCs w:val="32"/>
          <w:highlight w:val="none"/>
          <w:lang w:val="en-US" w:eastAsia="zh-CN" w:bidi="ar-SA"/>
        </w:rPr>
        <w:t>28</w:t>
      </w:r>
      <w:r>
        <w:rPr>
          <w:rFonts w:hint="eastAsia" w:ascii="Times New Roman" w:hAnsi="Times New Roman" w:eastAsia="仿宋_GB2312" w:cs="Times New Roman"/>
          <w:color w:val="auto"/>
          <w:kern w:val="2"/>
          <w:sz w:val="32"/>
          <w:szCs w:val="32"/>
          <w:highlight w:val="none"/>
          <w:lang w:val="en-US" w:eastAsia="zh-CN" w:bidi="ar-SA"/>
        </w:rPr>
        <w:t>.农林水支出（类）目标价格补贴（款）棉花目标价格补贴（项）:支出决算数为8,147.37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8,147.37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en-US" w:eastAsia="zh-CN" w:bidi="ar-SA"/>
        </w:rPr>
        <w:t>农林水支出（类）目标价格补贴</w:t>
      </w:r>
      <w:r>
        <w:rPr>
          <w:rFonts w:hint="eastAsia" w:ascii="仿宋_GB2312" w:eastAsia="仿宋_GB2312"/>
          <w:color w:val="auto"/>
          <w:spacing w:val="0"/>
          <w:sz w:val="32"/>
          <w:szCs w:val="32"/>
          <w:highlight w:val="none"/>
          <w:lang w:val="en-US" w:eastAsia="zh-CN"/>
        </w:rPr>
        <w:t>（棉花目标价格改革补贴资金）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29</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.住房保障支出（类）住房改革支出（款）住房公积金（项）:支出决算数为104.34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3.26%，主要原因是：</w:t>
      </w:r>
      <w:r>
        <w:rPr>
          <w:rFonts w:hint="eastAsia" w:ascii="仿宋_GB2312" w:hAnsi="仿宋_GB2312" w:eastAsia="仿宋_GB2312" w:cs="仿宋_GB2312"/>
          <w:kern w:val="0"/>
          <w:sz w:val="32"/>
          <w:szCs w:val="32"/>
          <w:highlight w:val="none"/>
        </w:rPr>
        <w:t>增加人员工资因此调整住房公积金基数，同时增加住房公积金支出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30</w:t>
      </w:r>
      <w:r>
        <w:rPr>
          <w:rFonts w:hint="eastAsia" w:ascii="Times New Roman" w:hAnsi="Times New Roman" w:eastAsia="仿宋_GB2312" w:cs="Times New Roman"/>
          <w:color w:val="auto"/>
          <w:kern w:val="2"/>
          <w:sz w:val="32"/>
          <w:szCs w:val="32"/>
          <w:highlight w:val="none"/>
          <w:lang w:val="en-US" w:eastAsia="zh-CN" w:bidi="ar-SA"/>
        </w:rPr>
        <w:t>.其他支出（类）其他支出（款）其他支出（项）:支出决算数为0.00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2023年没有此项目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31</w:t>
      </w:r>
      <w:r>
        <w:rPr>
          <w:rFonts w:hint="eastAsia" w:ascii="Times New Roman" w:hAnsi="Times New Roman" w:eastAsia="仿宋_GB2312" w:cs="Times New Roman"/>
          <w:color w:val="auto"/>
          <w:kern w:val="2"/>
          <w:sz w:val="32"/>
          <w:szCs w:val="32"/>
          <w:highlight w:val="none"/>
          <w:lang w:val="en-US" w:eastAsia="zh-CN" w:bidi="ar-SA"/>
        </w:rPr>
        <w:t>.国防支出（类）国防动员（款）民兵（项）:支出决算数为0.00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2023年没有此项目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32</w:t>
      </w:r>
      <w:r>
        <w:rPr>
          <w:rFonts w:hint="eastAsia" w:ascii="Times New Roman" w:hAnsi="Times New Roman" w:eastAsia="仿宋_GB2312" w:cs="Times New Roman"/>
          <w:color w:val="auto"/>
          <w:kern w:val="2"/>
          <w:sz w:val="32"/>
          <w:szCs w:val="32"/>
          <w:highlight w:val="none"/>
          <w:lang w:val="en-US" w:eastAsia="zh-CN" w:bidi="ar-SA"/>
        </w:rPr>
        <w:t>.节能环保支出（类）环境保护管理事务（款）其他环境保护管理事务支出（项）:支出决算数为0.00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67.54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2023年没有此项目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2,192.91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2,048.33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144.59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办公费、印刷费，手续费、水费、电费、邮电费、取暖费、维修（护）费、培训费、工会经费、福利费、公务用车运行维护费、其他商品和服务支出、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shd w:val="clear" w:color="auto" w:fill="auto"/>
          <w:lang w:val="en-US" w:eastAsia="zh-CN"/>
        </w:rPr>
      </w:pPr>
      <w:r>
        <w:rPr>
          <w:rFonts w:hint="eastAsia" w:ascii="仿宋_GB2312" w:eastAsia="仿宋_GB2312"/>
          <w:color w:val="auto"/>
          <w:sz w:val="32"/>
          <w:szCs w:val="32"/>
          <w:highlight w:val="none"/>
          <w:shd w:val="clear" w:color="auto" w:fill="auto"/>
          <w:lang w:val="zh-CN" w:eastAsia="zh-CN"/>
        </w:rPr>
        <w:t>2023年度</w:t>
      </w:r>
      <w:r>
        <w:rPr>
          <w:rFonts w:hint="eastAsia" w:ascii="仿宋_GB2312" w:eastAsia="仿宋_GB2312"/>
          <w:color w:val="auto"/>
          <w:sz w:val="32"/>
          <w:szCs w:val="32"/>
          <w:highlight w:val="none"/>
          <w:shd w:val="clear" w:color="auto" w:fill="auto"/>
          <w:lang w:val="en-US" w:eastAsia="zh-CN"/>
        </w:rPr>
        <w:t>财政拨款</w:t>
      </w:r>
      <w:r>
        <w:rPr>
          <w:rFonts w:hint="eastAsia" w:ascii="仿宋_GB2312" w:eastAsia="仿宋_GB2312"/>
          <w:color w:val="auto"/>
          <w:sz w:val="32"/>
          <w:szCs w:val="32"/>
          <w:highlight w:val="none"/>
          <w:shd w:val="clear" w:color="auto" w:fill="auto"/>
          <w:lang w:val="zh-CN" w:eastAsia="zh-CN"/>
        </w:rPr>
        <w:t>“三公”经费支出19.19万元，</w:t>
      </w:r>
      <w:r>
        <w:rPr>
          <w:rFonts w:hint="eastAsia" w:ascii="仿宋_GB2312" w:eastAsia="仿宋_GB2312"/>
          <w:color w:val="auto"/>
          <w:sz w:val="32"/>
          <w:szCs w:val="32"/>
          <w:highlight w:val="none"/>
          <w:shd w:val="clear" w:color="auto" w:fill="auto"/>
          <w:lang w:val="en-US" w:eastAsia="zh-CN"/>
        </w:rPr>
        <w:t>比上年</w:t>
      </w:r>
      <w:r>
        <w:rPr>
          <w:rFonts w:hint="eastAsia" w:ascii="仿宋_GB2312" w:eastAsia="仿宋_GB2312"/>
          <w:color w:val="auto"/>
          <w:sz w:val="32"/>
          <w:szCs w:val="32"/>
          <w:highlight w:val="none"/>
          <w:shd w:val="clear" w:color="auto" w:fill="auto"/>
          <w:lang w:val="zh-CN" w:eastAsia="zh-CN"/>
        </w:rPr>
        <w:t>增加2.05万元，</w:t>
      </w:r>
      <w:r>
        <w:rPr>
          <w:rFonts w:hint="eastAsia" w:ascii="仿宋_GB2312" w:eastAsia="仿宋_GB2312"/>
          <w:color w:val="auto"/>
          <w:spacing w:val="0"/>
          <w:sz w:val="32"/>
          <w:szCs w:val="32"/>
          <w:highlight w:val="none"/>
          <w:shd w:val="clear" w:color="auto" w:fill="auto"/>
          <w:lang w:val="en-US" w:eastAsia="zh-CN"/>
        </w:rPr>
        <w:t>增长11.96%,</w:t>
      </w:r>
      <w:r>
        <w:rPr>
          <w:rFonts w:hint="eastAsia" w:ascii="仿宋_GB2312" w:eastAsia="仿宋_GB2312"/>
          <w:color w:val="auto"/>
          <w:sz w:val="32"/>
          <w:szCs w:val="32"/>
          <w:highlight w:val="none"/>
          <w:shd w:val="clear" w:color="auto" w:fill="auto"/>
          <w:lang w:val="zh-CN" w:eastAsia="zh-CN"/>
        </w:rPr>
        <w:t>主要原因是：因车辆老化维修次数多因此维修费增加。其中：因公出国（境）费支出0.00万元，占0.00%，比上年增加0.00万元，</w:t>
      </w:r>
      <w:r>
        <w:rPr>
          <w:rFonts w:hint="eastAsia" w:ascii="仿宋_GB2312" w:eastAsia="仿宋_GB2312"/>
          <w:color w:val="auto"/>
          <w:spacing w:val="0"/>
          <w:sz w:val="32"/>
          <w:szCs w:val="32"/>
          <w:highlight w:val="none"/>
          <w:shd w:val="clear" w:color="auto" w:fill="auto"/>
          <w:lang w:val="en-US" w:eastAsia="zh-CN"/>
        </w:rPr>
        <w:t>增长0.00%,</w:t>
      </w:r>
      <w:r>
        <w:rPr>
          <w:rFonts w:hint="eastAsia" w:ascii="仿宋_GB2312" w:eastAsia="仿宋_GB2312"/>
          <w:color w:val="auto"/>
          <w:sz w:val="32"/>
          <w:szCs w:val="32"/>
          <w:highlight w:val="none"/>
          <w:shd w:val="clear" w:color="auto" w:fill="auto"/>
          <w:lang w:val="zh-CN" w:eastAsia="zh-CN"/>
        </w:rPr>
        <w:t>主要原因是：我单位无因公出国（境）费支出；公务用车购置及运行维护费支出19.19万元，占100.00%，比上年增加2.05万元，</w:t>
      </w:r>
      <w:r>
        <w:rPr>
          <w:rFonts w:hint="eastAsia" w:ascii="仿宋_GB2312" w:eastAsia="仿宋_GB2312"/>
          <w:color w:val="auto"/>
          <w:spacing w:val="0"/>
          <w:sz w:val="32"/>
          <w:szCs w:val="32"/>
          <w:highlight w:val="none"/>
          <w:shd w:val="clear" w:color="auto" w:fill="auto"/>
          <w:lang w:val="en-US" w:eastAsia="zh-CN"/>
        </w:rPr>
        <w:t>增长11.96%,</w:t>
      </w:r>
      <w:r>
        <w:rPr>
          <w:rFonts w:hint="eastAsia" w:ascii="仿宋_GB2312" w:eastAsia="仿宋_GB2312"/>
          <w:color w:val="auto"/>
          <w:sz w:val="32"/>
          <w:szCs w:val="32"/>
          <w:highlight w:val="none"/>
          <w:shd w:val="clear" w:color="auto" w:fill="auto"/>
          <w:lang w:val="zh-CN" w:eastAsia="zh-CN"/>
        </w:rPr>
        <w:t>主要原因是：因车辆老化维修次数多因此维修经费增加；公务接待费支出0.00万元，占0.00%，比上年增加0.00万元，</w:t>
      </w:r>
      <w:r>
        <w:rPr>
          <w:rFonts w:hint="eastAsia" w:ascii="仿宋_GB2312" w:eastAsia="仿宋_GB2312"/>
          <w:color w:val="auto"/>
          <w:spacing w:val="0"/>
          <w:sz w:val="32"/>
          <w:szCs w:val="32"/>
          <w:highlight w:val="none"/>
          <w:shd w:val="clear" w:color="auto" w:fill="auto"/>
          <w:lang w:val="en-US" w:eastAsia="zh-CN"/>
        </w:rPr>
        <w:t>增长0.00%,</w:t>
      </w:r>
      <w:r>
        <w:rPr>
          <w:rFonts w:hint="eastAsia" w:ascii="仿宋_GB2312" w:eastAsia="仿宋_GB2312"/>
          <w:color w:val="auto"/>
          <w:sz w:val="32"/>
          <w:szCs w:val="32"/>
          <w:highlight w:val="none"/>
          <w:shd w:val="clear" w:color="auto" w:fill="auto"/>
          <w:lang w:val="zh-CN" w:eastAsia="zh-CN"/>
        </w:rPr>
        <w:t>主要原因是：</w:t>
      </w:r>
      <w:r>
        <w:rPr>
          <w:rFonts w:hint="eastAsia" w:ascii="仿宋_GB2312" w:eastAsia="仿宋_GB2312"/>
          <w:color w:val="auto"/>
          <w:sz w:val="32"/>
          <w:szCs w:val="32"/>
          <w:highlight w:val="none"/>
          <w:shd w:val="clear" w:color="auto" w:fill="auto"/>
          <w:lang w:val="en-US" w:eastAsia="zh-CN"/>
        </w:rPr>
        <w:t>2023年我单位无公务接待。</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shd w:val="clear" w:color="auto" w:fill="auto"/>
          <w:lang w:val="zh-CN" w:eastAsia="zh-CN"/>
        </w:rPr>
      </w:pPr>
      <w:r>
        <w:rPr>
          <w:rFonts w:hint="eastAsia" w:ascii="仿宋_GB2312" w:eastAsia="仿宋_GB2312"/>
          <w:color w:val="auto"/>
          <w:sz w:val="32"/>
          <w:szCs w:val="32"/>
          <w:highlight w:val="none"/>
          <w:shd w:val="clear" w:color="auto" w:fill="auto"/>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公务用车购置及运行维护费19.19万元，其中：公务用车购置费0.00万元，公务用车运行维护费19.19万元。公务用车运行维护费开支内容包括机动车辆保险，燃油费，维修费。公务用车购置数</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辆，公务用车保有量7辆。国有资产占用情况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公务接待费0.00万元，应开支内容包括：我单位无公务接待</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预算数19.19万元，决算数19.19万元，预决算差异率0.00%，主要原因是：</w:t>
      </w:r>
      <w:r>
        <w:rPr>
          <w:rFonts w:hint="eastAsia" w:ascii="仿宋_GB2312" w:eastAsia="仿宋_GB2312"/>
          <w:sz w:val="32"/>
          <w:szCs w:val="32"/>
          <w:highlight w:val="none"/>
        </w:rPr>
        <w:t>勤俭节约</w:t>
      </w:r>
      <w:r>
        <w:rPr>
          <w:rFonts w:hint="eastAsia" w:ascii="仿宋_GB2312" w:eastAsia="仿宋_GB2312"/>
          <w:sz w:val="32"/>
          <w:szCs w:val="32"/>
          <w:highlight w:val="none"/>
          <w:lang w:eastAsia="zh-CN"/>
        </w:rPr>
        <w:t>，预决算一致无差异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预算数0.00万元，决算数0.00万元，预决算差异率0.00%，主要原因是：预决算一致无差异；公务用车运行费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预算数19.19万元，决算数19.19万元，预决算差异率0.00%，主要原因是：</w:t>
      </w:r>
      <w:r>
        <w:rPr>
          <w:rFonts w:hint="eastAsia" w:ascii="仿宋_GB2312" w:eastAsia="仿宋_GB2312"/>
          <w:sz w:val="32"/>
          <w:szCs w:val="32"/>
          <w:highlight w:val="none"/>
        </w:rPr>
        <w:t>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预算数0.00万元，决算数0.00万元，预决算差异率0.00%，主要原因是：预决算一致无差异。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总计75.05</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本年收入75.05</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总计75.05</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本年支出75.05</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与年初预算相比，减少75.95万元，下降50.30%，</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2023年财政预算减少其他收入项目（</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57.50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75.05</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30.52%，主要原因是：</w:t>
      </w:r>
      <w:r>
        <w:rPr>
          <w:rFonts w:hint="eastAsia" w:eastAsia="仿宋_GB2312" w:cs="Times New Roman"/>
          <w:color w:val="auto"/>
          <w:sz w:val="32"/>
          <w:szCs w:val="32"/>
          <w:highlight w:val="none"/>
          <w:lang w:val="en-US" w:eastAsia="zh-CN"/>
        </w:rPr>
        <w:t>2023年新增春节前农牧民工资项目。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75.05</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1.城乡社区支出（类）国有土地使用权出让收入安排的支出（款）农村基础设施建设支出（项）:支出决算数为57.50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57.50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2023年新增项目乡村建设经费</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2.城乡社区支出（类）国有土地使用权出让收入安排的支出（款）其他国有土地使用权出让收入安排的支出（项）:支出决算数为17.55</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17.55</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zh-CN"/>
        </w:rPr>
        <w:t>新增项目</w:t>
      </w:r>
      <w:r>
        <w:rPr>
          <w:rFonts w:hint="eastAsia" w:eastAsia="仿宋_GB2312" w:cs="Times New Roman"/>
          <w:color w:val="auto"/>
          <w:sz w:val="32"/>
          <w:szCs w:val="32"/>
          <w:highlight w:val="none"/>
          <w:lang w:val="en-US" w:eastAsia="zh-CN"/>
        </w:rPr>
        <w:t>2023年春节前农民工工资</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3.其他支出（类）彩票公益金安排的支出（款）用于扶贫的彩票公益金支出（项）:支出决算数为0.00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149.00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2023年财政没有安排此次项目资金</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4.其他支出（类）彩票公益金安排的支出（款）用于社会福利的彩票公益金支出（项）:支出决算数为0.00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2.00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2023年财政没有安排此次项目资金</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库尔勒市哈拉玉宫乡人民政府（行政单位和参照公务员法管理事业单位）机关运行经费支出144.59万元，比上年增加3.43万元，增长2.43%,主要原因是：</w:t>
      </w:r>
      <w:r>
        <w:rPr>
          <w:rFonts w:hint="eastAsia" w:eastAsia="仿宋_GB2312" w:cs="Times New Roman"/>
          <w:color w:val="auto"/>
          <w:sz w:val="32"/>
          <w:szCs w:val="32"/>
          <w:highlight w:val="none"/>
          <w:lang w:val="en-US" w:eastAsia="zh-CN"/>
        </w:rPr>
        <w:t>日常经费（水，电，邮电费，取暖费），宣传经费，维修费，工会经费相应增加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531.37万元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其中：政府采购货物支出1.58万元、政府采购工程支出519.03万元、政府采购服务支出10.76万元。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授予中小企业合同金额521.59万元，占政府采购支出总额的98.16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，其中：授予小微企业合同金额521.59万元，占政府采购支出总额的98.16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2,209.91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屋6912.09平方米，价值615.61万元。车辆7辆，价值82.65万元，其中：副部（省）级及以上领导用车0辆、主要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用车0辆、其他用车7辆，其他用车主要是：</w:t>
      </w:r>
      <w:r>
        <w:rPr>
          <w:rFonts w:hint="eastAsia" w:eastAsia="仿宋_GB2312" w:cs="Times New Roman"/>
          <w:color w:val="auto"/>
          <w:sz w:val="32"/>
          <w:szCs w:val="32"/>
          <w:highlight w:val="none"/>
          <w:lang w:val="zh-CN" w:eastAsia="zh-CN"/>
        </w:rPr>
        <w:t>治安巡逻车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预算总额12925.34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实际执行总额12925.34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全年预算数8581.67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全年执行数8406.36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sz w:val="32"/>
          <w:szCs w:val="32"/>
          <w:highlight w:val="none"/>
        </w:rPr>
        <w:t>客观资料采集和预测。绩效监控工作组每年于监控节点前10日对资料进行客观、全面地收集，从而真实、准确地反映项目执行的实际情况和取得的结果,对可能达到的结果和完成目标进行科学、合理的预测分析。通过实地调研，开展基础数据收集和社会调查工作，围绕指标展开，确保调研的有效性和数据的真实性。实地调研主要是将项目的资金流和业务流梳理清楚,首先是对资金的收支进行梳理,包括资金来源、预算安排、实际到位和实际使用资金量、资金使用明细等内容。其次是对业务流的梳理。业务流的梳理主要体现在对每一个指标的实际值进行收集,确认好每一个指标对应的实际值之后,将实际值与目标值进行比较,反映跟踪阶段资金管理情况、管项目执行与计划完成的偏差情况、项目效果与预期偏差情况等</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rPr>
        <w:t>二是分析实施偏差和项目完成可能性从经费保障、制度保障、人员保障、硬件条件保障及其他方面进行偏差原因分析，找出实际的、根本的原因。在此基础上,根据前期的实施情况,结合后期的实施计划,对完成可能性进行分析。 三是形成绩效跟踪监控报告为了让财政部门、主管部门和实施单位对绩效跟踪的结果有更全面的了解,我单位通过报告的形式形成绩效跟踪评价的结论。每年两份报告，分别为6月监控报告和年底监控报告。四是结果应用绩效监控能够使财政部门和预算单位动态地了解项目进展，及时掌握项目实施过程与项目目标之间的偏差。对于经各方确认的监控意见或建议,我单位会及时汇报财政部门，协同敦促实施单位抓紧落实整改的措施和时间表;对于偏差较大、项目明显偏离计划轨道的，按照预算管理的相关规定进</w:t>
      </w:r>
      <w:r>
        <w:rPr>
          <w:rFonts w:hint="eastAsia" w:ascii="仿宋_GB2312" w:eastAsia="仿宋_GB2312"/>
          <w:color w:val="auto"/>
          <w:sz w:val="32"/>
          <w:szCs w:val="32"/>
          <w:highlight w:val="none"/>
          <w:lang w:eastAsia="zh-CN"/>
        </w:rPr>
        <w:t>。发现的问题及原因：一是</w:t>
      </w:r>
      <w:r>
        <w:rPr>
          <w:rFonts w:hint="eastAsia" w:ascii="仿宋_GB2312" w:eastAsia="仿宋_GB2312"/>
          <w:sz w:val="32"/>
          <w:szCs w:val="32"/>
          <w:highlight w:val="none"/>
        </w:rPr>
        <w:t>管理中我单位存在公用经费资金紧缺的问题，原因为我单位有分校，人员和物资都需要分地安排，因此导致经费短缺的情况。</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rPr>
        <w:t>实际实施项目时，往往会由于一些客观因素，如拨款时间、相关政府部门的审批环节，其它条件限制等等，导致项目不能按时完成</w:t>
      </w:r>
      <w:r>
        <w:rPr>
          <w:rFonts w:hint="eastAsia" w:ascii="仿宋_GB2312" w:eastAsia="仿宋_GB2312"/>
          <w:color w:val="auto"/>
          <w:sz w:val="32"/>
          <w:szCs w:val="32"/>
          <w:highlight w:val="none"/>
          <w:lang w:eastAsia="zh-CN"/>
        </w:rPr>
        <w:t>。</w:t>
      </w:r>
      <w:r>
        <w:rPr>
          <w:rFonts w:hint="eastAsia" w:ascii="仿宋_GB2312" w:eastAsia="仿宋_GB2312"/>
          <w:sz w:val="32"/>
          <w:szCs w:val="32"/>
          <w:highlight w:val="none"/>
        </w:rPr>
        <w:t>建议申请单位应在预算阶段充分考虑上述因素，预留时间，全面了解流程规则，尽量避免跨期完成项目。三是重点工作办结率也存在加强与上升空间，需要有关部门加强工作效率，在重点工作的完成率和完成度上都需要更加完善。四是对绩效评价认识不足，对整体支出绩效评价业务仍有不熟悉的地方。五是项目资金执行力度需进一步加强。</w:t>
      </w:r>
    </w:p>
    <w:p>
      <w:pPr>
        <w:ind w:firstLine="640" w:firstLineChars="200"/>
        <w:jc w:val="left"/>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下一步改进措施：一是</w:t>
      </w:r>
      <w:r>
        <w:rPr>
          <w:rFonts w:hint="eastAsia" w:ascii="仿宋_GB2312" w:eastAsia="仿宋_GB2312"/>
          <w:sz w:val="32"/>
          <w:szCs w:val="32"/>
          <w:highlight w:val="none"/>
        </w:rPr>
        <w:t>加强资金实时监控，严格按照相关要求对相关资金进行使用，确保资金使用及时有效</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rPr>
        <w:t>强化我单位对资金绩效实现情况的责任约束，进一步规范资金使用绩效。三是我单位将根据上级要求，严格按照绩效项目预期目标进行支出等事宜，我单位将由专人负责绩效项目，做好各项工作。实时控制项目开展的每个时间节点，完成总目标，保证既定的绩效目标得以实现。四是加强财务管理，严格财务审核。在费用报账支付时，按照预算规定的费用项目和用途进行资金使用审核、列报支付、财务核算，杜绝超支现象的发生。</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r>
        <w:drawing>
          <wp:anchor distT="0" distB="0" distL="114300" distR="114300" simplePos="0" relativeHeight="251659264" behindDoc="0" locked="0" layoutInCell="1" allowOverlap="1">
            <wp:simplePos x="0" y="0"/>
            <wp:positionH relativeFrom="column">
              <wp:posOffset>-152400</wp:posOffset>
            </wp:positionH>
            <wp:positionV relativeFrom="paragraph">
              <wp:posOffset>72390</wp:posOffset>
            </wp:positionV>
            <wp:extent cx="5530850" cy="8261350"/>
            <wp:effectExtent l="0" t="0" r="12700" b="635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530850" cy="8261350"/>
                    </a:xfrm>
                    <a:prstGeom prst="rect">
                      <a:avLst/>
                    </a:prstGeom>
                    <a:noFill/>
                    <a:ln>
                      <a:noFill/>
                    </a:ln>
                  </pic:spPr>
                </pic:pic>
              </a:graphicData>
            </a:graphic>
          </wp:anchor>
        </w:drawing>
      </w:r>
    </w:p>
    <w:p>
      <w:pPr>
        <w:pStyle w:val="2"/>
        <w:rPr>
          <w:highlight w:val="none"/>
        </w:rPr>
      </w:pPr>
      <w:r>
        <w:drawing>
          <wp:anchor distT="0" distB="0" distL="114300" distR="114300" simplePos="0" relativeHeight="251660288" behindDoc="0" locked="0" layoutInCell="1" allowOverlap="1">
            <wp:simplePos x="0" y="0"/>
            <wp:positionH relativeFrom="column">
              <wp:posOffset>-95250</wp:posOffset>
            </wp:positionH>
            <wp:positionV relativeFrom="paragraph">
              <wp:posOffset>-807720</wp:posOffset>
            </wp:positionV>
            <wp:extent cx="5601335" cy="9007475"/>
            <wp:effectExtent l="0" t="0" r="18415" b="3175"/>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5601335" cy="9007475"/>
                    </a:xfrm>
                    <a:prstGeom prst="rect">
                      <a:avLst/>
                    </a:prstGeom>
                    <a:noFill/>
                    <a:ln>
                      <a:noFill/>
                    </a:ln>
                  </pic:spPr>
                </pic:pic>
              </a:graphicData>
            </a:graphic>
          </wp:anchor>
        </w:drawing>
      </w:r>
    </w:p>
    <w:p>
      <w:pPr>
        <w:pStyle w:val="2"/>
        <w:rPr>
          <w:highlight w:val="none"/>
        </w:rPr>
      </w:pPr>
    </w:p>
    <w:p>
      <w:pPr>
        <w:rPr>
          <w:highlight w:val="none"/>
        </w:rPr>
      </w:pPr>
    </w:p>
    <w:p>
      <w:pPr>
        <w:pStyle w:val="2"/>
        <w:rPr>
          <w:highlight w:val="none"/>
        </w:rPr>
        <w:sectPr>
          <w:footerReference r:id="rId4" w:type="default"/>
          <w:pgSz w:w="11906" w:h="16838"/>
          <w:pgMar w:top="1440" w:right="1800" w:bottom="1440" w:left="1800" w:header="851" w:footer="992" w:gutter="0"/>
          <w:cols w:space="720" w:num="1"/>
          <w:docGrid w:type="lines" w:linePitch="312" w:charSpace="0"/>
        </w:sectPr>
      </w:pPr>
      <w:r>
        <w:drawing>
          <wp:anchor distT="0" distB="0" distL="114300" distR="114300" simplePos="0" relativeHeight="251661312" behindDoc="0" locked="0" layoutInCell="1" allowOverlap="1">
            <wp:simplePos x="0" y="0"/>
            <wp:positionH relativeFrom="column">
              <wp:posOffset>0</wp:posOffset>
            </wp:positionH>
            <wp:positionV relativeFrom="paragraph">
              <wp:posOffset>-8825865</wp:posOffset>
            </wp:positionV>
            <wp:extent cx="5345430" cy="9260205"/>
            <wp:effectExtent l="0" t="0" r="7620" b="17145"/>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5345430" cy="9260205"/>
                    </a:xfrm>
                    <a:prstGeom prst="rect">
                      <a:avLst/>
                    </a:prstGeom>
                    <a:noFill/>
                    <a:ln>
                      <a:noFill/>
                    </a:ln>
                  </pic:spPr>
                </pic:pic>
              </a:graphicData>
            </a:graphic>
          </wp:anchor>
        </w:drawing>
      </w:r>
    </w:p>
    <w:p>
      <w:pPr>
        <w:rPr>
          <w:highlight w:val="none"/>
        </w:rPr>
      </w:pPr>
    </w:p>
    <w:p>
      <w:pPr>
        <w:rPr>
          <w:highlight w:val="none"/>
        </w:rPr>
      </w:pPr>
      <w:r>
        <w:drawing>
          <wp:anchor distT="0" distB="0" distL="114300" distR="114300" simplePos="0" relativeHeight="251662336" behindDoc="0" locked="0" layoutInCell="1" allowOverlap="1">
            <wp:simplePos x="0" y="0"/>
            <wp:positionH relativeFrom="column">
              <wp:posOffset>0</wp:posOffset>
            </wp:positionH>
            <wp:positionV relativeFrom="paragraph">
              <wp:posOffset>41910</wp:posOffset>
            </wp:positionV>
            <wp:extent cx="5556250" cy="7736840"/>
            <wp:effectExtent l="0" t="0" r="6350" b="16510"/>
            <wp:wrapSquare wrapText="bothSides"/>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5556250" cy="7736840"/>
                    </a:xfrm>
                    <a:prstGeom prst="rect">
                      <a:avLst/>
                    </a:prstGeom>
                    <a:noFill/>
                    <a:ln>
                      <a:noFill/>
                    </a:ln>
                  </pic:spPr>
                </pic:pic>
              </a:graphicData>
            </a:graphic>
          </wp:anchor>
        </w:drawing>
      </w:r>
    </w:p>
    <w:p>
      <w:pPr>
        <w:rPr>
          <w:highlight w:val="none"/>
        </w:rPr>
      </w:pPr>
      <w:r>
        <w:drawing>
          <wp:anchor distT="0" distB="0" distL="114300" distR="114300" simplePos="0" relativeHeight="251663360" behindDoc="0" locked="0" layoutInCell="1" allowOverlap="1">
            <wp:simplePos x="0" y="0"/>
            <wp:positionH relativeFrom="column">
              <wp:posOffset>-9525</wp:posOffset>
            </wp:positionH>
            <wp:positionV relativeFrom="page">
              <wp:posOffset>990600</wp:posOffset>
            </wp:positionV>
            <wp:extent cx="5266690" cy="9554845"/>
            <wp:effectExtent l="0" t="0" r="10160" b="8255"/>
            <wp:wrapSquare wrapText="bothSides"/>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5266690" cy="9554845"/>
                    </a:xfrm>
                    <a:prstGeom prst="rect">
                      <a:avLst/>
                    </a:prstGeom>
                    <a:noFill/>
                    <a:ln>
                      <a:noFill/>
                    </a:ln>
                  </pic:spPr>
                </pic:pic>
              </a:graphicData>
            </a:graphic>
          </wp:anchor>
        </w:drawing>
      </w:r>
    </w:p>
    <w:p>
      <w:pPr>
        <w:pStyle w:val="2"/>
        <w:jc w:val="left"/>
        <w:rPr>
          <w:rFonts w:hint="eastAsia"/>
          <w:highlight w:val="none"/>
          <w:lang w:eastAsia="zh-CN"/>
        </w:rPr>
        <w:sectPr>
          <w:pgSz w:w="11906" w:h="16838"/>
          <w:pgMar w:top="1440" w:right="1800" w:bottom="1440" w:left="1800" w:header="851" w:footer="992" w:gutter="0"/>
          <w:cols w:space="720" w:num="1"/>
          <w:docGrid w:type="lines" w:linePitch="312" w:charSpace="0"/>
        </w:sectPr>
      </w:pPr>
    </w:p>
    <w:p>
      <w:pPr>
        <w:ind w:left="-199" w:leftChars="-95" w:firstLine="0" w:firstLineChars="0"/>
        <w:jc w:val="center"/>
        <w:rPr>
          <w:rFonts w:hint="eastAsia"/>
          <w:lang w:eastAsia="zh-CN"/>
        </w:rPr>
      </w:pPr>
      <w:r>
        <w:drawing>
          <wp:anchor distT="0" distB="0" distL="114300" distR="114300" simplePos="0" relativeHeight="251665408" behindDoc="0" locked="0" layoutInCell="1" allowOverlap="1">
            <wp:simplePos x="0" y="0"/>
            <wp:positionH relativeFrom="column">
              <wp:posOffset>-67945</wp:posOffset>
            </wp:positionH>
            <wp:positionV relativeFrom="paragraph">
              <wp:posOffset>-520065</wp:posOffset>
            </wp:positionV>
            <wp:extent cx="5393055" cy="9171940"/>
            <wp:effectExtent l="0" t="0" r="17145" b="10160"/>
            <wp:wrapSquare wrapText="bothSides"/>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1"/>
                    <a:stretch>
                      <a:fillRect/>
                    </a:stretch>
                  </pic:blipFill>
                  <pic:spPr>
                    <a:xfrm>
                      <a:off x="0" y="0"/>
                      <a:ext cx="5393055" cy="9171940"/>
                    </a:xfrm>
                    <a:prstGeom prst="rect">
                      <a:avLst/>
                    </a:prstGeom>
                    <a:noFill/>
                    <a:ln>
                      <a:noFill/>
                    </a:ln>
                  </pic:spPr>
                </pic:pic>
              </a:graphicData>
            </a:graphic>
          </wp:anchor>
        </w:drawing>
      </w:r>
    </w:p>
    <w:p>
      <w:pPr>
        <w:pStyle w:val="2"/>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6432" behindDoc="0" locked="0" layoutInCell="1" allowOverlap="1">
            <wp:simplePos x="0" y="0"/>
            <wp:positionH relativeFrom="column">
              <wp:posOffset>-142875</wp:posOffset>
            </wp:positionH>
            <wp:positionV relativeFrom="paragraph">
              <wp:posOffset>243840</wp:posOffset>
            </wp:positionV>
            <wp:extent cx="5803265" cy="2453005"/>
            <wp:effectExtent l="0" t="0" r="6985" b="4445"/>
            <wp:wrapSquare wrapText="bothSides"/>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2"/>
                    <a:stretch>
                      <a:fillRect/>
                    </a:stretch>
                  </pic:blipFill>
                  <pic:spPr>
                    <a:xfrm>
                      <a:off x="0" y="0"/>
                      <a:ext cx="5803265" cy="2453005"/>
                    </a:xfrm>
                    <a:prstGeom prst="rect">
                      <a:avLst/>
                    </a:prstGeom>
                    <a:noFill/>
                    <a:ln>
                      <a:noFill/>
                    </a:ln>
                  </pic:spPr>
                </pic:pic>
              </a:graphicData>
            </a:graphic>
          </wp:anchor>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ind w:left="-420" w:leftChars="-200" w:firstLine="0" w:firstLineChars="0"/>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drawing>
          <wp:anchor distT="0" distB="0" distL="114300" distR="114300" simplePos="0" relativeHeight="251664384" behindDoc="0" locked="0" layoutInCell="1" allowOverlap="1">
            <wp:simplePos x="0" y="0"/>
            <wp:positionH relativeFrom="column">
              <wp:posOffset>-83820</wp:posOffset>
            </wp:positionH>
            <wp:positionV relativeFrom="page">
              <wp:posOffset>603885</wp:posOffset>
            </wp:positionV>
            <wp:extent cx="5848985" cy="2988310"/>
            <wp:effectExtent l="0" t="0" r="18415" b="2540"/>
            <wp:wrapSquare wrapText="bothSides"/>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5848985" cy="2988310"/>
                    </a:xfrm>
                    <a:prstGeom prst="rect">
                      <a:avLst/>
                    </a:prstGeom>
                    <a:noFill/>
                    <a:ln>
                      <a:noFill/>
                    </a:ln>
                  </pic:spPr>
                </pic:pic>
              </a:graphicData>
            </a:graphic>
          </wp:anchor>
        </w:drawing>
      </w:r>
    </w:p>
    <w:p>
      <w:pPr>
        <w:rPr>
          <w:rFonts w:hint="eastAsia"/>
          <w:lang w:eastAsia="zh-CN"/>
        </w:rPr>
      </w:pPr>
    </w:p>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r>
        <w:drawing>
          <wp:inline distT="0" distB="0" distL="114300" distR="114300">
            <wp:extent cx="5276850" cy="253365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4"/>
                    <a:stretch>
                      <a:fillRect/>
                    </a:stretch>
                  </pic:blipFill>
                  <pic:spPr>
                    <a:xfrm>
                      <a:off x="0" y="0"/>
                      <a:ext cx="5276850" cy="2533650"/>
                    </a:xfrm>
                    <a:prstGeom prst="rect">
                      <a:avLst/>
                    </a:prstGeom>
                    <a:noFill/>
                    <a:ln>
                      <a:noFill/>
                    </a:ln>
                  </pic:spPr>
                </pic:pic>
              </a:graphicData>
            </a:graphic>
          </wp:inline>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jc w:val="both"/>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p>
      <w:pPr>
        <w:rPr>
          <w:rFonts w:hint="eastAsia"/>
          <w:lang w:eastAsia="zh-CN"/>
        </w:rPr>
      </w:pPr>
    </w:p>
    <w:sectPr>
      <w:pgSz w:w="11906" w:h="16838"/>
      <w:pgMar w:top="1440" w:right="1800" w:bottom="1440" w:left="16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7FB28524"/>
    <w:multiLevelType w:val="singleLevel"/>
    <w:tmpl w:val="7FB2852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jZDkzNDQ4NTc2YzZkMWRmMjYwMjhkYzI4NjdmYTYifQ=="/>
    <w:docVar w:name="KSO_WPS_MARK_KEY" w:val="41ee2a61-2d54-4f93-83be-afdb9a40d732"/>
  </w:docVars>
  <w:rsids>
    <w:rsidRoot w:val="00000000"/>
    <w:rsid w:val="00213C59"/>
    <w:rsid w:val="003210CE"/>
    <w:rsid w:val="00B70D59"/>
    <w:rsid w:val="00F52A8D"/>
    <w:rsid w:val="00FE4037"/>
    <w:rsid w:val="019404F8"/>
    <w:rsid w:val="02BD3108"/>
    <w:rsid w:val="02F73D26"/>
    <w:rsid w:val="033F2C84"/>
    <w:rsid w:val="034D4FEF"/>
    <w:rsid w:val="035D1785"/>
    <w:rsid w:val="039F47CE"/>
    <w:rsid w:val="03E05CE8"/>
    <w:rsid w:val="03F90AE6"/>
    <w:rsid w:val="03F973EE"/>
    <w:rsid w:val="043E5B56"/>
    <w:rsid w:val="04695C6C"/>
    <w:rsid w:val="04C04386"/>
    <w:rsid w:val="04FA68C4"/>
    <w:rsid w:val="053F5AE6"/>
    <w:rsid w:val="057C0B0F"/>
    <w:rsid w:val="05EF4B48"/>
    <w:rsid w:val="05F76ECA"/>
    <w:rsid w:val="06792773"/>
    <w:rsid w:val="06FC45A4"/>
    <w:rsid w:val="07093795"/>
    <w:rsid w:val="07804730"/>
    <w:rsid w:val="079052BE"/>
    <w:rsid w:val="08145C21"/>
    <w:rsid w:val="08422688"/>
    <w:rsid w:val="085854ED"/>
    <w:rsid w:val="0879188F"/>
    <w:rsid w:val="08A0354D"/>
    <w:rsid w:val="08CD4C49"/>
    <w:rsid w:val="09114954"/>
    <w:rsid w:val="095A5B83"/>
    <w:rsid w:val="096466E3"/>
    <w:rsid w:val="09647B1F"/>
    <w:rsid w:val="0968304D"/>
    <w:rsid w:val="09AF3D17"/>
    <w:rsid w:val="09C31AC2"/>
    <w:rsid w:val="0A5371A2"/>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E545B5"/>
    <w:rsid w:val="0E640559"/>
    <w:rsid w:val="0F1113DA"/>
    <w:rsid w:val="0F78534A"/>
    <w:rsid w:val="0F89358A"/>
    <w:rsid w:val="0F8C6D51"/>
    <w:rsid w:val="105B0B5E"/>
    <w:rsid w:val="109C2F25"/>
    <w:rsid w:val="10BD3C0C"/>
    <w:rsid w:val="10EB52E5"/>
    <w:rsid w:val="11162CD7"/>
    <w:rsid w:val="112E58D0"/>
    <w:rsid w:val="11731CAC"/>
    <w:rsid w:val="119500A0"/>
    <w:rsid w:val="11C0733B"/>
    <w:rsid w:val="11D50D17"/>
    <w:rsid w:val="120E0809"/>
    <w:rsid w:val="12290852"/>
    <w:rsid w:val="127F665A"/>
    <w:rsid w:val="12F7068C"/>
    <w:rsid w:val="1319085D"/>
    <w:rsid w:val="1351449B"/>
    <w:rsid w:val="13A46194"/>
    <w:rsid w:val="14207DC0"/>
    <w:rsid w:val="14B932DA"/>
    <w:rsid w:val="150A66AF"/>
    <w:rsid w:val="153E30BC"/>
    <w:rsid w:val="154C1139"/>
    <w:rsid w:val="158C5B77"/>
    <w:rsid w:val="160D1149"/>
    <w:rsid w:val="163563C0"/>
    <w:rsid w:val="164315EF"/>
    <w:rsid w:val="16557DFE"/>
    <w:rsid w:val="167268FB"/>
    <w:rsid w:val="16770D0A"/>
    <w:rsid w:val="16D50C50"/>
    <w:rsid w:val="16E120E1"/>
    <w:rsid w:val="17385A05"/>
    <w:rsid w:val="173B3901"/>
    <w:rsid w:val="176747F9"/>
    <w:rsid w:val="176F4099"/>
    <w:rsid w:val="17954A6E"/>
    <w:rsid w:val="180059E9"/>
    <w:rsid w:val="183B2F8D"/>
    <w:rsid w:val="184510FD"/>
    <w:rsid w:val="190648B0"/>
    <w:rsid w:val="19071D6C"/>
    <w:rsid w:val="191B6B9C"/>
    <w:rsid w:val="19BE215E"/>
    <w:rsid w:val="19D26CD4"/>
    <w:rsid w:val="19E60D19"/>
    <w:rsid w:val="19ED66F3"/>
    <w:rsid w:val="1A3E3450"/>
    <w:rsid w:val="1A3F504D"/>
    <w:rsid w:val="1AD807E5"/>
    <w:rsid w:val="1AED4AA9"/>
    <w:rsid w:val="1B39345B"/>
    <w:rsid w:val="1BE560E6"/>
    <w:rsid w:val="1BFB2A1F"/>
    <w:rsid w:val="1C015D4A"/>
    <w:rsid w:val="1C290ED5"/>
    <w:rsid w:val="1C317E4F"/>
    <w:rsid w:val="1C3D6093"/>
    <w:rsid w:val="1C472464"/>
    <w:rsid w:val="1CAF7C8E"/>
    <w:rsid w:val="1D22799A"/>
    <w:rsid w:val="1D5C1A72"/>
    <w:rsid w:val="1DAF458D"/>
    <w:rsid w:val="1DBD6AE3"/>
    <w:rsid w:val="1E086ACE"/>
    <w:rsid w:val="1E390005"/>
    <w:rsid w:val="1E62130A"/>
    <w:rsid w:val="1E97358B"/>
    <w:rsid w:val="1EAA4A5F"/>
    <w:rsid w:val="1EAC0948"/>
    <w:rsid w:val="1EE869A7"/>
    <w:rsid w:val="1FA15E62"/>
    <w:rsid w:val="1FED69B6"/>
    <w:rsid w:val="2064678E"/>
    <w:rsid w:val="209E7A53"/>
    <w:rsid w:val="20AB70BB"/>
    <w:rsid w:val="20DC1AB9"/>
    <w:rsid w:val="20DD6197"/>
    <w:rsid w:val="212631E0"/>
    <w:rsid w:val="2159131F"/>
    <w:rsid w:val="217F0FF9"/>
    <w:rsid w:val="21A53757"/>
    <w:rsid w:val="221236C6"/>
    <w:rsid w:val="225F3847"/>
    <w:rsid w:val="22D7662C"/>
    <w:rsid w:val="23326B7F"/>
    <w:rsid w:val="233C658A"/>
    <w:rsid w:val="2380045B"/>
    <w:rsid w:val="23BC04D2"/>
    <w:rsid w:val="23C70182"/>
    <w:rsid w:val="23EF1892"/>
    <w:rsid w:val="244F6904"/>
    <w:rsid w:val="246456B0"/>
    <w:rsid w:val="2483647E"/>
    <w:rsid w:val="24A32D55"/>
    <w:rsid w:val="25292727"/>
    <w:rsid w:val="252A06A8"/>
    <w:rsid w:val="252E5CA9"/>
    <w:rsid w:val="256F7692"/>
    <w:rsid w:val="25BA2154"/>
    <w:rsid w:val="25C8773F"/>
    <w:rsid w:val="264A7253"/>
    <w:rsid w:val="26EA4592"/>
    <w:rsid w:val="26F0170C"/>
    <w:rsid w:val="271E248E"/>
    <w:rsid w:val="27201D62"/>
    <w:rsid w:val="27286E73"/>
    <w:rsid w:val="276B4C29"/>
    <w:rsid w:val="27B70919"/>
    <w:rsid w:val="27CF2642"/>
    <w:rsid w:val="27E777F5"/>
    <w:rsid w:val="27EA1D4C"/>
    <w:rsid w:val="27EA2E41"/>
    <w:rsid w:val="282459E2"/>
    <w:rsid w:val="283A7FE5"/>
    <w:rsid w:val="285F51FF"/>
    <w:rsid w:val="28DF2665"/>
    <w:rsid w:val="29072599"/>
    <w:rsid w:val="291029F3"/>
    <w:rsid w:val="29613FA7"/>
    <w:rsid w:val="297C1CC6"/>
    <w:rsid w:val="29A21154"/>
    <w:rsid w:val="29CB58F0"/>
    <w:rsid w:val="2A053397"/>
    <w:rsid w:val="2A145E96"/>
    <w:rsid w:val="2A2131BB"/>
    <w:rsid w:val="2A733891"/>
    <w:rsid w:val="2A9A007E"/>
    <w:rsid w:val="2AF5378F"/>
    <w:rsid w:val="2B4816BD"/>
    <w:rsid w:val="2B807867"/>
    <w:rsid w:val="2B876854"/>
    <w:rsid w:val="2BB94DBF"/>
    <w:rsid w:val="2BD855EA"/>
    <w:rsid w:val="2BE9306B"/>
    <w:rsid w:val="2C1125C1"/>
    <w:rsid w:val="2C6F314E"/>
    <w:rsid w:val="2CC206BE"/>
    <w:rsid w:val="2CD97FB5"/>
    <w:rsid w:val="2D1136DF"/>
    <w:rsid w:val="2D20606D"/>
    <w:rsid w:val="2DB87198"/>
    <w:rsid w:val="2DB93C54"/>
    <w:rsid w:val="2E3D144C"/>
    <w:rsid w:val="2E891204"/>
    <w:rsid w:val="2F3F0A28"/>
    <w:rsid w:val="2FBF7029"/>
    <w:rsid w:val="2FD0187F"/>
    <w:rsid w:val="2FD27414"/>
    <w:rsid w:val="2FFE4BB0"/>
    <w:rsid w:val="300E7B60"/>
    <w:rsid w:val="300F6E18"/>
    <w:rsid w:val="306862A6"/>
    <w:rsid w:val="30862F5F"/>
    <w:rsid w:val="314029C9"/>
    <w:rsid w:val="31C63837"/>
    <w:rsid w:val="31C82E39"/>
    <w:rsid w:val="32601BAD"/>
    <w:rsid w:val="329F6389"/>
    <w:rsid w:val="33715667"/>
    <w:rsid w:val="3389023A"/>
    <w:rsid w:val="339F04D6"/>
    <w:rsid w:val="33CB74FA"/>
    <w:rsid w:val="343642F2"/>
    <w:rsid w:val="343F3010"/>
    <w:rsid w:val="345D0A00"/>
    <w:rsid w:val="34713BFD"/>
    <w:rsid w:val="34A9783B"/>
    <w:rsid w:val="34C13589"/>
    <w:rsid w:val="34C871C8"/>
    <w:rsid w:val="353369E3"/>
    <w:rsid w:val="35C64805"/>
    <w:rsid w:val="35E00D72"/>
    <w:rsid w:val="3692068D"/>
    <w:rsid w:val="36965B9D"/>
    <w:rsid w:val="36A94734"/>
    <w:rsid w:val="36C549FD"/>
    <w:rsid w:val="36EC1C61"/>
    <w:rsid w:val="370A2B55"/>
    <w:rsid w:val="3727713D"/>
    <w:rsid w:val="37A755DD"/>
    <w:rsid w:val="37F94FA0"/>
    <w:rsid w:val="380D3381"/>
    <w:rsid w:val="38115B1F"/>
    <w:rsid w:val="385E3AC3"/>
    <w:rsid w:val="387D6B9E"/>
    <w:rsid w:val="389D25B4"/>
    <w:rsid w:val="38B75FF0"/>
    <w:rsid w:val="38D45016"/>
    <w:rsid w:val="38D90432"/>
    <w:rsid w:val="3914510A"/>
    <w:rsid w:val="3926770B"/>
    <w:rsid w:val="395A7356"/>
    <w:rsid w:val="3971644D"/>
    <w:rsid w:val="398D3668"/>
    <w:rsid w:val="39DA0497"/>
    <w:rsid w:val="3A101AA6"/>
    <w:rsid w:val="3A893816"/>
    <w:rsid w:val="3A893B6D"/>
    <w:rsid w:val="3AD1763A"/>
    <w:rsid w:val="3B6716E3"/>
    <w:rsid w:val="3B6C6B2D"/>
    <w:rsid w:val="3BA93F7C"/>
    <w:rsid w:val="3C242659"/>
    <w:rsid w:val="3C3A7453"/>
    <w:rsid w:val="3C96719C"/>
    <w:rsid w:val="3CA72BE8"/>
    <w:rsid w:val="3CDE2764"/>
    <w:rsid w:val="3CF37F8C"/>
    <w:rsid w:val="3CFF3643"/>
    <w:rsid w:val="3D004ACE"/>
    <w:rsid w:val="3D137554"/>
    <w:rsid w:val="3D5275AC"/>
    <w:rsid w:val="3DCC2473"/>
    <w:rsid w:val="3DD619C3"/>
    <w:rsid w:val="3DEB0883"/>
    <w:rsid w:val="3E2527BF"/>
    <w:rsid w:val="3E5F71BC"/>
    <w:rsid w:val="3E731662"/>
    <w:rsid w:val="3E8168DD"/>
    <w:rsid w:val="3E94360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4D5EC6"/>
    <w:rsid w:val="417C1CE7"/>
    <w:rsid w:val="41900018"/>
    <w:rsid w:val="41944406"/>
    <w:rsid w:val="41CE128F"/>
    <w:rsid w:val="41DA04FC"/>
    <w:rsid w:val="41DA6F12"/>
    <w:rsid w:val="41EC723E"/>
    <w:rsid w:val="42171FB1"/>
    <w:rsid w:val="421D6E1C"/>
    <w:rsid w:val="42834B2B"/>
    <w:rsid w:val="434E6957"/>
    <w:rsid w:val="43BA0E31"/>
    <w:rsid w:val="43C15147"/>
    <w:rsid w:val="43E14DD2"/>
    <w:rsid w:val="43F800E9"/>
    <w:rsid w:val="443A7E4B"/>
    <w:rsid w:val="447D2BAF"/>
    <w:rsid w:val="44EB44DC"/>
    <w:rsid w:val="452F5B3A"/>
    <w:rsid w:val="454E7FD2"/>
    <w:rsid w:val="45C96089"/>
    <w:rsid w:val="46061BDC"/>
    <w:rsid w:val="461404F8"/>
    <w:rsid w:val="46413018"/>
    <w:rsid w:val="464B7E04"/>
    <w:rsid w:val="468041AA"/>
    <w:rsid w:val="468123C6"/>
    <w:rsid w:val="46901EEE"/>
    <w:rsid w:val="469C74D2"/>
    <w:rsid w:val="4703038E"/>
    <w:rsid w:val="47240977"/>
    <w:rsid w:val="47445515"/>
    <w:rsid w:val="474B4782"/>
    <w:rsid w:val="47D90D14"/>
    <w:rsid w:val="48387FB0"/>
    <w:rsid w:val="483A6114"/>
    <w:rsid w:val="488727DB"/>
    <w:rsid w:val="48B82268"/>
    <w:rsid w:val="48C354B3"/>
    <w:rsid w:val="48D1386D"/>
    <w:rsid w:val="492C30FE"/>
    <w:rsid w:val="493D58B5"/>
    <w:rsid w:val="494A7A04"/>
    <w:rsid w:val="4A0A26D2"/>
    <w:rsid w:val="4A2019A5"/>
    <w:rsid w:val="4A241A0B"/>
    <w:rsid w:val="4A7B2875"/>
    <w:rsid w:val="4A934476"/>
    <w:rsid w:val="4AAA220A"/>
    <w:rsid w:val="4AE12E67"/>
    <w:rsid w:val="4B4C0111"/>
    <w:rsid w:val="4B8553A9"/>
    <w:rsid w:val="4BA86AA7"/>
    <w:rsid w:val="4BDB3730"/>
    <w:rsid w:val="4C200F7A"/>
    <w:rsid w:val="4C3103EA"/>
    <w:rsid w:val="4C4A7B25"/>
    <w:rsid w:val="4CDB0F05"/>
    <w:rsid w:val="4CEE3180"/>
    <w:rsid w:val="4D0F4AF6"/>
    <w:rsid w:val="4DF94F37"/>
    <w:rsid w:val="4E0A1DD5"/>
    <w:rsid w:val="4E3160E5"/>
    <w:rsid w:val="4E4D37AF"/>
    <w:rsid w:val="4E8C6496"/>
    <w:rsid w:val="4EFD18DE"/>
    <w:rsid w:val="4F144236"/>
    <w:rsid w:val="4F663C87"/>
    <w:rsid w:val="4F7E29A8"/>
    <w:rsid w:val="4F9E1FFC"/>
    <w:rsid w:val="50447CC2"/>
    <w:rsid w:val="50597F0F"/>
    <w:rsid w:val="50874A7C"/>
    <w:rsid w:val="50895EE7"/>
    <w:rsid w:val="50921B9D"/>
    <w:rsid w:val="50D16158"/>
    <w:rsid w:val="50DB5F45"/>
    <w:rsid w:val="51025EB1"/>
    <w:rsid w:val="51141503"/>
    <w:rsid w:val="518D0ED5"/>
    <w:rsid w:val="525C687F"/>
    <w:rsid w:val="52E361B6"/>
    <w:rsid w:val="52F647F7"/>
    <w:rsid w:val="52F92565"/>
    <w:rsid w:val="53D03877"/>
    <w:rsid w:val="542F73CA"/>
    <w:rsid w:val="5430786D"/>
    <w:rsid w:val="54C811C0"/>
    <w:rsid w:val="5535577F"/>
    <w:rsid w:val="556A442D"/>
    <w:rsid w:val="55832C7D"/>
    <w:rsid w:val="55DA564E"/>
    <w:rsid w:val="55F45ECA"/>
    <w:rsid w:val="5604127D"/>
    <w:rsid w:val="56043C54"/>
    <w:rsid w:val="56166703"/>
    <w:rsid w:val="562C1C22"/>
    <w:rsid w:val="56510474"/>
    <w:rsid w:val="56821B71"/>
    <w:rsid w:val="56861525"/>
    <w:rsid w:val="56A93273"/>
    <w:rsid w:val="56BD550C"/>
    <w:rsid w:val="56E07045"/>
    <w:rsid w:val="56FF28AF"/>
    <w:rsid w:val="573970C8"/>
    <w:rsid w:val="57540E7D"/>
    <w:rsid w:val="57581E2E"/>
    <w:rsid w:val="577B4878"/>
    <w:rsid w:val="577E0C68"/>
    <w:rsid w:val="57926973"/>
    <w:rsid w:val="58175352"/>
    <w:rsid w:val="581F2200"/>
    <w:rsid w:val="583059FA"/>
    <w:rsid w:val="584A0929"/>
    <w:rsid w:val="58991F9C"/>
    <w:rsid w:val="58B77EC9"/>
    <w:rsid w:val="58CD2491"/>
    <w:rsid w:val="591B41B2"/>
    <w:rsid w:val="59254A26"/>
    <w:rsid w:val="59326325"/>
    <w:rsid w:val="595C505B"/>
    <w:rsid w:val="595E55C3"/>
    <w:rsid w:val="596E7E20"/>
    <w:rsid w:val="59AF1369"/>
    <w:rsid w:val="59DD0B9A"/>
    <w:rsid w:val="5A60780B"/>
    <w:rsid w:val="5AB34579"/>
    <w:rsid w:val="5AFC6609"/>
    <w:rsid w:val="5B113480"/>
    <w:rsid w:val="5B31504B"/>
    <w:rsid w:val="5BD456CE"/>
    <w:rsid w:val="5BE2525D"/>
    <w:rsid w:val="5C0D1F49"/>
    <w:rsid w:val="5CBB0CE2"/>
    <w:rsid w:val="5CC17177"/>
    <w:rsid w:val="5CE84AF5"/>
    <w:rsid w:val="5CF306BC"/>
    <w:rsid w:val="5D3F3D64"/>
    <w:rsid w:val="5D833043"/>
    <w:rsid w:val="5DD92690"/>
    <w:rsid w:val="5DDB1CFD"/>
    <w:rsid w:val="5E0143DE"/>
    <w:rsid w:val="5E47584B"/>
    <w:rsid w:val="5E7E6D93"/>
    <w:rsid w:val="5EC21376"/>
    <w:rsid w:val="5ED44800"/>
    <w:rsid w:val="5F350BDE"/>
    <w:rsid w:val="5F61632C"/>
    <w:rsid w:val="5F953E78"/>
    <w:rsid w:val="5FA17648"/>
    <w:rsid w:val="5FE705CB"/>
    <w:rsid w:val="603D5080"/>
    <w:rsid w:val="60D0261B"/>
    <w:rsid w:val="612C0D28"/>
    <w:rsid w:val="616E2050"/>
    <w:rsid w:val="618E3791"/>
    <w:rsid w:val="61947DCA"/>
    <w:rsid w:val="61A46A97"/>
    <w:rsid w:val="61D1382F"/>
    <w:rsid w:val="61F114A2"/>
    <w:rsid w:val="62512BB4"/>
    <w:rsid w:val="625D7D1A"/>
    <w:rsid w:val="62DD7D21"/>
    <w:rsid w:val="62F67840"/>
    <w:rsid w:val="630857B0"/>
    <w:rsid w:val="632223E3"/>
    <w:rsid w:val="637D586B"/>
    <w:rsid w:val="63A5560B"/>
    <w:rsid w:val="63E9091F"/>
    <w:rsid w:val="64322AF9"/>
    <w:rsid w:val="649811BF"/>
    <w:rsid w:val="64D6010D"/>
    <w:rsid w:val="64D82665"/>
    <w:rsid w:val="64E47C96"/>
    <w:rsid w:val="64EF1F98"/>
    <w:rsid w:val="6500276E"/>
    <w:rsid w:val="651E5741"/>
    <w:rsid w:val="658A4877"/>
    <w:rsid w:val="65A00902"/>
    <w:rsid w:val="65AC6EDD"/>
    <w:rsid w:val="65D97752"/>
    <w:rsid w:val="66085536"/>
    <w:rsid w:val="66105BF7"/>
    <w:rsid w:val="66150023"/>
    <w:rsid w:val="6628010D"/>
    <w:rsid w:val="669B4528"/>
    <w:rsid w:val="66CC12D7"/>
    <w:rsid w:val="67134CEF"/>
    <w:rsid w:val="67164516"/>
    <w:rsid w:val="671F1ABD"/>
    <w:rsid w:val="672C1A82"/>
    <w:rsid w:val="673F17B5"/>
    <w:rsid w:val="67521A59"/>
    <w:rsid w:val="67C304AB"/>
    <w:rsid w:val="67E660D5"/>
    <w:rsid w:val="67EE0DB3"/>
    <w:rsid w:val="683926A8"/>
    <w:rsid w:val="683F0658"/>
    <w:rsid w:val="689C6793"/>
    <w:rsid w:val="68DB0208"/>
    <w:rsid w:val="68FB170C"/>
    <w:rsid w:val="691B3D98"/>
    <w:rsid w:val="693748F0"/>
    <w:rsid w:val="69846A0E"/>
    <w:rsid w:val="69AD798C"/>
    <w:rsid w:val="69D005C0"/>
    <w:rsid w:val="69D80B96"/>
    <w:rsid w:val="69E517FE"/>
    <w:rsid w:val="6A266E9A"/>
    <w:rsid w:val="6A8B3CB8"/>
    <w:rsid w:val="6B68175F"/>
    <w:rsid w:val="6BFD799F"/>
    <w:rsid w:val="6C4A2E5A"/>
    <w:rsid w:val="6C8138D0"/>
    <w:rsid w:val="6CEF0725"/>
    <w:rsid w:val="6D4B2604"/>
    <w:rsid w:val="6D8030E4"/>
    <w:rsid w:val="6D825028"/>
    <w:rsid w:val="6DA120CA"/>
    <w:rsid w:val="6E0E35C4"/>
    <w:rsid w:val="6E0F7A08"/>
    <w:rsid w:val="6E3947F5"/>
    <w:rsid w:val="6E9C74ED"/>
    <w:rsid w:val="6EF72976"/>
    <w:rsid w:val="6F575204"/>
    <w:rsid w:val="6F795A80"/>
    <w:rsid w:val="6F7C1D2E"/>
    <w:rsid w:val="6F8E0407"/>
    <w:rsid w:val="6FCC72B0"/>
    <w:rsid w:val="6FDD069F"/>
    <w:rsid w:val="702B4D16"/>
    <w:rsid w:val="70744BD6"/>
    <w:rsid w:val="70AA6621"/>
    <w:rsid w:val="70C109BB"/>
    <w:rsid w:val="70C34E17"/>
    <w:rsid w:val="70CE3BAA"/>
    <w:rsid w:val="70E84C6C"/>
    <w:rsid w:val="7111480F"/>
    <w:rsid w:val="71261F49"/>
    <w:rsid w:val="712E6956"/>
    <w:rsid w:val="71473612"/>
    <w:rsid w:val="71504F32"/>
    <w:rsid w:val="7152309F"/>
    <w:rsid w:val="71526589"/>
    <w:rsid w:val="718F7F65"/>
    <w:rsid w:val="7239631E"/>
    <w:rsid w:val="727B234E"/>
    <w:rsid w:val="72D068C7"/>
    <w:rsid w:val="72E42ED8"/>
    <w:rsid w:val="735F4CB9"/>
    <w:rsid w:val="73674C62"/>
    <w:rsid w:val="73845865"/>
    <w:rsid w:val="739B6D9E"/>
    <w:rsid w:val="73BC1D76"/>
    <w:rsid w:val="73CC2227"/>
    <w:rsid w:val="73FB6630"/>
    <w:rsid w:val="748D790E"/>
    <w:rsid w:val="74903706"/>
    <w:rsid w:val="749820CC"/>
    <w:rsid w:val="74CE04EC"/>
    <w:rsid w:val="74D6302D"/>
    <w:rsid w:val="74E76DCD"/>
    <w:rsid w:val="751D7C0A"/>
    <w:rsid w:val="75722D56"/>
    <w:rsid w:val="75DB5477"/>
    <w:rsid w:val="75FC6AC3"/>
    <w:rsid w:val="7616619B"/>
    <w:rsid w:val="76660D7C"/>
    <w:rsid w:val="766C5968"/>
    <w:rsid w:val="76A1477D"/>
    <w:rsid w:val="76BE0C8F"/>
    <w:rsid w:val="76CD53B2"/>
    <w:rsid w:val="770719AC"/>
    <w:rsid w:val="77324E93"/>
    <w:rsid w:val="776526CC"/>
    <w:rsid w:val="77A262E1"/>
    <w:rsid w:val="77B13C33"/>
    <w:rsid w:val="77ED6F44"/>
    <w:rsid w:val="77F45548"/>
    <w:rsid w:val="784E7CA6"/>
    <w:rsid w:val="78574801"/>
    <w:rsid w:val="78722878"/>
    <w:rsid w:val="7873527F"/>
    <w:rsid w:val="790A6425"/>
    <w:rsid w:val="790E2D96"/>
    <w:rsid w:val="791B54B2"/>
    <w:rsid w:val="795A0A34"/>
    <w:rsid w:val="797339C3"/>
    <w:rsid w:val="79915276"/>
    <w:rsid w:val="79C42803"/>
    <w:rsid w:val="79D57D57"/>
    <w:rsid w:val="79F00650"/>
    <w:rsid w:val="7A6242BF"/>
    <w:rsid w:val="7A794513"/>
    <w:rsid w:val="7AE952D2"/>
    <w:rsid w:val="7B0E1773"/>
    <w:rsid w:val="7B5C1C2C"/>
    <w:rsid w:val="7C3010FD"/>
    <w:rsid w:val="7C7248A0"/>
    <w:rsid w:val="7C976D69"/>
    <w:rsid w:val="7CD752DA"/>
    <w:rsid w:val="7CDE40AB"/>
    <w:rsid w:val="7CF057E2"/>
    <w:rsid w:val="7D1548B5"/>
    <w:rsid w:val="7D931F8B"/>
    <w:rsid w:val="7DF84014"/>
    <w:rsid w:val="7E207949"/>
    <w:rsid w:val="7E5C0A47"/>
    <w:rsid w:val="7E670C75"/>
    <w:rsid w:val="7EE24272"/>
    <w:rsid w:val="7EEA6053"/>
    <w:rsid w:val="7F487C04"/>
    <w:rsid w:val="7FB45F21"/>
    <w:rsid w:val="7FE57088"/>
    <w:rsid w:val="7FF37FA3"/>
    <w:rsid w:val="7FFC28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ind w:firstLine="0" w:firstLineChars="0"/>
      <w:jc w:val="center"/>
      <w:outlineLvl w:val="0"/>
    </w:pPr>
    <w:rPr>
      <w:rFonts w:ascii="Cambria" w:hAnsi="Cambria" w:eastAsia="方正黑体_GBK" w:cs="Times New Roman"/>
      <w:b/>
      <w:bCs/>
      <w:kern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9922</Words>
  <Characters>11282</Characters>
  <Lines>0</Lines>
  <Paragraphs>0</Paragraphs>
  <TotalTime>7</TotalTime>
  <ScaleCrop>false</ScaleCrop>
  <LinksUpToDate>false</LinksUpToDate>
  <CharactersWithSpaces>11337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2024-08-23T03:25:00Z</cp:lastPrinted>
  <dcterms:modified xsi:type="dcterms:W3CDTF">2025-03-26T10:10:17Z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