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黑体" w:hAnsi="黑体" w:eastAsia="黑体"/>
          <w:sz w:val="32"/>
          <w:szCs w:val="32"/>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r>
        <w:rPr>
          <w:rFonts w:hint="eastAsia" w:ascii="方正小标宋_GBK" w:hAnsi="宋体" w:eastAsia="方正小标宋_GBK"/>
          <w:sz w:val="44"/>
          <w:szCs w:val="44"/>
        </w:rPr>
        <w:t>库尔勒市和什力克乡人民政府</w:t>
      </w:r>
    </w:p>
    <w:p>
      <w:pPr>
        <w:jc w:val="center"/>
        <w:rPr>
          <w:rFonts w:ascii="方正小标宋_GBK" w:hAnsi="宋体" w:eastAsia="方正小标宋_GBK"/>
          <w:sz w:val="44"/>
          <w:szCs w:val="44"/>
        </w:rPr>
      </w:pPr>
      <w:r>
        <w:rPr>
          <w:rFonts w:hint="eastAsia" w:ascii="方正小标宋_GBK" w:hAnsi="宋体" w:eastAsia="方正小标宋_GBK"/>
          <w:sz w:val="44"/>
          <w:szCs w:val="44"/>
        </w:rPr>
        <w:t xml:space="preserve"> 2023年度部门决算</w:t>
      </w:r>
    </w:p>
    <w:p>
      <w:pPr>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pPr>
        <w:rPr>
          <w:rFonts w:ascii="方正小标宋_GBK" w:hAnsi="宋体" w:eastAsia="方正小标宋_GBK"/>
          <w:sz w:val="44"/>
          <w:szCs w:val="44"/>
        </w:rPr>
      </w:pPr>
      <w:r>
        <w:rPr>
          <w:rFonts w:hint="eastAsia" w:ascii="方正小标宋_GBK" w:hAnsi="宋体" w:eastAsia="方正小标宋_GBK"/>
          <w:sz w:val="44"/>
          <w:szCs w:val="44"/>
        </w:rPr>
        <w:br w:type="page"/>
      </w:r>
    </w:p>
    <w:p>
      <w:pPr>
        <w:jc w:val="center"/>
        <w:rPr>
          <w:rFonts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pPr>
        <w:pStyle w:val="6"/>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 xml:space="preserve">第一部分 </w:t>
      </w:r>
      <w:r>
        <w:rPr>
          <w:rFonts w:hint="eastAsia" w:ascii="仿宋_GB2312" w:hAnsi="仿宋_GB2312" w:eastAsia="仿宋_GB2312" w:cs="仿宋_GB2312"/>
          <w:b/>
          <w:bCs/>
          <w:sz w:val="32"/>
          <w:szCs w:val="32"/>
          <w:lang w:val="en-US" w:eastAsia="zh-CN"/>
        </w:rPr>
        <w:t>部门</w:t>
      </w:r>
      <w:r>
        <w:rPr>
          <w:rFonts w:hint="eastAsia" w:ascii="仿宋_GB2312" w:hAnsi="仿宋_GB2312" w:eastAsia="仿宋_GB2312" w:cs="仿宋_GB2312"/>
          <w:b/>
          <w:bCs/>
          <w:sz w:val="32"/>
          <w:szCs w:val="32"/>
        </w:rPr>
        <w:t>概况</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r>
        <w:rPr>
          <w:rFonts w:hint="eastAsia" w:ascii="仿宋_GB2312" w:hAnsi="仿宋_GB2312" w:eastAsia="仿宋_GB2312" w:cs="仿宋_GB2312"/>
          <w:sz w:val="32"/>
          <w:szCs w:val="32"/>
        </w:rPr>
        <w:fldChar w:fldCharType="end"/>
      </w:r>
    </w:p>
    <w:p>
      <w:pPr>
        <w:rPr>
          <w:rFonts w:ascii="仿宋_GB2312" w:eastAsia="仿宋_GB2312"/>
          <w:sz w:val="32"/>
          <w:szCs w:val="32"/>
        </w:rPr>
      </w:pPr>
      <w:r>
        <w:rPr>
          <w:rFonts w:hint="eastAsia" w:ascii="仿宋_GB2312" w:eastAsia="仿宋_GB2312"/>
          <w:sz w:val="32"/>
          <w:szCs w:val="32"/>
        </w:rPr>
        <w:br w:type="page"/>
      </w:r>
    </w:p>
    <w:p>
      <w:pPr>
        <w:jc w:val="center"/>
        <w:outlineLvl w:val="0"/>
        <w:rPr>
          <w:rFonts w:ascii="黑体" w:hAnsi="黑体" w:eastAsia="黑体"/>
          <w:sz w:val="32"/>
          <w:szCs w:val="32"/>
        </w:rPr>
      </w:pPr>
      <w:bookmarkStart w:id="0" w:name="_Toc24028"/>
      <w:bookmarkStart w:id="1" w:name="_Toc32314"/>
      <w:r>
        <w:rPr>
          <w:rFonts w:hint="eastAsia" w:ascii="黑体" w:hAnsi="黑体" w:eastAsia="黑体"/>
          <w:sz w:val="32"/>
          <w:szCs w:val="32"/>
        </w:rPr>
        <w:t xml:space="preserve">第一部分 </w:t>
      </w:r>
      <w:r>
        <w:rPr>
          <w:rFonts w:hint="eastAsia" w:ascii="黑体" w:hAnsi="黑体" w:eastAsia="黑体"/>
          <w:sz w:val="32"/>
          <w:szCs w:val="32"/>
          <w:lang w:val="en-US" w:eastAsia="zh-CN"/>
        </w:rPr>
        <w:t>部门</w:t>
      </w:r>
      <w:r>
        <w:rPr>
          <w:rFonts w:hint="eastAsia" w:ascii="黑体" w:hAnsi="黑体" w:eastAsia="黑体"/>
          <w:sz w:val="32"/>
          <w:szCs w:val="32"/>
        </w:rPr>
        <w:t>概况</w:t>
      </w:r>
      <w:bookmarkEnd w:id="0"/>
      <w:bookmarkEnd w:id="1"/>
    </w:p>
    <w:p>
      <w:pPr>
        <w:ind w:firstLine="640" w:firstLineChars="200"/>
        <w:outlineLvl w:val="1"/>
        <w:rPr>
          <w:rFonts w:ascii="黑体" w:hAnsi="黑体" w:eastAsia="黑体" w:cs="宋体"/>
          <w:bCs/>
          <w:kern w:val="0"/>
          <w:sz w:val="32"/>
          <w:szCs w:val="32"/>
        </w:rPr>
      </w:pPr>
      <w:bookmarkStart w:id="2" w:name="_Toc30738"/>
      <w:bookmarkStart w:id="3" w:name="_Toc30567"/>
      <w:r>
        <w:rPr>
          <w:rFonts w:hint="eastAsia" w:ascii="黑体" w:hAnsi="黑体" w:eastAsia="黑体" w:cs="宋体"/>
          <w:bCs/>
          <w:kern w:val="0"/>
          <w:sz w:val="32"/>
          <w:szCs w:val="32"/>
        </w:rPr>
        <w:t>一、主要职能</w:t>
      </w:r>
      <w:bookmarkEnd w:id="2"/>
      <w:bookmarkEnd w:id="3"/>
    </w:p>
    <w:p>
      <w:pPr>
        <w:ind w:firstLine="640" w:firstLineChars="200"/>
        <w:outlineLvl w:val="1"/>
        <w:rPr>
          <w:rFonts w:hint="eastAsia" w:ascii="仿宋_GB2312" w:eastAsia="仿宋_GB2312"/>
          <w:sz w:val="32"/>
          <w:szCs w:val="32"/>
        </w:rPr>
      </w:pPr>
      <w:bookmarkStart w:id="4" w:name="_Toc31238"/>
      <w:bookmarkStart w:id="5" w:name="_Toc2151"/>
      <w:r>
        <w:rPr>
          <w:rFonts w:hint="eastAsia" w:eastAsia="仿宋_GB2312"/>
          <w:sz w:val="32"/>
          <w:szCs w:val="32"/>
        </w:rPr>
        <w:t>1</w:t>
      </w:r>
      <w:r>
        <w:rPr>
          <w:rFonts w:hint="eastAsia" w:ascii="仿宋_GB2312" w:eastAsia="仿宋_GB2312"/>
          <w:sz w:val="32"/>
          <w:szCs w:val="32"/>
          <w:lang w:val="en-US" w:eastAsia="zh-CN"/>
        </w:rPr>
        <w:t>.</w:t>
      </w:r>
      <w:r>
        <w:rPr>
          <w:rFonts w:hint="eastAsia" w:ascii="仿宋_GB2312" w:eastAsia="仿宋_GB2312"/>
          <w:sz w:val="32"/>
          <w:szCs w:val="32"/>
        </w:rPr>
        <w:t>宣传、执行党的路线、方针、政策和国家法律、法规，保证上级党委政府决议、决定的落实，对居民进行思想政治教育和社会主义法治宣传。</w:t>
      </w:r>
    </w:p>
    <w:p>
      <w:pPr>
        <w:ind w:firstLine="640" w:firstLineChars="200"/>
        <w:outlineLvl w:val="1"/>
        <w:rPr>
          <w:rFonts w:hint="eastAsia" w:ascii="仿宋_GB2312" w:eastAsia="仿宋_GB2312"/>
          <w:sz w:val="32"/>
          <w:szCs w:val="32"/>
        </w:rPr>
      </w:pPr>
      <w:r>
        <w:rPr>
          <w:rFonts w:hint="eastAsia" w:eastAsia="仿宋_GB2312"/>
          <w:sz w:val="32"/>
          <w:szCs w:val="32"/>
        </w:rPr>
        <w:t>2</w:t>
      </w:r>
      <w:r>
        <w:rPr>
          <w:rFonts w:hint="eastAsia" w:ascii="仿宋_GB2312" w:eastAsia="仿宋_GB2312"/>
          <w:sz w:val="32"/>
          <w:szCs w:val="32"/>
          <w:lang w:eastAsia="zh-CN"/>
        </w:rPr>
        <w:t>.</w:t>
      </w:r>
      <w:r>
        <w:rPr>
          <w:rFonts w:hint="eastAsia" w:ascii="仿宋_GB2312" w:eastAsia="仿宋_GB2312"/>
          <w:sz w:val="32"/>
          <w:szCs w:val="32"/>
        </w:rPr>
        <w:t>组织领导乡区域经济工作，制定乡经济发展规划，检查、督促各经济组织开展工作，负责乡财政预算和收支管理。</w:t>
      </w:r>
    </w:p>
    <w:p>
      <w:pPr>
        <w:ind w:firstLine="640" w:firstLineChars="200"/>
        <w:outlineLvl w:val="1"/>
        <w:rPr>
          <w:rFonts w:hint="eastAsia" w:ascii="仿宋_GB2312" w:eastAsia="仿宋_GB2312"/>
          <w:sz w:val="32"/>
          <w:szCs w:val="32"/>
        </w:rPr>
      </w:pPr>
      <w:r>
        <w:rPr>
          <w:rFonts w:hint="eastAsia" w:eastAsia="仿宋_GB2312"/>
          <w:sz w:val="32"/>
          <w:szCs w:val="32"/>
        </w:rPr>
        <w:t>3</w:t>
      </w:r>
      <w:r>
        <w:rPr>
          <w:rFonts w:hint="eastAsia" w:ascii="仿宋_GB2312" w:eastAsia="仿宋_GB2312"/>
          <w:sz w:val="32"/>
          <w:szCs w:val="32"/>
          <w:lang w:eastAsia="zh-CN"/>
        </w:rPr>
        <w:t>.</w:t>
      </w:r>
      <w:r>
        <w:rPr>
          <w:rFonts w:hint="eastAsia" w:ascii="仿宋_GB2312" w:eastAsia="仿宋_GB2312"/>
          <w:sz w:val="32"/>
          <w:szCs w:val="32"/>
        </w:rPr>
        <w:t>加强外来人口管理，开展民事调解，保护老人、儿童、妇女、残疾人和青少年的合法权益，保障辖区内政治稳定和社会安定。</w:t>
      </w:r>
    </w:p>
    <w:p>
      <w:pPr>
        <w:ind w:firstLine="640" w:firstLineChars="200"/>
        <w:outlineLvl w:val="1"/>
        <w:rPr>
          <w:rFonts w:hint="eastAsia" w:ascii="仿宋_GB2312" w:eastAsia="仿宋_GB2312"/>
          <w:sz w:val="32"/>
          <w:szCs w:val="32"/>
        </w:rPr>
      </w:pPr>
      <w:r>
        <w:rPr>
          <w:rFonts w:hint="eastAsia" w:eastAsia="仿宋_GB2312"/>
          <w:sz w:val="32"/>
          <w:szCs w:val="32"/>
        </w:rPr>
        <w:t>4</w:t>
      </w:r>
      <w:r>
        <w:rPr>
          <w:rFonts w:hint="eastAsia" w:ascii="仿宋_GB2312" w:eastAsia="仿宋_GB2312"/>
          <w:sz w:val="32"/>
          <w:szCs w:val="32"/>
          <w:lang w:eastAsia="zh-CN"/>
        </w:rPr>
        <w:t>.</w:t>
      </w:r>
      <w:r>
        <w:rPr>
          <w:rFonts w:hint="eastAsia" w:ascii="仿宋_GB2312" w:eastAsia="仿宋_GB2312"/>
          <w:sz w:val="32"/>
          <w:szCs w:val="32"/>
        </w:rPr>
        <w:t>开展党的建设、群众文化、科普、精神文明、爱国卫生、计划生育、环境卫生、绿化美化、民政、社会保障、健康教育等工作，配合有关部门做好防控、防汛防震、抢险救灾、交通管理等工作。</w:t>
      </w:r>
    </w:p>
    <w:p>
      <w:pPr>
        <w:ind w:firstLine="640" w:firstLineChars="200"/>
        <w:outlineLvl w:val="1"/>
        <w:rPr>
          <w:rFonts w:hint="eastAsia" w:ascii="仿宋_GB2312" w:eastAsia="仿宋_GB2312"/>
          <w:sz w:val="32"/>
          <w:szCs w:val="32"/>
        </w:rPr>
      </w:pPr>
      <w:r>
        <w:rPr>
          <w:rFonts w:hint="eastAsia" w:eastAsia="仿宋_GB2312"/>
          <w:sz w:val="32"/>
          <w:szCs w:val="32"/>
        </w:rPr>
        <w:t>5</w:t>
      </w:r>
      <w:r>
        <w:rPr>
          <w:rFonts w:hint="eastAsia" w:eastAsia="仿宋_GB2312"/>
          <w:sz w:val="32"/>
          <w:szCs w:val="32"/>
          <w:lang w:eastAsia="zh-CN"/>
        </w:rPr>
        <w:t>.</w:t>
      </w:r>
      <w:r>
        <w:rPr>
          <w:rFonts w:hint="eastAsia" w:ascii="仿宋_GB2312" w:eastAsia="仿宋_GB2312"/>
          <w:sz w:val="32"/>
          <w:szCs w:val="32"/>
        </w:rPr>
        <w:t>向上级政府反映群众的意见和要求，办理人民群众来信来访事项，做好为居民群众服务工作。</w:t>
      </w:r>
    </w:p>
    <w:p>
      <w:pPr>
        <w:ind w:firstLine="640" w:firstLineChars="200"/>
        <w:outlineLvl w:val="1"/>
        <w:rPr>
          <w:rFonts w:ascii="仿宋_GB2312" w:eastAsia="仿宋_GB2312"/>
          <w:sz w:val="32"/>
          <w:szCs w:val="32"/>
        </w:rPr>
      </w:pPr>
      <w:r>
        <w:rPr>
          <w:rFonts w:hint="eastAsia" w:eastAsia="仿宋_GB2312"/>
          <w:sz w:val="32"/>
          <w:szCs w:val="32"/>
        </w:rPr>
        <w:t>6</w:t>
      </w:r>
      <w:r>
        <w:rPr>
          <w:rFonts w:hint="eastAsia" w:ascii="仿宋_GB2312" w:eastAsia="仿宋_GB2312"/>
          <w:sz w:val="32"/>
          <w:szCs w:val="32"/>
          <w:lang w:eastAsia="zh-CN"/>
        </w:rPr>
        <w:t>.</w:t>
      </w:r>
      <w:r>
        <w:rPr>
          <w:rFonts w:hint="eastAsia" w:ascii="仿宋_GB2312" w:eastAsia="仿宋_GB2312"/>
          <w:sz w:val="32"/>
          <w:szCs w:val="32"/>
        </w:rPr>
        <w:t>完成上级政府交办的其他事项。</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pPr>
        <w:ind w:firstLine="640" w:firstLineChars="200"/>
        <w:rPr>
          <w:rFonts w:ascii="仿宋_GB2312" w:hAnsi="仿宋_GB2312" w:eastAsia="仿宋_GB2312" w:cs="仿宋_GB2312"/>
          <w:b/>
          <w:sz w:val="32"/>
          <w:szCs w:val="32"/>
        </w:rPr>
      </w:pPr>
      <w:r>
        <w:rPr>
          <w:rFonts w:hint="eastAsia" w:ascii="仿宋_GB2312" w:eastAsia="仿宋_GB2312"/>
          <w:sz w:val="32"/>
          <w:szCs w:val="32"/>
        </w:rPr>
        <w:t>库尔勒市和什力克乡人民政府2023年度，实有人数</w:t>
      </w:r>
      <w:r>
        <w:rPr>
          <w:rFonts w:hint="eastAsia" w:ascii="仿宋_GB2312" w:eastAsia="仿宋_GB2312"/>
          <w:sz w:val="32"/>
          <w:szCs w:val="32"/>
          <w:lang w:val="zh-CN"/>
        </w:rPr>
        <w:t>96</w:t>
      </w:r>
      <w:r>
        <w:rPr>
          <w:rFonts w:hint="eastAsia" w:ascii="仿宋_GB2312" w:eastAsia="仿宋_GB2312"/>
          <w:sz w:val="32"/>
          <w:szCs w:val="32"/>
        </w:rPr>
        <w:t>人，其中：在职人员</w:t>
      </w:r>
      <w:r>
        <w:rPr>
          <w:rFonts w:hint="eastAsia" w:ascii="仿宋_GB2312" w:eastAsia="仿宋_GB2312"/>
          <w:sz w:val="32"/>
          <w:szCs w:val="32"/>
          <w:lang w:val="zh-CN"/>
        </w:rPr>
        <w:t>79</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17</w:t>
      </w:r>
      <w:r>
        <w:rPr>
          <w:rFonts w:hint="eastAsia" w:ascii="仿宋_GB2312" w:eastAsia="仿宋_GB2312"/>
          <w:sz w:val="32"/>
          <w:szCs w:val="32"/>
        </w:rPr>
        <w:t>人。</w:t>
      </w:r>
    </w:p>
    <w:p>
      <w:pPr>
        <w:ind w:firstLine="640" w:firstLineChars="200"/>
        <w:rPr>
          <w:rFonts w:ascii="仿宋_GB2312" w:hAnsi="宋体" w:eastAsia="仿宋_GB2312" w:cs="宋体"/>
          <w:kern w:val="0"/>
          <w:sz w:val="32"/>
          <w:szCs w:val="32"/>
        </w:rPr>
      </w:pPr>
      <w:bookmarkStart w:id="6" w:name="_Toc29374"/>
      <w:bookmarkStart w:id="7" w:name="_Toc3092"/>
      <w:bookmarkStart w:id="48" w:name="_GoBack"/>
      <w:bookmarkEnd w:id="48"/>
      <w:r>
        <w:rPr>
          <w:rFonts w:hint="eastAsia" w:ascii="仿宋_GB2312" w:hAnsi="黑体" w:eastAsia="仿宋_GB2312" w:cs="宋体"/>
          <w:bCs/>
          <w:kern w:val="0"/>
          <w:sz w:val="32"/>
          <w:szCs w:val="32"/>
        </w:rPr>
        <w:t>单位无下属预算单位，下设</w:t>
      </w:r>
      <w:r>
        <w:rPr>
          <w:rFonts w:hint="eastAsia" w:eastAsia="仿宋_GB2312"/>
          <w:sz w:val="32"/>
          <w:szCs w:val="32"/>
        </w:rPr>
        <w:t>6</w:t>
      </w:r>
      <w:r>
        <w:rPr>
          <w:rFonts w:hint="eastAsia" w:ascii="仿宋_GB2312" w:hAnsi="黑体" w:eastAsia="仿宋_GB2312" w:cs="宋体"/>
          <w:bCs/>
          <w:kern w:val="0"/>
          <w:sz w:val="32"/>
          <w:szCs w:val="32"/>
        </w:rPr>
        <w:t>个处室，分别是：</w:t>
      </w:r>
      <w:r>
        <w:rPr>
          <w:rFonts w:hint="eastAsia" w:ascii="仿宋_GB2312" w:eastAsia="仿宋_GB2312"/>
          <w:sz w:val="32"/>
          <w:szCs w:val="32"/>
        </w:rPr>
        <w:t>农业（畜牧业）发展中心，文化体育广播电视服务中心，社会保障（民政）服务中心，财政所（农村合作经济经营管理服务站），村镇规划建设发展服务中心（环境保护工作站），人口和计划生育生殖健康服务站</w:t>
      </w:r>
      <w:r>
        <w:rPr>
          <w:rFonts w:hint="eastAsia" w:ascii="仿宋_GB2312" w:hAnsi="宋体" w:eastAsia="仿宋_GB2312" w:cs="宋体"/>
          <w:kern w:val="0"/>
          <w:sz w:val="32"/>
          <w:szCs w:val="32"/>
        </w:rPr>
        <w:t>。</w:t>
      </w:r>
    </w:p>
    <w:p>
      <w:pPr>
        <w:jc w:val="center"/>
        <w:outlineLvl w:val="0"/>
        <w:rPr>
          <w:rFonts w:ascii="黑体" w:hAnsi="黑体" w:eastAsia="黑体"/>
          <w:sz w:val="32"/>
          <w:szCs w:val="32"/>
        </w:rPr>
      </w:pPr>
      <w:r>
        <w:rPr>
          <w:rFonts w:hint="eastAsia" w:ascii="黑体" w:hAnsi="黑体" w:eastAsia="黑体"/>
          <w:sz w:val="32"/>
          <w:szCs w:val="32"/>
        </w:rPr>
        <w:t>第二部分 部门决算情况说明</w:t>
      </w:r>
      <w:bookmarkEnd w:id="6"/>
      <w:bookmarkEnd w:id="7"/>
    </w:p>
    <w:p>
      <w:pPr>
        <w:ind w:firstLine="640" w:firstLineChars="200"/>
        <w:outlineLvl w:val="1"/>
        <w:rPr>
          <w:rFonts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pPr>
        <w:ind w:firstLine="640" w:firstLineChars="200"/>
        <w:rPr>
          <w:rFonts w:ascii="仿宋_GB2312" w:eastAsia="仿宋_GB2312"/>
          <w:sz w:val="32"/>
          <w:szCs w:val="32"/>
        </w:rPr>
      </w:pPr>
      <w:r>
        <w:rPr>
          <w:rFonts w:hint="eastAsia" w:ascii="仿宋_GB2312" w:eastAsia="仿宋_GB2312"/>
          <w:sz w:val="32"/>
          <w:szCs w:val="32"/>
        </w:rPr>
        <w:t>2023年度收入总计5,014.92万元，其中：本年收入合计5,014.92万元，使用非财政拨款结余0.00万元，年初结转和结余0.00万元。</w:t>
      </w:r>
    </w:p>
    <w:p>
      <w:pPr>
        <w:ind w:firstLine="640" w:firstLineChars="200"/>
        <w:rPr>
          <w:rFonts w:ascii="仿宋_GB2312" w:eastAsia="仿宋_GB2312"/>
          <w:sz w:val="32"/>
          <w:szCs w:val="32"/>
        </w:rPr>
      </w:pPr>
      <w:r>
        <w:rPr>
          <w:rFonts w:hint="eastAsia" w:ascii="仿宋_GB2312" w:eastAsia="仿宋_GB2312"/>
          <w:sz w:val="32"/>
          <w:szCs w:val="32"/>
        </w:rPr>
        <w:t>2023年度支出总计5,014.92万元，其中：本年支出合计5,014.92万元，结余分配0.00万元，年末结转和结余0.00万元。</w:t>
      </w:r>
    </w:p>
    <w:p>
      <w:pPr>
        <w:ind w:firstLine="640" w:firstLineChars="200"/>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增加2,209.90万元</w:t>
      </w:r>
      <w:r>
        <w:rPr>
          <w:rFonts w:hint="eastAsia" w:ascii="仿宋_GB2312" w:eastAsia="仿宋_GB2312"/>
          <w:sz w:val="32"/>
          <w:szCs w:val="32"/>
        </w:rPr>
        <w:t>，增长78.78%，主要原因是：本年增加棉花目标价格补贴等惠民补贴资金列入为2023年部门决算。</w:t>
      </w:r>
    </w:p>
    <w:p>
      <w:pPr>
        <w:ind w:firstLine="640" w:firstLineChars="200"/>
        <w:jc w:val="left"/>
        <w:outlineLvl w:val="1"/>
        <w:rPr>
          <w:rFonts w:ascii="黑体" w:hAnsi="黑体" w:eastAsia="黑体" w:cs="宋体"/>
          <w:bCs/>
          <w:kern w:val="0"/>
          <w:sz w:val="32"/>
          <w:szCs w:val="32"/>
        </w:rPr>
      </w:pPr>
      <w:bookmarkStart w:id="10" w:name="_Toc1979"/>
      <w:bookmarkStart w:id="11" w:name="_Toc12142"/>
      <w:r>
        <w:rPr>
          <w:rFonts w:hint="eastAsia" w:ascii="黑体" w:hAnsi="黑体" w:eastAsia="黑体" w:cs="宋体"/>
          <w:bCs/>
          <w:kern w:val="0"/>
          <w:sz w:val="32"/>
          <w:szCs w:val="32"/>
        </w:rPr>
        <w:t>二、收入决算情况说明</w:t>
      </w:r>
      <w:bookmarkEnd w:id="10"/>
      <w:bookmarkEnd w:id="11"/>
    </w:p>
    <w:p>
      <w:pPr>
        <w:ind w:firstLine="640" w:firstLineChars="200"/>
        <w:rPr>
          <w:rFonts w:ascii="仿宋_GB2312" w:eastAsia="仿宋_GB2312"/>
          <w:sz w:val="32"/>
          <w:szCs w:val="32"/>
        </w:rPr>
      </w:pPr>
      <w:r>
        <w:rPr>
          <w:rFonts w:hint="eastAsia" w:ascii="仿宋_GB2312" w:eastAsia="仿宋_GB2312"/>
          <w:sz w:val="32"/>
          <w:szCs w:val="32"/>
        </w:rPr>
        <w:t>本年收入5,014.92万元，其中：财政拨款收入</w:t>
      </w:r>
      <w:r>
        <w:rPr>
          <w:rFonts w:hint="eastAsia" w:ascii="仿宋_GB2312" w:eastAsia="仿宋_GB2312"/>
          <w:sz w:val="32"/>
          <w:szCs w:val="32"/>
          <w:lang w:val="zh-CN"/>
        </w:rPr>
        <w:t>4,908.03</w:t>
      </w:r>
      <w:r>
        <w:rPr>
          <w:rFonts w:hint="eastAsia" w:ascii="仿宋_GB2312" w:eastAsia="仿宋_GB2312"/>
          <w:sz w:val="32"/>
          <w:szCs w:val="32"/>
        </w:rPr>
        <w:t>万元，占</w:t>
      </w:r>
      <w:r>
        <w:rPr>
          <w:rFonts w:hint="eastAsia" w:ascii="仿宋_GB2312" w:eastAsia="仿宋_GB2312"/>
          <w:sz w:val="32"/>
          <w:szCs w:val="32"/>
          <w:lang w:val="zh-CN"/>
        </w:rPr>
        <w:t>97.87</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106.89</w:t>
      </w:r>
      <w:r>
        <w:rPr>
          <w:rFonts w:hint="eastAsia" w:ascii="仿宋_GB2312" w:eastAsia="仿宋_GB2312"/>
          <w:sz w:val="32"/>
          <w:szCs w:val="32"/>
        </w:rPr>
        <w:t>万元，占</w:t>
      </w:r>
      <w:r>
        <w:rPr>
          <w:rFonts w:hint="eastAsia" w:ascii="仿宋_GB2312" w:eastAsia="仿宋_GB2312"/>
          <w:sz w:val="32"/>
          <w:szCs w:val="32"/>
          <w:lang w:val="zh-CN"/>
        </w:rPr>
        <w:t>2.13</w:t>
      </w:r>
      <w:r>
        <w:rPr>
          <w:rFonts w:hint="eastAsia" w:ascii="仿宋_GB2312" w:eastAsia="仿宋_GB2312"/>
          <w:sz w:val="32"/>
          <w:szCs w:val="32"/>
        </w:rPr>
        <w:t>%。</w:t>
      </w:r>
    </w:p>
    <w:p>
      <w:pPr>
        <w:ind w:firstLine="640" w:firstLineChars="200"/>
        <w:jc w:val="left"/>
        <w:outlineLvl w:val="1"/>
        <w:rPr>
          <w:rFonts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pPr>
        <w:ind w:firstLine="640" w:firstLineChars="200"/>
        <w:jc w:val="left"/>
        <w:rPr>
          <w:rFonts w:eastAsia="仿宋_GB2312" w:cs="仿宋_GB2312"/>
          <w:sz w:val="32"/>
          <w:szCs w:val="32"/>
          <w:lang w:val="zh-CN"/>
        </w:rPr>
      </w:pPr>
      <w:r>
        <w:rPr>
          <w:rFonts w:hint="eastAsia" w:eastAsia="仿宋_GB2312" w:cs="仿宋_GB2312"/>
          <w:sz w:val="32"/>
          <w:szCs w:val="32"/>
          <w:lang w:val="zh-CN"/>
        </w:rPr>
        <w:t>本年支出5,014.92万元，其中：基本支出2,196.76万元，占43.80%；项目支出2,818.16万元，占56.20%；上缴上级支出0.00万元，占0.00%；经营支出0.00万元，占0.00%；对附属单位补助支出0.00万元，占0.00%。</w:t>
      </w:r>
    </w:p>
    <w:p>
      <w:pPr>
        <w:ind w:firstLine="640" w:firstLineChars="200"/>
        <w:jc w:val="left"/>
        <w:outlineLvl w:val="1"/>
        <w:rPr>
          <w:rFonts w:ascii="黑体" w:hAnsi="黑体" w:eastAsia="黑体" w:cs="宋体"/>
          <w:bCs/>
          <w:kern w:val="0"/>
          <w:sz w:val="32"/>
          <w:szCs w:val="32"/>
        </w:rPr>
      </w:pPr>
      <w:bookmarkStart w:id="14" w:name="_Toc26564"/>
      <w:bookmarkStart w:id="15" w:name="_Toc4393"/>
      <w:r>
        <w:rPr>
          <w:rFonts w:hint="eastAsia" w:ascii="黑体" w:hAnsi="黑体" w:eastAsia="黑体" w:cs="宋体"/>
          <w:bCs/>
          <w:kern w:val="0"/>
          <w:sz w:val="32"/>
          <w:szCs w:val="32"/>
        </w:rPr>
        <w:t>四、财政拨款收入支出决算总体情况说明</w:t>
      </w:r>
      <w:bookmarkEnd w:id="14"/>
      <w:bookmarkEnd w:id="15"/>
    </w:p>
    <w:p>
      <w:pPr>
        <w:ind w:firstLine="640" w:firstLineChars="200"/>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4,908.03</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4,908.03</w:t>
      </w:r>
      <w:r>
        <w:rPr>
          <w:rFonts w:hint="eastAsia" w:ascii="仿宋_GB2312" w:eastAsia="仿宋_GB2312"/>
          <w:sz w:val="32"/>
          <w:szCs w:val="32"/>
        </w:rPr>
        <w:t>万元。财政拨款支出总计</w:t>
      </w:r>
      <w:r>
        <w:rPr>
          <w:rFonts w:hint="eastAsia" w:ascii="仿宋_GB2312" w:eastAsia="仿宋_GB2312"/>
          <w:sz w:val="32"/>
          <w:szCs w:val="32"/>
          <w:lang w:val="zh-CN"/>
        </w:rPr>
        <w:t>4,908.03</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4,908.03</w:t>
      </w:r>
      <w:r>
        <w:rPr>
          <w:rFonts w:hint="eastAsia" w:ascii="仿宋_GB2312"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增加2,175.91万元</w:t>
      </w:r>
      <w:r>
        <w:rPr>
          <w:rFonts w:hint="eastAsia" w:ascii="仿宋_GB2312" w:eastAsia="仿宋_GB2312"/>
          <w:sz w:val="32"/>
          <w:szCs w:val="32"/>
        </w:rPr>
        <w:t>，增长79.64%,主要原因是：本年增加棉花目标价格补贴等惠民补贴资金列入为2023年部门决算。与年初预算相比，年初预算数</w:t>
      </w:r>
      <w:r>
        <w:rPr>
          <w:rFonts w:hint="eastAsia" w:ascii="仿宋_GB2312" w:eastAsia="仿宋_GB2312"/>
          <w:sz w:val="32"/>
          <w:szCs w:val="32"/>
          <w:lang w:val="zh-CN"/>
        </w:rPr>
        <w:t>1,878.36</w:t>
      </w:r>
      <w:r>
        <w:rPr>
          <w:rFonts w:hint="eastAsia" w:ascii="仿宋_GB2312" w:eastAsia="仿宋_GB2312"/>
          <w:sz w:val="32"/>
          <w:szCs w:val="32"/>
        </w:rPr>
        <w:t>万元，决算数</w:t>
      </w:r>
      <w:r>
        <w:rPr>
          <w:rFonts w:hint="eastAsia" w:ascii="仿宋_GB2312" w:eastAsia="仿宋_GB2312"/>
          <w:sz w:val="32"/>
          <w:szCs w:val="32"/>
          <w:lang w:val="zh-CN"/>
        </w:rPr>
        <w:t>4,908.03</w:t>
      </w:r>
      <w:r>
        <w:rPr>
          <w:rFonts w:hint="eastAsia" w:ascii="仿宋_GB2312" w:eastAsia="仿宋_GB2312"/>
          <w:sz w:val="32"/>
          <w:szCs w:val="32"/>
        </w:rPr>
        <w:t>万元，预决算差异率161.29%，主要原因是：</w:t>
      </w:r>
      <w:r>
        <w:rPr>
          <w:rFonts w:hint="eastAsia" w:ascii="仿宋_GB2312" w:eastAsia="仿宋_GB2312"/>
          <w:color w:val="auto"/>
          <w:spacing w:val="0"/>
          <w:sz w:val="32"/>
          <w:szCs w:val="32"/>
          <w:highlight w:val="none"/>
          <w:lang w:val="en-US" w:eastAsia="zh-CN"/>
        </w:rPr>
        <w:t>棉花价格改革补贴纳入追加预算，项目资金增加，人员工资调整，</w:t>
      </w:r>
      <w:r>
        <w:rPr>
          <w:rFonts w:hint="eastAsia" w:ascii="仿宋_GB2312" w:eastAsia="仿宋_GB2312"/>
          <w:sz w:val="32"/>
          <w:szCs w:val="32"/>
        </w:rPr>
        <w:t>本年年中追加中央基建建设和乡村振兴等项目资金。</w:t>
      </w:r>
    </w:p>
    <w:p>
      <w:pPr>
        <w:ind w:firstLine="640" w:firstLineChars="200"/>
        <w:jc w:val="left"/>
        <w:outlineLvl w:val="1"/>
        <w:rPr>
          <w:rFonts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jc w:val="left"/>
        <w:outlineLvl w:val="2"/>
        <w:rPr>
          <w:rFonts w:ascii="黑体" w:hAnsi="黑体" w:eastAsia="黑体"/>
          <w:sz w:val="32"/>
          <w:szCs w:val="32"/>
        </w:rPr>
      </w:pPr>
      <w:r>
        <w:rPr>
          <w:rFonts w:hint="eastAsia" w:ascii="黑体" w:hAnsi="黑体" w:eastAsia="黑体"/>
          <w:sz w:val="32"/>
          <w:szCs w:val="32"/>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2023年度一般公共预算财政拨款支出4,890.03万元，占本年支出合计的</w:t>
      </w:r>
      <w:r>
        <w:rPr>
          <w:rFonts w:hint="eastAsia" w:ascii="仿宋_GB2312" w:hAnsi="Times New Roman" w:eastAsia="仿宋_GB2312" w:cs="Times New Roman"/>
          <w:sz w:val="32"/>
          <w:szCs w:val="32"/>
          <w:lang w:val="zh-CN"/>
        </w:rPr>
        <w:t>97.51%</w:t>
      </w:r>
      <w:r>
        <w:rPr>
          <w:rFonts w:hint="eastAsia" w:ascii="仿宋_GB2312" w:hAnsi="Times New Roman" w:eastAsia="仿宋_GB2312" w:cs="Times New Roman"/>
          <w:sz w:val="32"/>
          <w:szCs w:val="32"/>
        </w:rPr>
        <w:t>。与上年相比，</w:t>
      </w:r>
      <w:r>
        <w:rPr>
          <w:rFonts w:hint="eastAsia" w:ascii="仿宋_GB2312" w:hAnsi="Times New Roman" w:eastAsia="仿宋_GB2312" w:cs="Times New Roman"/>
          <w:sz w:val="32"/>
          <w:szCs w:val="32"/>
          <w:lang w:val="zh-CN"/>
        </w:rPr>
        <w:t>增加2,157.91万元</w:t>
      </w:r>
      <w:r>
        <w:rPr>
          <w:rFonts w:hint="eastAsia" w:ascii="仿宋_GB2312" w:hAnsi="Times New Roman" w:eastAsia="仿宋_GB2312" w:cs="Times New Roman"/>
          <w:sz w:val="32"/>
          <w:szCs w:val="32"/>
        </w:rPr>
        <w:t>，增长78.98%,主要原因是：本年增加棉花目标价格补贴等惠民补贴资金列入为2023年部门决算。与年初预算相比，年初预算数</w:t>
      </w:r>
      <w:r>
        <w:rPr>
          <w:rFonts w:hint="eastAsia" w:ascii="仿宋_GB2312" w:hAnsi="Times New Roman" w:eastAsia="仿宋_GB2312" w:cs="Times New Roman"/>
          <w:sz w:val="32"/>
          <w:szCs w:val="32"/>
          <w:lang w:val="zh-CN"/>
        </w:rPr>
        <w:t>1,878.36</w:t>
      </w:r>
      <w:r>
        <w:rPr>
          <w:rFonts w:hint="eastAsia" w:ascii="仿宋_GB2312" w:hAnsi="Times New Roman" w:eastAsia="仿宋_GB2312" w:cs="Times New Roman"/>
          <w:sz w:val="32"/>
          <w:szCs w:val="32"/>
        </w:rPr>
        <w:t>万元，决算数</w:t>
      </w:r>
      <w:r>
        <w:rPr>
          <w:rFonts w:hint="eastAsia" w:ascii="仿宋_GB2312" w:hAnsi="Times New Roman" w:eastAsia="仿宋_GB2312" w:cs="Times New Roman"/>
          <w:sz w:val="32"/>
          <w:szCs w:val="32"/>
          <w:lang w:val="zh-CN"/>
        </w:rPr>
        <w:t>4,890.03</w:t>
      </w:r>
      <w:r>
        <w:rPr>
          <w:rFonts w:hint="eastAsia" w:ascii="仿宋_GB2312" w:hAnsi="Times New Roman" w:eastAsia="仿宋_GB2312" w:cs="Times New Roman"/>
          <w:sz w:val="32"/>
          <w:szCs w:val="32"/>
        </w:rPr>
        <w:t>万元，预决算差异率</w:t>
      </w:r>
      <w:r>
        <w:rPr>
          <w:rFonts w:hint="eastAsia" w:ascii="仿宋_GB2312" w:hAnsi="Times New Roman" w:eastAsia="仿宋_GB2312" w:cs="Times New Roman"/>
          <w:sz w:val="32"/>
          <w:szCs w:val="32"/>
          <w:lang w:val="zh-CN"/>
        </w:rPr>
        <w:t>160.34%</w:t>
      </w:r>
      <w:r>
        <w:rPr>
          <w:rFonts w:hint="eastAsia" w:ascii="仿宋_GB2312" w:hAnsi="Times New Roman" w:eastAsia="仿宋_GB2312" w:cs="Times New Roman"/>
          <w:sz w:val="32"/>
          <w:szCs w:val="32"/>
        </w:rPr>
        <w:t>，主要原因是：本年增加棉花目标价格补贴等惠民补贴资金列入为2023年部门决算，本年年中追加中央基建建设和乡村振兴等项目资金。</w:t>
      </w:r>
    </w:p>
    <w:p>
      <w:pPr>
        <w:numPr>
          <w:ilvl w:val="0"/>
          <w:numId w:val="1"/>
        </w:numPr>
        <w:ind w:firstLine="640" w:firstLineChars="200"/>
        <w:jc w:val="left"/>
        <w:outlineLvl w:val="2"/>
        <w:rPr>
          <w:rFonts w:ascii="黑体" w:hAnsi="黑体" w:eastAsia="黑体"/>
          <w:sz w:val="32"/>
          <w:szCs w:val="32"/>
        </w:rPr>
      </w:pPr>
      <w:r>
        <w:rPr>
          <w:rFonts w:hint="eastAsia" w:ascii="黑体" w:hAnsi="黑体" w:eastAsia="黑体"/>
          <w:sz w:val="32"/>
          <w:szCs w:val="32"/>
        </w:rPr>
        <w:t>一般公共预算财政拨款支出决算结构情况</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1.一般公共服务支出（类）</w:t>
      </w:r>
      <w:r>
        <w:rPr>
          <w:rFonts w:hint="eastAsia" w:ascii="仿宋_GB2312" w:eastAsia="仿宋_GB2312"/>
          <w:kern w:val="2"/>
          <w:sz w:val="32"/>
          <w:szCs w:val="32"/>
          <w:lang w:val="zh-CN"/>
        </w:rPr>
        <w:t>1,267.62</w:t>
      </w:r>
      <w:r>
        <w:rPr>
          <w:rFonts w:ascii="仿宋_GB2312" w:eastAsia="仿宋_GB2312"/>
          <w:kern w:val="2"/>
          <w:sz w:val="32"/>
          <w:szCs w:val="32"/>
          <w:lang w:val="zh-CN"/>
        </w:rPr>
        <w:t>万元，占</w:t>
      </w:r>
      <w:r>
        <w:rPr>
          <w:rFonts w:hint="eastAsia" w:ascii="仿宋_GB2312" w:eastAsia="仿宋_GB2312"/>
          <w:kern w:val="2"/>
          <w:sz w:val="32"/>
          <w:szCs w:val="32"/>
          <w:lang w:val="zh-CN"/>
        </w:rPr>
        <w:t>25.92</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rPr>
        <w:t>2.</w:t>
      </w:r>
      <w:r>
        <w:rPr>
          <w:rFonts w:ascii="仿宋_GB2312" w:eastAsia="仿宋_GB2312"/>
          <w:kern w:val="2"/>
          <w:sz w:val="32"/>
          <w:szCs w:val="32"/>
          <w:lang w:val="zh-CN"/>
        </w:rPr>
        <w:t>教育支出（类）</w:t>
      </w:r>
      <w:r>
        <w:rPr>
          <w:rFonts w:hint="eastAsia" w:ascii="仿宋_GB2312" w:eastAsia="仿宋_GB2312"/>
          <w:kern w:val="2"/>
          <w:sz w:val="32"/>
          <w:szCs w:val="32"/>
          <w:lang w:val="zh-CN"/>
        </w:rPr>
        <w:t>6.73</w:t>
      </w:r>
      <w:r>
        <w:rPr>
          <w:rFonts w:ascii="仿宋_GB2312" w:eastAsia="仿宋_GB2312"/>
          <w:kern w:val="2"/>
          <w:sz w:val="32"/>
          <w:szCs w:val="32"/>
          <w:lang w:val="zh-CN"/>
        </w:rPr>
        <w:t>万元，占</w:t>
      </w:r>
      <w:r>
        <w:rPr>
          <w:rFonts w:hint="eastAsia" w:ascii="仿宋_GB2312" w:eastAsia="仿宋_GB2312"/>
          <w:kern w:val="2"/>
          <w:sz w:val="32"/>
          <w:szCs w:val="32"/>
          <w:lang w:val="zh-CN"/>
        </w:rPr>
        <w:t>0.14</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rPr>
      </w:pPr>
      <w:r>
        <w:rPr>
          <w:rFonts w:hint="eastAsia" w:ascii="仿宋_GB2312" w:eastAsia="仿宋_GB2312"/>
          <w:kern w:val="2"/>
          <w:sz w:val="32"/>
          <w:szCs w:val="32"/>
        </w:rPr>
        <w:t>3</w:t>
      </w:r>
      <w:r>
        <w:rPr>
          <w:rFonts w:ascii="仿宋_GB2312" w:eastAsia="仿宋_GB2312"/>
          <w:kern w:val="2"/>
          <w:sz w:val="32"/>
          <w:szCs w:val="32"/>
          <w:lang w:val="zh-CN"/>
        </w:rPr>
        <w:t>.科学技术支出（类）</w:t>
      </w:r>
      <w:r>
        <w:rPr>
          <w:rFonts w:hint="eastAsia" w:ascii="仿宋_GB2312" w:eastAsia="仿宋_GB2312"/>
          <w:kern w:val="2"/>
          <w:sz w:val="32"/>
          <w:szCs w:val="32"/>
          <w:lang w:val="zh-CN"/>
        </w:rPr>
        <w:t>0.77</w:t>
      </w:r>
      <w:r>
        <w:rPr>
          <w:rFonts w:ascii="仿宋_GB2312" w:eastAsia="仿宋_GB2312"/>
          <w:kern w:val="2"/>
          <w:sz w:val="32"/>
          <w:szCs w:val="32"/>
          <w:lang w:val="zh-CN"/>
        </w:rPr>
        <w:t>万元，占</w:t>
      </w:r>
      <w:r>
        <w:rPr>
          <w:rFonts w:hint="eastAsia" w:ascii="仿宋_GB2312" w:eastAsia="仿宋_GB2312"/>
          <w:kern w:val="2"/>
          <w:sz w:val="32"/>
          <w:szCs w:val="32"/>
          <w:lang w:val="zh-CN"/>
        </w:rPr>
        <w:t>0.0</w:t>
      </w:r>
      <w:r>
        <w:rPr>
          <w:rFonts w:ascii="仿宋_GB2312" w:eastAsia="仿宋_GB2312"/>
          <w:kern w:val="2"/>
          <w:sz w:val="32"/>
          <w:szCs w:val="32"/>
          <w:lang w:val="zh-CN"/>
        </w:rPr>
        <w:t>2</w:t>
      </w:r>
      <w:r>
        <w:rPr>
          <w:rFonts w:ascii="仿宋_GB2312" w:eastAsia="仿宋_GB2312"/>
          <w:kern w:val="2"/>
          <w:sz w:val="32"/>
          <w:szCs w:val="32"/>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rPr>
        <w:t>4</w:t>
      </w:r>
      <w:r>
        <w:rPr>
          <w:rFonts w:ascii="仿宋_GB2312" w:eastAsia="仿宋_GB2312"/>
          <w:kern w:val="2"/>
          <w:sz w:val="32"/>
          <w:szCs w:val="32"/>
          <w:lang w:val="zh-CN"/>
        </w:rPr>
        <w:t>.文化旅游体育与传媒支出（类）</w:t>
      </w:r>
      <w:r>
        <w:rPr>
          <w:rFonts w:hint="eastAsia" w:ascii="仿宋_GB2312" w:eastAsia="仿宋_GB2312"/>
          <w:kern w:val="2"/>
          <w:sz w:val="32"/>
          <w:szCs w:val="32"/>
          <w:lang w:val="zh-CN"/>
        </w:rPr>
        <w:t>37.29</w:t>
      </w:r>
      <w:r>
        <w:rPr>
          <w:rFonts w:ascii="仿宋_GB2312" w:eastAsia="仿宋_GB2312"/>
          <w:kern w:val="2"/>
          <w:sz w:val="32"/>
          <w:szCs w:val="32"/>
          <w:lang w:val="zh-CN"/>
        </w:rPr>
        <w:t>万元，占</w:t>
      </w:r>
      <w:r>
        <w:rPr>
          <w:rFonts w:hint="eastAsia" w:ascii="仿宋_GB2312" w:eastAsia="仿宋_GB2312"/>
          <w:kern w:val="2"/>
          <w:sz w:val="32"/>
          <w:szCs w:val="32"/>
          <w:lang w:val="zh-CN"/>
        </w:rPr>
        <w:t>0.76</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rPr>
        <w:t>5</w:t>
      </w:r>
      <w:r>
        <w:rPr>
          <w:rFonts w:ascii="仿宋_GB2312" w:eastAsia="仿宋_GB2312"/>
          <w:kern w:val="2"/>
          <w:sz w:val="32"/>
          <w:szCs w:val="32"/>
          <w:lang w:val="zh-CN"/>
        </w:rPr>
        <w:t>.社会保障和就业支出（类）</w:t>
      </w:r>
      <w:r>
        <w:rPr>
          <w:rFonts w:hint="eastAsia" w:ascii="仿宋_GB2312" w:eastAsia="仿宋_GB2312"/>
          <w:kern w:val="2"/>
          <w:sz w:val="32"/>
          <w:szCs w:val="32"/>
          <w:lang w:val="zh-CN"/>
        </w:rPr>
        <w:t>264.20</w:t>
      </w:r>
      <w:r>
        <w:rPr>
          <w:rFonts w:ascii="仿宋_GB2312" w:eastAsia="仿宋_GB2312"/>
          <w:kern w:val="2"/>
          <w:sz w:val="32"/>
          <w:szCs w:val="32"/>
          <w:lang w:val="zh-CN"/>
        </w:rPr>
        <w:t>万元，占</w:t>
      </w:r>
      <w:r>
        <w:rPr>
          <w:rFonts w:hint="eastAsia" w:ascii="仿宋_GB2312" w:eastAsia="仿宋_GB2312"/>
          <w:kern w:val="2"/>
          <w:sz w:val="32"/>
          <w:szCs w:val="32"/>
          <w:lang w:val="zh-CN"/>
        </w:rPr>
        <w:t>5.40</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rPr>
        <w:t>6</w:t>
      </w:r>
      <w:r>
        <w:rPr>
          <w:rFonts w:ascii="仿宋_GB2312" w:eastAsia="仿宋_GB2312"/>
          <w:kern w:val="2"/>
          <w:sz w:val="32"/>
          <w:szCs w:val="32"/>
          <w:lang w:val="zh-CN"/>
        </w:rPr>
        <w:t>.卫生健康支出（类）</w:t>
      </w:r>
      <w:r>
        <w:rPr>
          <w:rFonts w:hint="eastAsia" w:ascii="仿宋_GB2312" w:eastAsia="仿宋_GB2312"/>
          <w:kern w:val="2"/>
          <w:sz w:val="32"/>
          <w:szCs w:val="32"/>
          <w:lang w:val="zh-CN"/>
        </w:rPr>
        <w:t>123.94</w:t>
      </w:r>
      <w:r>
        <w:rPr>
          <w:rFonts w:ascii="仿宋_GB2312" w:eastAsia="仿宋_GB2312"/>
          <w:kern w:val="2"/>
          <w:sz w:val="32"/>
          <w:szCs w:val="32"/>
          <w:lang w:val="zh-CN"/>
        </w:rPr>
        <w:t>万元，占</w:t>
      </w:r>
      <w:r>
        <w:rPr>
          <w:rFonts w:hint="eastAsia" w:ascii="仿宋_GB2312" w:eastAsia="仿宋_GB2312"/>
          <w:kern w:val="2"/>
          <w:sz w:val="32"/>
          <w:szCs w:val="32"/>
          <w:lang w:val="zh-CN"/>
        </w:rPr>
        <w:t>2.53</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rPr>
        <w:t>7</w:t>
      </w:r>
      <w:r>
        <w:rPr>
          <w:rFonts w:ascii="仿宋_GB2312" w:eastAsia="仿宋_GB2312"/>
          <w:kern w:val="2"/>
          <w:sz w:val="32"/>
          <w:szCs w:val="32"/>
          <w:lang w:val="zh-CN"/>
        </w:rPr>
        <w:t>.农林水支出（类）</w:t>
      </w:r>
      <w:r>
        <w:rPr>
          <w:rFonts w:hint="eastAsia" w:ascii="仿宋_GB2312" w:eastAsia="仿宋_GB2312"/>
          <w:kern w:val="2"/>
          <w:sz w:val="32"/>
          <w:szCs w:val="32"/>
          <w:lang w:val="zh-CN"/>
        </w:rPr>
        <w:t>3,038.49</w:t>
      </w:r>
      <w:r>
        <w:rPr>
          <w:rFonts w:ascii="仿宋_GB2312" w:eastAsia="仿宋_GB2312"/>
          <w:kern w:val="2"/>
          <w:sz w:val="32"/>
          <w:szCs w:val="32"/>
          <w:lang w:val="zh-CN"/>
        </w:rPr>
        <w:t>万元，占</w:t>
      </w:r>
      <w:r>
        <w:rPr>
          <w:rFonts w:hint="eastAsia" w:ascii="仿宋_GB2312" w:eastAsia="仿宋_GB2312"/>
          <w:kern w:val="2"/>
          <w:sz w:val="32"/>
          <w:szCs w:val="32"/>
          <w:lang w:val="zh-CN"/>
        </w:rPr>
        <w:t>62.14</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rPr>
        <w:t>8</w:t>
      </w:r>
      <w:r>
        <w:rPr>
          <w:rFonts w:ascii="仿宋_GB2312" w:eastAsia="仿宋_GB2312"/>
          <w:kern w:val="2"/>
          <w:sz w:val="32"/>
          <w:szCs w:val="32"/>
          <w:lang w:val="zh-CN"/>
        </w:rPr>
        <w:t>.住房保障支出（类）</w:t>
      </w:r>
      <w:r>
        <w:rPr>
          <w:rFonts w:hint="eastAsia" w:ascii="仿宋_GB2312" w:eastAsia="仿宋_GB2312"/>
          <w:kern w:val="2"/>
          <w:sz w:val="32"/>
          <w:szCs w:val="32"/>
          <w:lang w:val="zh-CN"/>
        </w:rPr>
        <w:t>104.84</w:t>
      </w:r>
      <w:r>
        <w:rPr>
          <w:rFonts w:ascii="仿宋_GB2312" w:eastAsia="仿宋_GB2312"/>
          <w:kern w:val="2"/>
          <w:sz w:val="32"/>
          <w:szCs w:val="32"/>
          <w:lang w:val="zh-CN"/>
        </w:rPr>
        <w:t>万元，占</w:t>
      </w:r>
      <w:r>
        <w:rPr>
          <w:rFonts w:hint="eastAsia" w:ascii="仿宋_GB2312" w:eastAsia="仿宋_GB2312"/>
          <w:kern w:val="2"/>
          <w:sz w:val="32"/>
          <w:szCs w:val="32"/>
          <w:lang w:val="zh-CN"/>
        </w:rPr>
        <w:t>2.14</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rPr>
        <w:t>9</w:t>
      </w:r>
      <w:r>
        <w:rPr>
          <w:rFonts w:ascii="仿宋_GB2312" w:eastAsia="仿宋_GB2312"/>
          <w:kern w:val="2"/>
          <w:sz w:val="32"/>
          <w:szCs w:val="32"/>
          <w:lang w:val="zh-CN"/>
        </w:rPr>
        <w:t>.其他支出（类）</w:t>
      </w:r>
      <w:r>
        <w:rPr>
          <w:rFonts w:hint="eastAsia" w:ascii="仿宋_GB2312" w:eastAsia="仿宋_GB2312"/>
          <w:kern w:val="2"/>
          <w:sz w:val="32"/>
          <w:szCs w:val="32"/>
          <w:lang w:val="zh-CN"/>
        </w:rPr>
        <w:t>46.14</w:t>
      </w:r>
      <w:r>
        <w:rPr>
          <w:rFonts w:ascii="仿宋_GB2312" w:eastAsia="仿宋_GB2312"/>
          <w:kern w:val="2"/>
          <w:sz w:val="32"/>
          <w:szCs w:val="32"/>
          <w:lang w:val="zh-CN"/>
        </w:rPr>
        <w:t>万元，占</w:t>
      </w:r>
      <w:r>
        <w:rPr>
          <w:rFonts w:hint="eastAsia" w:ascii="仿宋_GB2312" w:eastAsia="仿宋_GB2312"/>
          <w:kern w:val="2"/>
          <w:sz w:val="32"/>
          <w:szCs w:val="32"/>
          <w:lang w:val="zh-CN"/>
        </w:rPr>
        <w:t>0.9</w:t>
      </w:r>
      <w:r>
        <w:rPr>
          <w:rFonts w:ascii="仿宋_GB2312" w:eastAsia="仿宋_GB2312"/>
          <w:kern w:val="2"/>
          <w:sz w:val="32"/>
          <w:szCs w:val="32"/>
          <w:lang w:val="zh-CN"/>
        </w:rPr>
        <w:t>5%</w:t>
      </w:r>
      <w:r>
        <w:rPr>
          <w:rFonts w:hint="eastAsia" w:ascii="仿宋_GB2312" w:eastAsia="仿宋_GB2312"/>
          <w:kern w:val="2"/>
          <w:sz w:val="32"/>
          <w:szCs w:val="32"/>
          <w:lang w:val="zh-CN"/>
        </w:rPr>
        <w:t>。</w:t>
      </w:r>
    </w:p>
    <w:p>
      <w:pPr>
        <w:ind w:firstLine="640" w:firstLineChars="200"/>
        <w:jc w:val="left"/>
        <w:outlineLvl w:val="2"/>
        <w:rPr>
          <w:rFonts w:ascii="黑体" w:hAnsi="黑体" w:eastAsia="黑体"/>
          <w:sz w:val="32"/>
          <w:szCs w:val="32"/>
        </w:rPr>
      </w:pPr>
      <w:r>
        <w:rPr>
          <w:rFonts w:hint="eastAsia" w:ascii="黑体" w:hAnsi="黑体" w:eastAsia="黑体"/>
          <w:sz w:val="32"/>
          <w:szCs w:val="32"/>
        </w:rPr>
        <w:t>（三）一般公共预算财政拨款支出决算具体情况</w:t>
      </w:r>
    </w:p>
    <w:p>
      <w:pPr>
        <w:ind w:firstLine="640" w:firstLineChars="200"/>
        <w:jc w:val="left"/>
        <w:outlineLvl w:val="1"/>
        <w:rPr>
          <w:rFonts w:hint="default" w:ascii="Times New Roman" w:hAnsi="Times New Roman" w:eastAsia="方正仿宋_GBK" w:cs="Times New Roman"/>
          <w:bCs/>
          <w:kern w:val="0"/>
          <w:sz w:val="32"/>
          <w:szCs w:val="32"/>
          <w:lang w:val="zh-CN"/>
        </w:rPr>
      </w:pPr>
      <w:r>
        <w:rPr>
          <w:rFonts w:hint="default" w:ascii="Times New Roman" w:hAnsi="Times New Roman" w:eastAsia="方正仿宋_GBK" w:cs="Times New Roman"/>
          <w:bCs/>
          <w:kern w:val="0"/>
          <w:sz w:val="32"/>
          <w:szCs w:val="32"/>
          <w:lang w:val="en-US" w:eastAsia="zh-CN"/>
        </w:rPr>
        <w:t>1</w:t>
      </w:r>
      <w:r>
        <w:rPr>
          <w:rFonts w:hint="default" w:ascii="Times New Roman" w:hAnsi="Times New Roman" w:eastAsia="方正仿宋_GBK" w:cs="Times New Roman"/>
          <w:bCs/>
          <w:kern w:val="0"/>
          <w:sz w:val="32"/>
          <w:szCs w:val="32"/>
        </w:rPr>
        <w:t>.一般公共服务支出（类）人大事务（款）代表工作（项）:支出决算数为1.08万元，比上年决算增加1.08万元，增长100%，主要原因是：本年增加人大代表开会及培训，因此增加相应的经费支出</w:t>
      </w:r>
      <w:r>
        <w:rPr>
          <w:rFonts w:hint="default" w:ascii="Times New Roman" w:hAnsi="Times New Roman" w:eastAsia="方正仿宋_GBK" w:cs="Times New Roman"/>
          <w:bCs/>
          <w:kern w:val="0"/>
          <w:sz w:val="32"/>
          <w:szCs w:val="32"/>
          <w:lang w:val="zh-CN"/>
        </w:rPr>
        <w:t>。</w:t>
      </w:r>
    </w:p>
    <w:p>
      <w:pPr>
        <w:ind w:firstLine="640" w:firstLineChars="200"/>
        <w:jc w:val="left"/>
        <w:outlineLvl w:val="1"/>
        <w:rPr>
          <w:rFonts w:hint="default" w:ascii="Times New Roman" w:hAnsi="Times New Roman" w:eastAsia="方正仿宋_GBK" w:cs="Times New Roman"/>
          <w:bCs/>
          <w:kern w:val="0"/>
          <w:sz w:val="32"/>
          <w:szCs w:val="32"/>
          <w:lang w:val="zh-CN"/>
        </w:rPr>
      </w:pPr>
      <w:r>
        <w:rPr>
          <w:rFonts w:hint="default" w:ascii="Times New Roman" w:hAnsi="Times New Roman" w:eastAsia="方正仿宋_GBK" w:cs="Times New Roman"/>
          <w:bCs/>
          <w:kern w:val="0"/>
          <w:sz w:val="32"/>
          <w:szCs w:val="32"/>
          <w:lang w:val="en-US" w:eastAsia="zh-CN"/>
        </w:rPr>
        <w:t>2</w:t>
      </w:r>
      <w:r>
        <w:rPr>
          <w:rFonts w:hint="default" w:ascii="Times New Roman" w:hAnsi="Times New Roman" w:eastAsia="方正仿宋_GBK" w:cs="Times New Roman"/>
          <w:bCs/>
          <w:kern w:val="0"/>
          <w:sz w:val="32"/>
          <w:szCs w:val="32"/>
        </w:rPr>
        <w:t>.一般公共服务支出（类）人大事务（款）其他人大事务支出（项）:支出决算数为0.24万元，比上年决算增加0.24万元，增长100%，主要原因是：本年增加人大代表开会及培训，因此增加相应的经费支出</w:t>
      </w:r>
      <w:r>
        <w:rPr>
          <w:rFonts w:hint="default" w:ascii="Times New Roman" w:hAnsi="Times New Roman" w:eastAsia="方正仿宋_GBK" w:cs="Times New Roman"/>
          <w:bCs/>
          <w:kern w:val="0"/>
          <w:sz w:val="32"/>
          <w:szCs w:val="32"/>
          <w:lang w:val="zh-CN"/>
        </w:rPr>
        <w:t>。</w:t>
      </w:r>
    </w:p>
    <w:p>
      <w:pPr>
        <w:ind w:firstLine="640" w:firstLineChars="200"/>
        <w:jc w:val="left"/>
        <w:outlineLvl w:val="1"/>
        <w:rPr>
          <w:rFonts w:hint="default" w:ascii="Times New Roman" w:hAnsi="Times New Roman" w:eastAsia="方正仿宋_GBK" w:cs="Times New Roman"/>
          <w:bCs/>
          <w:kern w:val="0"/>
          <w:sz w:val="32"/>
          <w:szCs w:val="32"/>
          <w:lang w:val="en-US" w:eastAsia="zh-CN"/>
        </w:rPr>
      </w:pPr>
      <w:r>
        <w:rPr>
          <w:rFonts w:hint="default" w:ascii="Times New Roman" w:hAnsi="Times New Roman" w:eastAsia="方正仿宋_GBK" w:cs="Times New Roman"/>
          <w:bCs/>
          <w:kern w:val="0"/>
          <w:sz w:val="32"/>
          <w:szCs w:val="32"/>
          <w:lang w:val="en-US" w:eastAsia="zh-CN"/>
        </w:rPr>
        <w:t>3</w:t>
      </w:r>
      <w:r>
        <w:rPr>
          <w:rFonts w:hint="default" w:ascii="Times New Roman" w:hAnsi="Times New Roman" w:eastAsia="方正仿宋_GBK" w:cs="Times New Roman"/>
          <w:bCs/>
          <w:kern w:val="0"/>
          <w:sz w:val="32"/>
          <w:szCs w:val="32"/>
        </w:rPr>
        <w:t>.一般公共服务支出（类）政府办公厅（室）及相关机构事务（款）行政运行（项）:支出决算数为1,135.36万元，比上年决算增加237.57万元，增长26.46%，主要原因是：</w:t>
      </w:r>
      <w:r>
        <w:rPr>
          <w:rFonts w:hint="default" w:ascii="Times New Roman" w:hAnsi="Times New Roman" w:eastAsia="方正仿宋_GBK" w:cs="Times New Roman"/>
          <w:bCs/>
          <w:kern w:val="0"/>
          <w:sz w:val="32"/>
          <w:szCs w:val="32"/>
          <w:lang w:val="en-US" w:eastAsia="zh-CN"/>
        </w:rPr>
        <w:t>事业运行、其他计划生育支出等科目2023年开始合并本科目中反映，因此增加相应经费。</w:t>
      </w:r>
    </w:p>
    <w:p>
      <w:pPr>
        <w:ind w:firstLine="640" w:firstLineChars="200"/>
        <w:jc w:val="left"/>
        <w:outlineLvl w:val="1"/>
        <w:rPr>
          <w:rFonts w:hint="default" w:ascii="Times New Roman" w:hAnsi="Times New Roman" w:eastAsia="方正仿宋_GBK" w:cs="Times New Roman"/>
          <w:bCs/>
          <w:kern w:val="0"/>
          <w:sz w:val="32"/>
          <w:szCs w:val="32"/>
          <w:lang w:val="zh-CN"/>
        </w:rPr>
      </w:pPr>
      <w:r>
        <w:rPr>
          <w:rFonts w:hint="default" w:ascii="Times New Roman" w:hAnsi="Times New Roman" w:eastAsia="方正仿宋_GBK" w:cs="Times New Roman"/>
          <w:bCs/>
          <w:kern w:val="0"/>
          <w:sz w:val="32"/>
          <w:szCs w:val="32"/>
          <w:lang w:val="en-US" w:eastAsia="zh-CN"/>
        </w:rPr>
        <w:t>4</w:t>
      </w:r>
      <w:r>
        <w:rPr>
          <w:rFonts w:hint="default" w:ascii="Times New Roman" w:hAnsi="Times New Roman" w:eastAsia="方正仿宋_GBK" w:cs="Times New Roman"/>
          <w:bCs/>
          <w:kern w:val="0"/>
          <w:sz w:val="32"/>
          <w:szCs w:val="32"/>
        </w:rPr>
        <w:t>.一般公共服务支出（类）政府办公厅（室）及相关机构事务（款）其他政府办公厅（室）及相关机构事务支出（项）:支出决算数为48.24万元，比上年决算增加21.05万元，增长77.41%，主要原因是：</w:t>
      </w:r>
      <w:r>
        <w:rPr>
          <w:rFonts w:hint="default" w:ascii="Times New Roman" w:hAnsi="Times New Roman" w:eastAsia="方正仿宋_GBK" w:cs="Times New Roman"/>
          <w:bCs/>
          <w:kern w:val="0"/>
          <w:sz w:val="32"/>
          <w:szCs w:val="32"/>
          <w:lang w:val="en-US" w:eastAsia="zh-CN"/>
        </w:rPr>
        <w:t>增加乡村建设经费项目</w:t>
      </w:r>
      <w:r>
        <w:rPr>
          <w:rFonts w:hint="default" w:ascii="Times New Roman" w:hAnsi="Times New Roman" w:eastAsia="方正仿宋_GBK" w:cs="Times New Roman"/>
          <w:bCs/>
          <w:kern w:val="0"/>
          <w:sz w:val="32"/>
          <w:szCs w:val="32"/>
        </w:rPr>
        <w:t>、增加相应的项目支出</w:t>
      </w:r>
      <w:r>
        <w:rPr>
          <w:rFonts w:hint="default" w:ascii="Times New Roman" w:hAnsi="Times New Roman" w:eastAsia="方正仿宋_GBK" w:cs="Times New Roman"/>
          <w:bCs/>
          <w:kern w:val="0"/>
          <w:sz w:val="32"/>
          <w:szCs w:val="32"/>
          <w:lang w:val="zh-CN"/>
        </w:rPr>
        <w:t>。</w:t>
      </w:r>
    </w:p>
    <w:p>
      <w:pPr>
        <w:ind w:firstLine="640" w:firstLineChars="200"/>
        <w:jc w:val="left"/>
        <w:outlineLvl w:val="1"/>
        <w:rPr>
          <w:rFonts w:hint="default" w:ascii="Times New Roman" w:hAnsi="Times New Roman" w:eastAsia="方正仿宋_GBK" w:cs="Times New Roman"/>
          <w:bCs/>
          <w:kern w:val="0"/>
          <w:sz w:val="32"/>
          <w:szCs w:val="32"/>
          <w:lang w:val="zh-CN"/>
        </w:rPr>
      </w:pPr>
      <w:r>
        <w:rPr>
          <w:rFonts w:hint="default" w:ascii="Times New Roman" w:hAnsi="Times New Roman" w:eastAsia="方正仿宋_GBK" w:cs="Times New Roman"/>
          <w:bCs/>
          <w:kern w:val="0"/>
          <w:sz w:val="32"/>
          <w:szCs w:val="32"/>
          <w:lang w:val="en-US" w:eastAsia="zh-CN"/>
        </w:rPr>
        <w:t>5</w:t>
      </w:r>
      <w:r>
        <w:rPr>
          <w:rFonts w:hint="default" w:ascii="Times New Roman" w:hAnsi="Times New Roman" w:eastAsia="方正仿宋_GBK" w:cs="Times New Roman"/>
          <w:bCs/>
          <w:kern w:val="0"/>
          <w:sz w:val="32"/>
          <w:szCs w:val="32"/>
        </w:rPr>
        <w:t>.一般公共服务支出（类）纪检监察事务（款）其他纪检监察事务支出（项）:支出决算数为2.66万元，比上年决算增加1.82万元，增长216.67%，主要原因是：2023年</w:t>
      </w:r>
      <w:r>
        <w:rPr>
          <w:rFonts w:hint="default" w:ascii="Times New Roman" w:hAnsi="Times New Roman" w:eastAsia="方正仿宋_GBK" w:cs="Times New Roman"/>
          <w:bCs/>
          <w:kern w:val="0"/>
          <w:sz w:val="32"/>
          <w:szCs w:val="32"/>
          <w:lang w:val="en-US" w:eastAsia="zh-CN"/>
        </w:rPr>
        <w:t>新增</w:t>
      </w:r>
      <w:r>
        <w:rPr>
          <w:rFonts w:hint="default" w:ascii="Times New Roman" w:hAnsi="Times New Roman" w:eastAsia="方正仿宋_GBK" w:cs="Times New Roman"/>
          <w:bCs/>
          <w:kern w:val="0"/>
          <w:sz w:val="32"/>
          <w:szCs w:val="32"/>
        </w:rPr>
        <w:t>新时代廉洁文化建设经费。</w:t>
      </w:r>
    </w:p>
    <w:p>
      <w:pPr>
        <w:ind w:firstLine="640" w:firstLineChars="200"/>
        <w:jc w:val="left"/>
        <w:outlineLvl w:val="1"/>
        <w:rPr>
          <w:rFonts w:hint="default" w:ascii="Times New Roman" w:hAnsi="Times New Roman" w:eastAsia="方正仿宋_GBK" w:cs="Times New Roman"/>
          <w:bCs/>
          <w:kern w:val="0"/>
          <w:sz w:val="32"/>
          <w:szCs w:val="32"/>
          <w:lang w:val="zh-CN"/>
        </w:rPr>
      </w:pPr>
      <w:r>
        <w:rPr>
          <w:rFonts w:hint="default" w:ascii="Times New Roman" w:hAnsi="Times New Roman" w:eastAsia="方正仿宋_GBK" w:cs="Times New Roman"/>
          <w:bCs/>
          <w:kern w:val="0"/>
          <w:sz w:val="32"/>
          <w:szCs w:val="32"/>
          <w:lang w:val="en-US" w:eastAsia="zh-CN"/>
        </w:rPr>
        <w:t>6</w:t>
      </w:r>
      <w:r>
        <w:rPr>
          <w:rFonts w:hint="default" w:ascii="Times New Roman" w:hAnsi="Times New Roman" w:eastAsia="方正仿宋_GBK" w:cs="Times New Roman"/>
          <w:bCs/>
          <w:kern w:val="0"/>
          <w:sz w:val="32"/>
          <w:szCs w:val="32"/>
        </w:rPr>
        <w:t>.一般公共服务支出（类）组织事务（款）其他组织事务支出（项）:支出决算数为79.09万元，比上年决算增加8.34万元，增长11.78%，主要原因是：</w:t>
      </w:r>
      <w:r>
        <w:rPr>
          <w:rFonts w:hint="default" w:ascii="Times New Roman" w:hAnsi="Times New Roman" w:eastAsia="方正仿宋_GBK" w:cs="Times New Roman"/>
          <w:bCs/>
          <w:kern w:val="0"/>
          <w:sz w:val="32"/>
          <w:szCs w:val="32"/>
          <w:lang w:val="en-US" w:eastAsia="zh-CN"/>
        </w:rPr>
        <w:t>工作队人员增加、补助经费同时增加</w:t>
      </w:r>
      <w:r>
        <w:rPr>
          <w:rFonts w:hint="default" w:ascii="Times New Roman" w:hAnsi="Times New Roman" w:eastAsia="方正仿宋_GBK" w:cs="Times New Roman"/>
          <w:bCs/>
          <w:kern w:val="0"/>
          <w:sz w:val="32"/>
          <w:szCs w:val="32"/>
        </w:rPr>
        <w:t>。</w:t>
      </w:r>
    </w:p>
    <w:p>
      <w:pPr>
        <w:ind w:firstLine="640" w:firstLineChars="200"/>
        <w:jc w:val="left"/>
        <w:outlineLvl w:val="1"/>
        <w:rPr>
          <w:rFonts w:hint="default" w:ascii="Times New Roman" w:hAnsi="Times New Roman" w:eastAsia="方正仿宋_GBK" w:cs="Times New Roman"/>
          <w:bCs/>
          <w:kern w:val="0"/>
          <w:sz w:val="32"/>
          <w:szCs w:val="32"/>
          <w:lang w:val="zh-CN"/>
        </w:rPr>
      </w:pPr>
      <w:r>
        <w:rPr>
          <w:rFonts w:hint="default" w:ascii="Times New Roman" w:hAnsi="Times New Roman" w:eastAsia="方正仿宋_GBK" w:cs="Times New Roman"/>
          <w:bCs/>
          <w:kern w:val="0"/>
          <w:sz w:val="32"/>
          <w:szCs w:val="32"/>
          <w:lang w:val="en-US" w:eastAsia="zh-CN"/>
        </w:rPr>
        <w:t>7</w:t>
      </w:r>
      <w:r>
        <w:rPr>
          <w:rFonts w:hint="default" w:ascii="Times New Roman" w:hAnsi="Times New Roman" w:eastAsia="方正仿宋_GBK" w:cs="Times New Roman"/>
          <w:bCs/>
          <w:kern w:val="0"/>
          <w:sz w:val="32"/>
          <w:szCs w:val="32"/>
        </w:rPr>
        <w:t>.一般公共服务支出（类）统战事务（款）宗教事务（项）:支出决算数为0.94万元，比上年决算增加0.94万元，增长100%，主要原因是：本年新增宗教事务办公费，因此增加相应的宗教事务项目经费支出</w:t>
      </w:r>
      <w:r>
        <w:rPr>
          <w:rFonts w:hint="default" w:ascii="Times New Roman" w:hAnsi="Times New Roman" w:eastAsia="方正仿宋_GBK" w:cs="Times New Roman"/>
          <w:bCs/>
          <w:kern w:val="0"/>
          <w:sz w:val="32"/>
          <w:szCs w:val="32"/>
          <w:lang w:val="zh-CN"/>
        </w:rPr>
        <w:t>。</w:t>
      </w:r>
    </w:p>
    <w:p>
      <w:pPr>
        <w:ind w:firstLine="640" w:firstLineChars="200"/>
        <w:jc w:val="left"/>
        <w:outlineLvl w:val="1"/>
        <w:rPr>
          <w:rFonts w:hint="default" w:ascii="Times New Roman" w:hAnsi="Times New Roman" w:eastAsia="方正仿宋_GBK" w:cs="Times New Roman"/>
          <w:bCs/>
          <w:kern w:val="0"/>
          <w:sz w:val="32"/>
          <w:szCs w:val="32"/>
          <w:lang w:val="zh-CN"/>
        </w:rPr>
      </w:pPr>
      <w:r>
        <w:rPr>
          <w:rFonts w:hint="default" w:ascii="Times New Roman" w:hAnsi="Times New Roman" w:eastAsia="方正仿宋_GBK" w:cs="Times New Roman"/>
          <w:bCs/>
          <w:kern w:val="0"/>
          <w:sz w:val="32"/>
          <w:szCs w:val="32"/>
          <w:lang w:val="en-US" w:eastAsia="zh-CN"/>
        </w:rPr>
        <w:t>8</w:t>
      </w:r>
      <w:r>
        <w:rPr>
          <w:rFonts w:hint="default" w:ascii="Times New Roman" w:hAnsi="Times New Roman" w:eastAsia="方正仿宋_GBK" w:cs="Times New Roman"/>
          <w:bCs/>
          <w:kern w:val="0"/>
          <w:sz w:val="32"/>
          <w:szCs w:val="32"/>
        </w:rPr>
        <w:t>.一般公共服务支出（类）统战事务（款）其他统战事务支出（项）:支出决算数为0.00万元，比上年决算减少3.62万元，下降100%，主要原因是：本年未安排此项经费</w:t>
      </w:r>
      <w:r>
        <w:rPr>
          <w:rFonts w:hint="default" w:ascii="Times New Roman" w:hAnsi="Times New Roman" w:eastAsia="方正仿宋_GBK" w:cs="Times New Roman"/>
          <w:bCs/>
          <w:kern w:val="0"/>
          <w:sz w:val="32"/>
          <w:szCs w:val="32"/>
          <w:lang w:val="zh-CN"/>
        </w:rPr>
        <w:t>。</w:t>
      </w:r>
    </w:p>
    <w:p>
      <w:pPr>
        <w:ind w:firstLine="640" w:firstLineChars="200"/>
        <w:jc w:val="left"/>
        <w:outlineLvl w:val="1"/>
        <w:rPr>
          <w:rFonts w:hint="default" w:ascii="Times New Roman" w:hAnsi="Times New Roman" w:eastAsia="方正仿宋_GBK" w:cs="Times New Roman"/>
          <w:bCs/>
          <w:kern w:val="0"/>
          <w:sz w:val="32"/>
          <w:szCs w:val="32"/>
          <w:lang w:val="en-US" w:eastAsia="zh-CN"/>
        </w:rPr>
      </w:pPr>
      <w:r>
        <w:rPr>
          <w:rFonts w:hint="default" w:ascii="Times New Roman" w:hAnsi="Times New Roman" w:eastAsia="方正仿宋_GBK" w:cs="Times New Roman"/>
          <w:bCs/>
          <w:kern w:val="0"/>
          <w:sz w:val="32"/>
          <w:szCs w:val="32"/>
          <w:lang w:val="en-US" w:eastAsia="zh-CN"/>
        </w:rPr>
        <w:t>9</w:t>
      </w:r>
      <w:r>
        <w:rPr>
          <w:rFonts w:hint="default" w:ascii="Times New Roman" w:hAnsi="Times New Roman" w:eastAsia="方正仿宋_GBK" w:cs="Times New Roman"/>
          <w:bCs/>
          <w:kern w:val="0"/>
          <w:sz w:val="32"/>
          <w:szCs w:val="32"/>
        </w:rPr>
        <w:t>.国防支出（类）国防动员（款）民兵（项）:支出决算数为0.00万元，比上年决算减少1.28万元，下降100%，主要原因是：本年未安排此项经费</w:t>
      </w:r>
      <w:r>
        <w:rPr>
          <w:rFonts w:hint="default" w:ascii="Times New Roman" w:hAnsi="Times New Roman" w:eastAsia="方正仿宋_GBK" w:cs="Times New Roman"/>
          <w:bCs/>
          <w:kern w:val="0"/>
          <w:sz w:val="32"/>
          <w:szCs w:val="32"/>
          <w:lang w:val="zh-CN"/>
        </w:rPr>
        <w:t>。</w:t>
      </w:r>
    </w:p>
    <w:p>
      <w:pPr>
        <w:ind w:firstLine="640" w:firstLineChars="200"/>
        <w:jc w:val="left"/>
        <w:outlineLvl w:val="1"/>
        <w:rPr>
          <w:rFonts w:hint="default" w:ascii="Times New Roman" w:hAnsi="Times New Roman" w:eastAsia="方正仿宋_GBK" w:cs="Times New Roman"/>
          <w:bCs/>
          <w:kern w:val="0"/>
          <w:sz w:val="32"/>
          <w:szCs w:val="32"/>
          <w:lang w:val="zh-CN"/>
        </w:rPr>
      </w:pPr>
      <w:r>
        <w:rPr>
          <w:rFonts w:hint="default" w:ascii="Times New Roman" w:hAnsi="Times New Roman" w:eastAsia="方正仿宋_GBK" w:cs="Times New Roman"/>
          <w:bCs/>
          <w:kern w:val="0"/>
          <w:sz w:val="32"/>
          <w:szCs w:val="32"/>
          <w:lang w:val="en-US" w:eastAsia="zh-CN"/>
        </w:rPr>
        <w:t>10</w:t>
      </w:r>
      <w:r>
        <w:rPr>
          <w:rFonts w:hint="default" w:ascii="Times New Roman" w:hAnsi="Times New Roman" w:eastAsia="方正仿宋_GBK" w:cs="Times New Roman"/>
          <w:bCs/>
          <w:kern w:val="0"/>
          <w:sz w:val="32"/>
          <w:szCs w:val="32"/>
        </w:rPr>
        <w:t>.教育支出（类）进修及培训（款）培训支出（项）:支出决算数为6.73万元，比上年决算增加4.80万元，增长248.40%，主要原因是：本年人员参加培训次数增加，因此增加相应的培训支出</w:t>
      </w:r>
      <w:r>
        <w:rPr>
          <w:rFonts w:hint="default" w:ascii="Times New Roman" w:hAnsi="Times New Roman" w:eastAsia="方正仿宋_GBK" w:cs="Times New Roman"/>
          <w:bCs/>
          <w:kern w:val="0"/>
          <w:sz w:val="32"/>
          <w:szCs w:val="32"/>
          <w:lang w:val="zh-CN"/>
        </w:rPr>
        <w:t>。</w:t>
      </w:r>
    </w:p>
    <w:p>
      <w:pPr>
        <w:ind w:firstLine="640" w:firstLineChars="200"/>
        <w:jc w:val="left"/>
        <w:outlineLvl w:val="1"/>
        <w:rPr>
          <w:rFonts w:hint="default" w:ascii="Times New Roman" w:hAnsi="Times New Roman" w:eastAsia="方正仿宋_GBK" w:cs="Times New Roman"/>
          <w:bCs/>
          <w:kern w:val="0"/>
          <w:sz w:val="32"/>
          <w:szCs w:val="32"/>
          <w:lang w:val="zh-CN"/>
        </w:rPr>
      </w:pPr>
      <w:r>
        <w:rPr>
          <w:rFonts w:hint="default" w:ascii="Times New Roman" w:hAnsi="Times New Roman" w:eastAsia="方正仿宋_GBK" w:cs="Times New Roman"/>
          <w:bCs/>
          <w:kern w:val="0"/>
          <w:sz w:val="32"/>
          <w:szCs w:val="32"/>
          <w:lang w:val="en-US" w:eastAsia="zh-CN"/>
        </w:rPr>
        <w:t>11</w:t>
      </w:r>
      <w:r>
        <w:rPr>
          <w:rFonts w:hint="default" w:ascii="Times New Roman" w:hAnsi="Times New Roman" w:eastAsia="方正仿宋_GBK" w:cs="Times New Roman"/>
          <w:bCs/>
          <w:kern w:val="0"/>
          <w:sz w:val="32"/>
          <w:szCs w:val="32"/>
        </w:rPr>
        <w:t>.科学技术支出（类）科学技术普及（款）科普活动（项）:支出决算数为0.77万元，比上年决算增加0.77万元，增长100%，主要原因是：本年新增科普活动办公费，因此增加相应的科普活动项目经费支出。</w:t>
      </w:r>
    </w:p>
    <w:p>
      <w:pPr>
        <w:ind w:firstLine="640" w:firstLineChars="200"/>
        <w:jc w:val="left"/>
        <w:outlineLvl w:val="1"/>
        <w:rPr>
          <w:rFonts w:hint="default" w:ascii="Times New Roman" w:hAnsi="Times New Roman" w:eastAsia="方正仿宋_GBK" w:cs="Times New Roman"/>
          <w:bCs/>
          <w:kern w:val="0"/>
          <w:sz w:val="32"/>
          <w:szCs w:val="32"/>
          <w:lang w:val="zh-CN"/>
        </w:rPr>
      </w:pPr>
      <w:r>
        <w:rPr>
          <w:rFonts w:hint="default" w:ascii="Times New Roman" w:hAnsi="Times New Roman" w:eastAsia="方正仿宋_GBK" w:cs="Times New Roman"/>
          <w:bCs/>
          <w:kern w:val="0"/>
          <w:sz w:val="32"/>
          <w:szCs w:val="32"/>
          <w:lang w:val="en-US" w:eastAsia="zh-CN"/>
        </w:rPr>
        <w:t>12</w:t>
      </w:r>
      <w:r>
        <w:rPr>
          <w:rFonts w:hint="default" w:ascii="Times New Roman" w:hAnsi="Times New Roman" w:eastAsia="方正仿宋_GBK" w:cs="Times New Roman"/>
          <w:bCs/>
          <w:kern w:val="0"/>
          <w:sz w:val="32"/>
          <w:szCs w:val="32"/>
        </w:rPr>
        <w:t>.文化旅游体育与传媒支出（类）文化和旅游（款）其他文化和旅游支出（项）:支出决算数为2.24万元，比上年决算减少25.39万元，下降91.89%，主要原因是：本年减少文化站在职人员，因此减少文化站在职人员工资福利支出</w:t>
      </w:r>
      <w:r>
        <w:rPr>
          <w:rFonts w:hint="default" w:ascii="Times New Roman" w:hAnsi="Times New Roman" w:eastAsia="方正仿宋_GBK" w:cs="Times New Roman"/>
          <w:bCs/>
          <w:kern w:val="0"/>
          <w:sz w:val="32"/>
          <w:szCs w:val="32"/>
          <w:lang w:val="zh-CN"/>
        </w:rPr>
        <w:t>。</w:t>
      </w:r>
    </w:p>
    <w:p>
      <w:pPr>
        <w:ind w:firstLine="640" w:firstLineChars="200"/>
        <w:jc w:val="left"/>
        <w:outlineLvl w:val="1"/>
        <w:rPr>
          <w:rFonts w:hint="default" w:ascii="Times New Roman" w:hAnsi="Times New Roman" w:eastAsia="方正仿宋_GBK" w:cs="Times New Roman"/>
          <w:bCs/>
          <w:kern w:val="0"/>
          <w:sz w:val="32"/>
          <w:szCs w:val="32"/>
          <w:lang w:val="zh-CN"/>
        </w:rPr>
      </w:pPr>
      <w:r>
        <w:rPr>
          <w:rFonts w:hint="default" w:ascii="Times New Roman" w:hAnsi="Times New Roman" w:eastAsia="方正仿宋_GBK" w:cs="Times New Roman"/>
          <w:bCs/>
          <w:kern w:val="0"/>
          <w:sz w:val="32"/>
          <w:szCs w:val="32"/>
          <w:lang w:val="en-US" w:eastAsia="zh-CN"/>
        </w:rPr>
        <w:t>13</w:t>
      </w:r>
      <w:r>
        <w:rPr>
          <w:rFonts w:hint="default" w:ascii="Times New Roman" w:hAnsi="Times New Roman" w:eastAsia="方正仿宋_GBK" w:cs="Times New Roman"/>
          <w:bCs/>
          <w:kern w:val="0"/>
          <w:sz w:val="32"/>
          <w:szCs w:val="32"/>
        </w:rPr>
        <w:t>.文化旅游体育与传媒支出（类）其他文化旅游体育与传媒支出（款）其他文化旅游体育与传媒支出（项）:支出决算数为35.05万元，比上年决算增加34.05万元，增长3405.00%，主要原因是：上年因疫情无法开展部分活动，本年文化体育活动开展次数多，因此增加其他文化旅游体育与传媒支出</w:t>
      </w:r>
      <w:r>
        <w:rPr>
          <w:rFonts w:hint="default" w:ascii="Times New Roman" w:hAnsi="Times New Roman" w:eastAsia="方正仿宋_GBK" w:cs="Times New Roman"/>
          <w:bCs/>
          <w:kern w:val="0"/>
          <w:sz w:val="32"/>
          <w:szCs w:val="32"/>
          <w:lang w:val="zh-CN"/>
        </w:rPr>
        <w:t>。</w:t>
      </w:r>
    </w:p>
    <w:p>
      <w:pPr>
        <w:ind w:firstLine="640" w:firstLineChars="200"/>
        <w:jc w:val="left"/>
        <w:outlineLvl w:val="1"/>
        <w:rPr>
          <w:rFonts w:hint="default" w:ascii="Times New Roman" w:hAnsi="Times New Roman" w:eastAsia="方正仿宋_GBK" w:cs="Times New Roman"/>
          <w:bCs/>
          <w:kern w:val="0"/>
          <w:sz w:val="32"/>
          <w:szCs w:val="32"/>
          <w:lang w:val="zh-CN"/>
        </w:rPr>
      </w:pPr>
      <w:r>
        <w:rPr>
          <w:rFonts w:hint="default" w:ascii="Times New Roman" w:hAnsi="Times New Roman" w:eastAsia="方正仿宋_GBK" w:cs="Times New Roman"/>
          <w:bCs/>
          <w:kern w:val="0"/>
          <w:sz w:val="32"/>
          <w:szCs w:val="32"/>
          <w:lang w:val="en-US" w:eastAsia="zh-CN"/>
        </w:rPr>
        <w:t>14</w:t>
      </w:r>
      <w:r>
        <w:rPr>
          <w:rFonts w:hint="default" w:ascii="Times New Roman" w:hAnsi="Times New Roman" w:eastAsia="方正仿宋_GBK" w:cs="Times New Roman"/>
          <w:bCs/>
          <w:kern w:val="0"/>
          <w:sz w:val="32"/>
          <w:szCs w:val="32"/>
        </w:rPr>
        <w:t>.社会保障和就业支出（类）行政事业单位养老支出（款）行政单位离退休（项）:支出决算数为8.71万元，比上年决算增加3.76万元，增长75.9</w:t>
      </w:r>
      <w:r>
        <w:rPr>
          <w:rFonts w:hint="eastAsia" w:eastAsia="方正仿宋_GBK" w:cs="Times New Roman"/>
          <w:bCs/>
          <w:kern w:val="0"/>
          <w:sz w:val="32"/>
          <w:szCs w:val="32"/>
          <w:lang w:val="en-US" w:eastAsia="zh-CN"/>
        </w:rPr>
        <w:t>6</w:t>
      </w:r>
      <w:r>
        <w:rPr>
          <w:rFonts w:hint="default" w:ascii="Times New Roman" w:hAnsi="Times New Roman" w:eastAsia="方正仿宋_GBK" w:cs="Times New Roman"/>
          <w:bCs/>
          <w:kern w:val="0"/>
          <w:sz w:val="32"/>
          <w:szCs w:val="32"/>
        </w:rPr>
        <w:t>%，主要原因是：本年单位工资基数提高，社保基数提高</w:t>
      </w:r>
      <w:r>
        <w:rPr>
          <w:rFonts w:hint="default" w:ascii="Times New Roman" w:hAnsi="Times New Roman" w:eastAsia="方正仿宋_GBK" w:cs="Times New Roman"/>
          <w:bCs/>
          <w:kern w:val="0"/>
          <w:sz w:val="32"/>
          <w:szCs w:val="32"/>
          <w:lang w:val="zh-CN"/>
        </w:rPr>
        <w:t>。</w:t>
      </w:r>
    </w:p>
    <w:p>
      <w:pPr>
        <w:ind w:firstLine="640" w:firstLineChars="200"/>
        <w:jc w:val="left"/>
        <w:outlineLvl w:val="1"/>
        <w:rPr>
          <w:rFonts w:hint="default" w:ascii="Times New Roman" w:hAnsi="Times New Roman" w:eastAsia="方正仿宋_GBK" w:cs="Times New Roman"/>
          <w:bCs/>
          <w:kern w:val="0"/>
          <w:sz w:val="32"/>
          <w:szCs w:val="32"/>
          <w:lang w:val="zh-CN"/>
        </w:rPr>
      </w:pPr>
      <w:r>
        <w:rPr>
          <w:rFonts w:hint="default" w:ascii="Times New Roman" w:hAnsi="Times New Roman" w:eastAsia="方正仿宋_GBK" w:cs="Times New Roman"/>
          <w:bCs/>
          <w:kern w:val="0"/>
          <w:sz w:val="32"/>
          <w:szCs w:val="32"/>
          <w:lang w:val="en-US" w:eastAsia="zh-CN"/>
        </w:rPr>
        <w:t>15</w:t>
      </w:r>
      <w:r>
        <w:rPr>
          <w:rFonts w:hint="default" w:ascii="Times New Roman" w:hAnsi="Times New Roman" w:eastAsia="方正仿宋_GBK" w:cs="Times New Roman"/>
          <w:bCs/>
          <w:kern w:val="0"/>
          <w:sz w:val="32"/>
          <w:szCs w:val="32"/>
        </w:rPr>
        <w:t>.社会保障和就业支出（类）行政事业单位养老支出（款）机关事业单位基本养老保险缴费支出（项）:支出决算数为170.62万元，比上年决算增加52.25万元，增长44.14%，主要原因是：本年单位工资基数提高，社保基数提高。</w:t>
      </w:r>
    </w:p>
    <w:p>
      <w:pPr>
        <w:ind w:firstLine="640" w:firstLineChars="200"/>
        <w:jc w:val="left"/>
        <w:outlineLvl w:val="1"/>
        <w:rPr>
          <w:rFonts w:hint="default" w:ascii="Times New Roman" w:hAnsi="Times New Roman" w:eastAsia="方正仿宋_GBK" w:cs="Times New Roman"/>
          <w:bCs/>
          <w:kern w:val="0"/>
          <w:sz w:val="32"/>
          <w:szCs w:val="32"/>
          <w:lang w:val="zh-CN"/>
        </w:rPr>
      </w:pPr>
      <w:r>
        <w:rPr>
          <w:rFonts w:hint="default" w:ascii="Times New Roman" w:hAnsi="Times New Roman" w:eastAsia="方正仿宋_GBK" w:cs="Times New Roman"/>
          <w:bCs/>
          <w:kern w:val="0"/>
          <w:sz w:val="32"/>
          <w:szCs w:val="32"/>
          <w:lang w:val="en-US" w:eastAsia="zh-CN"/>
        </w:rPr>
        <w:t>16</w:t>
      </w:r>
      <w:r>
        <w:rPr>
          <w:rFonts w:hint="default" w:ascii="Times New Roman" w:hAnsi="Times New Roman" w:eastAsia="方正仿宋_GBK" w:cs="Times New Roman"/>
          <w:bCs/>
          <w:kern w:val="0"/>
          <w:sz w:val="32"/>
          <w:szCs w:val="32"/>
        </w:rPr>
        <w:t>.社会保障和就业支出（类）行政事业单位养老支出（款）机关事业单位职业年金缴费支出（项）:支出决算数为6.50万元，比上年决算增加6.50万元，增长100%，主要原因是：本年新增2名退休人员，因此增加相应的机关事业单位职业年金缴费支出</w:t>
      </w:r>
      <w:r>
        <w:rPr>
          <w:rFonts w:hint="default" w:ascii="Times New Roman" w:hAnsi="Times New Roman" w:eastAsia="方正仿宋_GBK" w:cs="Times New Roman"/>
          <w:bCs/>
          <w:kern w:val="0"/>
          <w:sz w:val="32"/>
          <w:szCs w:val="32"/>
          <w:lang w:val="zh-CN"/>
        </w:rPr>
        <w:t>。</w:t>
      </w:r>
    </w:p>
    <w:p>
      <w:pPr>
        <w:ind w:firstLine="640" w:firstLineChars="200"/>
        <w:jc w:val="left"/>
        <w:outlineLvl w:val="1"/>
        <w:rPr>
          <w:rFonts w:hint="default" w:ascii="Times New Roman" w:hAnsi="Times New Roman" w:eastAsia="方正仿宋_GBK" w:cs="Times New Roman"/>
          <w:bCs/>
          <w:kern w:val="0"/>
          <w:sz w:val="32"/>
          <w:szCs w:val="32"/>
          <w:lang w:val="zh-CN"/>
        </w:rPr>
      </w:pPr>
      <w:r>
        <w:rPr>
          <w:rFonts w:hint="default" w:ascii="Times New Roman" w:hAnsi="Times New Roman" w:eastAsia="方正仿宋_GBK" w:cs="Times New Roman"/>
          <w:bCs/>
          <w:kern w:val="0"/>
          <w:sz w:val="32"/>
          <w:szCs w:val="32"/>
          <w:lang w:val="en-US" w:eastAsia="zh-CN"/>
        </w:rPr>
        <w:t>17</w:t>
      </w:r>
      <w:r>
        <w:rPr>
          <w:rFonts w:hint="default" w:ascii="Times New Roman" w:hAnsi="Times New Roman" w:eastAsia="方正仿宋_GBK" w:cs="Times New Roman"/>
          <w:bCs/>
          <w:kern w:val="0"/>
          <w:sz w:val="32"/>
          <w:szCs w:val="32"/>
        </w:rPr>
        <w:t>.社会保障和就业支出（类）就业补助（款）公益性岗位补贴（项）:支出决算数为48.68万元，比上年决算减少43.12万元，下降46.97%，主要原因是：2023年单位辞职5人。</w:t>
      </w:r>
    </w:p>
    <w:p>
      <w:pPr>
        <w:ind w:firstLine="640" w:firstLineChars="200"/>
        <w:jc w:val="left"/>
        <w:outlineLvl w:val="1"/>
        <w:rPr>
          <w:rFonts w:hint="default" w:ascii="Times New Roman" w:hAnsi="Times New Roman" w:eastAsia="方正仿宋_GBK" w:cs="Times New Roman"/>
          <w:bCs/>
          <w:kern w:val="0"/>
          <w:sz w:val="32"/>
          <w:szCs w:val="32"/>
          <w:lang w:val="zh-CN"/>
        </w:rPr>
      </w:pPr>
      <w:r>
        <w:rPr>
          <w:rFonts w:hint="default" w:ascii="Times New Roman" w:hAnsi="Times New Roman" w:eastAsia="方正仿宋_GBK" w:cs="Times New Roman"/>
          <w:bCs/>
          <w:kern w:val="0"/>
          <w:sz w:val="32"/>
          <w:szCs w:val="32"/>
          <w:lang w:val="en-US" w:eastAsia="zh-CN"/>
        </w:rPr>
        <w:t>18</w:t>
      </w:r>
      <w:r>
        <w:rPr>
          <w:rFonts w:hint="default" w:ascii="Times New Roman" w:hAnsi="Times New Roman" w:eastAsia="方正仿宋_GBK" w:cs="Times New Roman"/>
          <w:bCs/>
          <w:kern w:val="0"/>
          <w:sz w:val="32"/>
          <w:szCs w:val="32"/>
        </w:rPr>
        <w:t>.社会保障和就业支出（类）抚恤（款）死亡抚恤（项）:支出决算数为27.44万元，比上年决算增加27.44万元，增长100%，主要原因是：2023年本单位一名退休人员去世，财政拨付死亡人员抚恤金</w:t>
      </w:r>
      <w:r>
        <w:rPr>
          <w:rFonts w:hint="default" w:ascii="Times New Roman" w:hAnsi="Times New Roman" w:eastAsia="方正仿宋_GBK" w:cs="Times New Roman"/>
          <w:bCs/>
          <w:kern w:val="0"/>
          <w:sz w:val="32"/>
          <w:szCs w:val="32"/>
          <w:lang w:val="zh-CN"/>
        </w:rPr>
        <w:t>。</w:t>
      </w:r>
    </w:p>
    <w:p>
      <w:pPr>
        <w:ind w:firstLine="640" w:firstLineChars="200"/>
        <w:jc w:val="left"/>
        <w:outlineLvl w:val="1"/>
        <w:rPr>
          <w:rFonts w:hint="eastAsia" w:eastAsia="方正仿宋_GBK" w:cs="Times New Roman"/>
          <w:bCs/>
          <w:kern w:val="0"/>
          <w:sz w:val="32"/>
          <w:szCs w:val="32"/>
          <w:highlight w:val="none"/>
          <w:lang w:val="en-US" w:eastAsia="zh-CN"/>
        </w:rPr>
      </w:pPr>
      <w:r>
        <w:rPr>
          <w:rFonts w:hint="default" w:ascii="Times New Roman" w:hAnsi="Times New Roman" w:eastAsia="方正仿宋_GBK" w:cs="Times New Roman"/>
          <w:bCs/>
          <w:kern w:val="0"/>
          <w:sz w:val="32"/>
          <w:szCs w:val="32"/>
          <w:highlight w:val="none"/>
          <w:lang w:val="en-US" w:eastAsia="zh-CN"/>
        </w:rPr>
        <w:t>19</w:t>
      </w:r>
      <w:r>
        <w:rPr>
          <w:rFonts w:hint="default" w:ascii="Times New Roman" w:hAnsi="Times New Roman" w:eastAsia="方正仿宋_GBK" w:cs="Times New Roman"/>
          <w:bCs/>
          <w:kern w:val="0"/>
          <w:sz w:val="32"/>
          <w:szCs w:val="32"/>
          <w:highlight w:val="none"/>
        </w:rPr>
        <w:t>.社会保障和就业支出（类）社会福利（款）其他社会福利支出（项）:支出决算数为2.26万元，比上年决算增加2.26万元，增长100%，主要原因是：本年</w:t>
      </w:r>
      <w:r>
        <w:rPr>
          <w:rFonts w:hint="eastAsia" w:eastAsia="方正仿宋_GBK" w:cs="Times New Roman"/>
          <w:bCs/>
          <w:kern w:val="0"/>
          <w:sz w:val="32"/>
          <w:szCs w:val="32"/>
          <w:highlight w:val="none"/>
          <w:lang w:val="en-US" w:eastAsia="zh-CN"/>
        </w:rPr>
        <w:t>度增加人员工资，同时增加其他社会福利支出。</w:t>
      </w:r>
    </w:p>
    <w:p>
      <w:pPr>
        <w:ind w:firstLine="640" w:firstLineChars="200"/>
        <w:jc w:val="left"/>
        <w:outlineLvl w:val="1"/>
        <w:rPr>
          <w:rFonts w:hint="default" w:ascii="Times New Roman" w:hAnsi="Times New Roman" w:eastAsia="方正仿宋_GBK" w:cs="Times New Roman"/>
          <w:bCs/>
          <w:kern w:val="0"/>
          <w:sz w:val="32"/>
          <w:szCs w:val="32"/>
          <w:lang w:val="zh-CN"/>
        </w:rPr>
      </w:pPr>
      <w:r>
        <w:rPr>
          <w:rFonts w:hint="default" w:ascii="Times New Roman" w:hAnsi="Times New Roman" w:eastAsia="方正仿宋_GBK" w:cs="Times New Roman"/>
          <w:bCs/>
          <w:kern w:val="0"/>
          <w:sz w:val="32"/>
          <w:szCs w:val="32"/>
          <w:lang w:val="en-US" w:eastAsia="zh-CN"/>
        </w:rPr>
        <w:t>20</w:t>
      </w:r>
      <w:r>
        <w:rPr>
          <w:rFonts w:hint="default" w:ascii="Times New Roman" w:hAnsi="Times New Roman" w:eastAsia="方正仿宋_GBK" w:cs="Times New Roman"/>
          <w:bCs/>
          <w:kern w:val="0"/>
          <w:sz w:val="32"/>
          <w:szCs w:val="32"/>
        </w:rPr>
        <w:t>.卫生健康支出（类）公共卫生（款）突发公共卫生事件应急处理（项）:支出决算数为27.09万元，比上年决算增加4.58万元，增长20.34%，主要原因是：</w:t>
      </w:r>
      <w:r>
        <w:rPr>
          <w:rFonts w:hint="default" w:ascii="Times New Roman" w:hAnsi="Times New Roman" w:eastAsia="方正仿宋_GBK" w:cs="Times New Roman"/>
          <w:bCs/>
          <w:kern w:val="0"/>
          <w:sz w:val="32"/>
          <w:szCs w:val="32"/>
          <w:lang w:val="en-US" w:eastAsia="zh-CN"/>
        </w:rPr>
        <w:t>疫情防控项目经费增加、偿还历年欠款</w:t>
      </w:r>
      <w:r>
        <w:rPr>
          <w:rFonts w:hint="default" w:ascii="Times New Roman" w:hAnsi="Times New Roman" w:eastAsia="方正仿宋_GBK" w:cs="Times New Roman"/>
          <w:bCs/>
          <w:kern w:val="0"/>
          <w:sz w:val="32"/>
          <w:szCs w:val="32"/>
        </w:rPr>
        <w:t>，因此增加相应的经费支出</w:t>
      </w:r>
      <w:r>
        <w:rPr>
          <w:rFonts w:hint="default" w:ascii="Times New Roman" w:hAnsi="Times New Roman" w:eastAsia="方正仿宋_GBK" w:cs="Times New Roman"/>
          <w:bCs/>
          <w:kern w:val="0"/>
          <w:sz w:val="32"/>
          <w:szCs w:val="32"/>
          <w:lang w:val="zh-CN"/>
        </w:rPr>
        <w:t>。</w:t>
      </w:r>
    </w:p>
    <w:p>
      <w:pPr>
        <w:ind w:firstLine="640" w:firstLineChars="200"/>
        <w:jc w:val="left"/>
        <w:outlineLvl w:val="1"/>
        <w:rPr>
          <w:rFonts w:hint="default" w:ascii="Times New Roman" w:hAnsi="Times New Roman" w:eastAsia="方正仿宋_GBK" w:cs="Times New Roman"/>
          <w:bCs/>
          <w:kern w:val="0"/>
          <w:sz w:val="32"/>
          <w:szCs w:val="32"/>
          <w:lang w:val="zh-CN"/>
        </w:rPr>
      </w:pPr>
      <w:r>
        <w:rPr>
          <w:rFonts w:hint="default" w:ascii="Times New Roman" w:hAnsi="Times New Roman" w:eastAsia="方正仿宋_GBK" w:cs="Times New Roman"/>
          <w:bCs/>
          <w:kern w:val="0"/>
          <w:sz w:val="32"/>
          <w:szCs w:val="32"/>
          <w:lang w:val="en-US" w:eastAsia="zh-CN"/>
        </w:rPr>
        <w:t>21</w:t>
      </w:r>
      <w:r>
        <w:rPr>
          <w:rFonts w:hint="default" w:ascii="Times New Roman" w:hAnsi="Times New Roman" w:eastAsia="方正仿宋_GBK" w:cs="Times New Roman"/>
          <w:bCs/>
          <w:kern w:val="0"/>
          <w:sz w:val="32"/>
          <w:szCs w:val="32"/>
        </w:rPr>
        <w:t>.卫生健康支出（类）计划生育事务（款）其他计划生育事务支出（项）:支出决算数为0.00万元，比上年决算减少44.91万元，下降100%，主要原因是：</w:t>
      </w:r>
      <w:r>
        <w:rPr>
          <w:rFonts w:hint="default" w:ascii="Times New Roman" w:hAnsi="Times New Roman" w:eastAsia="方正仿宋_GBK" w:cs="Times New Roman"/>
          <w:bCs/>
          <w:kern w:val="0"/>
          <w:sz w:val="32"/>
          <w:szCs w:val="32"/>
          <w:lang w:val="en-US" w:eastAsia="zh-CN"/>
        </w:rPr>
        <w:t>2023年开始在主科目行政运行中反映</w:t>
      </w:r>
      <w:r>
        <w:rPr>
          <w:rFonts w:hint="default" w:ascii="Times New Roman" w:hAnsi="Times New Roman" w:eastAsia="方正仿宋_GBK" w:cs="Times New Roman"/>
          <w:bCs/>
          <w:kern w:val="0"/>
          <w:sz w:val="32"/>
          <w:szCs w:val="32"/>
          <w:lang w:val="zh-CN"/>
        </w:rPr>
        <w:t>。</w:t>
      </w:r>
    </w:p>
    <w:p>
      <w:pPr>
        <w:ind w:firstLine="640" w:firstLineChars="200"/>
        <w:jc w:val="left"/>
        <w:outlineLvl w:val="1"/>
        <w:rPr>
          <w:rFonts w:hint="default" w:ascii="Times New Roman" w:hAnsi="Times New Roman" w:eastAsia="方正仿宋_GBK" w:cs="Times New Roman"/>
          <w:bCs/>
          <w:kern w:val="0"/>
          <w:sz w:val="32"/>
          <w:szCs w:val="32"/>
          <w:lang w:val="zh-CN"/>
        </w:rPr>
      </w:pPr>
      <w:r>
        <w:rPr>
          <w:rFonts w:hint="default" w:ascii="Times New Roman" w:hAnsi="Times New Roman" w:eastAsia="方正仿宋_GBK" w:cs="Times New Roman"/>
          <w:bCs/>
          <w:kern w:val="0"/>
          <w:sz w:val="32"/>
          <w:szCs w:val="32"/>
          <w:lang w:val="en-US" w:eastAsia="zh-CN"/>
        </w:rPr>
        <w:t>22</w:t>
      </w:r>
      <w:r>
        <w:rPr>
          <w:rFonts w:hint="default" w:ascii="Times New Roman" w:hAnsi="Times New Roman" w:eastAsia="方正仿宋_GBK" w:cs="Times New Roman"/>
          <w:bCs/>
          <w:kern w:val="0"/>
          <w:sz w:val="32"/>
          <w:szCs w:val="32"/>
        </w:rPr>
        <w:t>.卫生健康支出（类）行政事业单位医疗（款）行政单位医疗（项）:支出决算数为83.99万元，比上年决算增加24.46万元，增长41.09%，主要原因是：</w:t>
      </w:r>
      <w:r>
        <w:rPr>
          <w:rFonts w:hint="eastAsia" w:ascii="Times New Roman" w:hAnsi="Times New Roman" w:eastAsia="方正仿宋_GBK" w:cs="Times New Roman"/>
          <w:bCs/>
          <w:kern w:val="0"/>
          <w:sz w:val="32"/>
          <w:szCs w:val="32"/>
          <w:lang w:val="en-US" w:eastAsia="zh-CN"/>
        </w:rPr>
        <w:t>人员工资增加、相关人员社保相关费用增加</w:t>
      </w:r>
      <w:r>
        <w:rPr>
          <w:rFonts w:hint="default" w:ascii="Times New Roman" w:hAnsi="Times New Roman" w:eastAsia="方正仿宋_GBK" w:cs="Times New Roman"/>
          <w:bCs/>
          <w:kern w:val="0"/>
          <w:sz w:val="32"/>
          <w:szCs w:val="32"/>
        </w:rPr>
        <w:t>。</w:t>
      </w:r>
    </w:p>
    <w:p>
      <w:pPr>
        <w:ind w:firstLine="640" w:firstLineChars="200"/>
        <w:jc w:val="left"/>
        <w:outlineLvl w:val="1"/>
        <w:rPr>
          <w:rFonts w:hint="default" w:ascii="Times New Roman" w:hAnsi="Times New Roman" w:eastAsia="方正仿宋_GBK" w:cs="Times New Roman"/>
          <w:bCs/>
          <w:kern w:val="0"/>
          <w:sz w:val="32"/>
          <w:szCs w:val="32"/>
          <w:lang w:val="zh-CN"/>
        </w:rPr>
      </w:pPr>
      <w:r>
        <w:rPr>
          <w:rFonts w:hint="default" w:ascii="Times New Roman" w:hAnsi="Times New Roman" w:eastAsia="方正仿宋_GBK" w:cs="Times New Roman"/>
          <w:bCs/>
          <w:kern w:val="0"/>
          <w:sz w:val="32"/>
          <w:szCs w:val="32"/>
          <w:lang w:val="en-US" w:eastAsia="zh-CN"/>
        </w:rPr>
        <w:t>23</w:t>
      </w:r>
      <w:r>
        <w:rPr>
          <w:rFonts w:hint="default" w:ascii="Times New Roman" w:hAnsi="Times New Roman" w:eastAsia="方正仿宋_GBK" w:cs="Times New Roman"/>
          <w:bCs/>
          <w:kern w:val="0"/>
          <w:sz w:val="32"/>
          <w:szCs w:val="32"/>
        </w:rPr>
        <w:t>.卫生健康支出（类）行政事业单位医疗（款）公务员医疗补助（项）:支出决算数为12.86万元，比上年决算增加1.92万元，增长17.54%，主要原因是：本年</w:t>
      </w:r>
      <w:r>
        <w:rPr>
          <w:rFonts w:hint="eastAsia" w:eastAsia="方正仿宋_GBK" w:cs="Times New Roman"/>
          <w:bCs/>
          <w:kern w:val="0"/>
          <w:sz w:val="32"/>
          <w:szCs w:val="32"/>
          <w:lang w:val="en-US" w:eastAsia="zh-CN"/>
        </w:rPr>
        <w:t>增加</w:t>
      </w:r>
      <w:r>
        <w:rPr>
          <w:rFonts w:hint="default" w:ascii="Times New Roman" w:hAnsi="Times New Roman" w:eastAsia="方正仿宋_GBK" w:cs="Times New Roman"/>
          <w:bCs/>
          <w:kern w:val="0"/>
          <w:sz w:val="32"/>
          <w:szCs w:val="32"/>
        </w:rPr>
        <w:t>在职公务员数量，因此</w:t>
      </w:r>
      <w:r>
        <w:rPr>
          <w:rFonts w:hint="eastAsia" w:eastAsia="方正仿宋_GBK" w:cs="Times New Roman"/>
          <w:bCs/>
          <w:kern w:val="0"/>
          <w:sz w:val="32"/>
          <w:szCs w:val="32"/>
          <w:lang w:val="en-US" w:eastAsia="zh-CN"/>
        </w:rPr>
        <w:t>增加</w:t>
      </w:r>
      <w:r>
        <w:rPr>
          <w:rFonts w:hint="default" w:ascii="Times New Roman" w:hAnsi="Times New Roman" w:eastAsia="方正仿宋_GBK" w:cs="Times New Roman"/>
          <w:bCs/>
          <w:kern w:val="0"/>
          <w:sz w:val="32"/>
          <w:szCs w:val="32"/>
        </w:rPr>
        <w:t>相应的公务员医疗补助支出</w:t>
      </w:r>
      <w:r>
        <w:rPr>
          <w:rFonts w:hint="default" w:ascii="Times New Roman" w:hAnsi="Times New Roman" w:eastAsia="方正仿宋_GBK" w:cs="Times New Roman"/>
          <w:bCs/>
          <w:kern w:val="0"/>
          <w:sz w:val="32"/>
          <w:szCs w:val="32"/>
          <w:lang w:val="zh-CN"/>
        </w:rPr>
        <w:t>。</w:t>
      </w:r>
    </w:p>
    <w:p>
      <w:pPr>
        <w:ind w:firstLine="640" w:firstLineChars="200"/>
        <w:jc w:val="left"/>
        <w:outlineLvl w:val="1"/>
        <w:rPr>
          <w:rFonts w:hint="default" w:ascii="Times New Roman" w:hAnsi="Times New Roman" w:eastAsia="方正仿宋_GBK" w:cs="Times New Roman"/>
          <w:bCs/>
          <w:kern w:val="0"/>
          <w:sz w:val="32"/>
          <w:szCs w:val="32"/>
          <w:lang w:val="zh-CN"/>
        </w:rPr>
      </w:pPr>
      <w:r>
        <w:rPr>
          <w:rFonts w:hint="default" w:ascii="Times New Roman" w:hAnsi="Times New Roman" w:eastAsia="方正仿宋_GBK" w:cs="Times New Roman"/>
          <w:bCs/>
          <w:kern w:val="0"/>
          <w:sz w:val="32"/>
          <w:szCs w:val="32"/>
          <w:lang w:val="en-US" w:eastAsia="zh-CN"/>
        </w:rPr>
        <w:t>24</w:t>
      </w:r>
      <w:r>
        <w:rPr>
          <w:rFonts w:hint="default" w:ascii="Times New Roman" w:hAnsi="Times New Roman" w:eastAsia="方正仿宋_GBK" w:cs="Times New Roman"/>
          <w:bCs/>
          <w:kern w:val="0"/>
          <w:sz w:val="32"/>
          <w:szCs w:val="32"/>
        </w:rPr>
        <w:t>.节能环保支出（类）环境保护管理事务（款）其他环境保护管理事务支出（项）:支出决算数为0.00万元，比上年决算减少54.55万元，下降100%，主要原因是：</w:t>
      </w:r>
      <w:r>
        <w:rPr>
          <w:rFonts w:hint="default" w:ascii="Times New Roman" w:hAnsi="Times New Roman" w:eastAsia="方正仿宋_GBK" w:cs="Times New Roman"/>
          <w:bCs/>
          <w:kern w:val="0"/>
          <w:sz w:val="32"/>
          <w:szCs w:val="32"/>
          <w:lang w:val="en-US" w:eastAsia="zh-CN"/>
        </w:rPr>
        <w:t>2023年开始在主科目行政运行中反映</w:t>
      </w:r>
      <w:r>
        <w:rPr>
          <w:rFonts w:hint="default" w:ascii="Times New Roman" w:hAnsi="Times New Roman" w:eastAsia="方正仿宋_GBK" w:cs="Times New Roman"/>
          <w:bCs/>
          <w:kern w:val="0"/>
          <w:sz w:val="32"/>
          <w:szCs w:val="32"/>
          <w:lang w:val="zh-CN"/>
        </w:rPr>
        <w:t>。</w:t>
      </w:r>
    </w:p>
    <w:p>
      <w:pPr>
        <w:ind w:firstLine="640" w:firstLineChars="200"/>
        <w:jc w:val="left"/>
        <w:outlineLvl w:val="1"/>
        <w:rPr>
          <w:rFonts w:hint="default" w:ascii="Times New Roman" w:hAnsi="Times New Roman" w:eastAsia="方正仿宋_GBK" w:cs="Times New Roman"/>
          <w:bCs/>
          <w:kern w:val="0"/>
          <w:sz w:val="32"/>
          <w:szCs w:val="32"/>
          <w:lang w:val="zh-CN"/>
        </w:rPr>
      </w:pPr>
      <w:r>
        <w:rPr>
          <w:rFonts w:hint="default" w:ascii="Times New Roman" w:hAnsi="Times New Roman" w:eastAsia="方正仿宋_GBK" w:cs="Times New Roman"/>
          <w:bCs/>
          <w:kern w:val="0"/>
          <w:sz w:val="32"/>
          <w:szCs w:val="32"/>
          <w:lang w:val="en-US" w:eastAsia="zh-CN"/>
        </w:rPr>
        <w:t>25</w:t>
      </w:r>
      <w:r>
        <w:rPr>
          <w:rFonts w:hint="default" w:ascii="Times New Roman" w:hAnsi="Times New Roman" w:eastAsia="方正仿宋_GBK" w:cs="Times New Roman"/>
          <w:bCs/>
          <w:kern w:val="0"/>
          <w:sz w:val="32"/>
          <w:szCs w:val="32"/>
        </w:rPr>
        <w:t>.节能环保支出（类）退耕还林还草（款）其他退耕还林还草支出（项）:支出决算数为0.00万元，比上年决算减少58.86万元，下降100%，主要原因是：</w:t>
      </w:r>
      <w:r>
        <w:rPr>
          <w:rFonts w:hint="default" w:ascii="Times New Roman" w:hAnsi="Times New Roman" w:eastAsia="方正仿宋_GBK" w:cs="Times New Roman"/>
          <w:bCs/>
          <w:kern w:val="0"/>
          <w:sz w:val="32"/>
          <w:szCs w:val="32"/>
          <w:lang w:val="en-US" w:eastAsia="zh-CN"/>
        </w:rPr>
        <w:t>2023年未安排此项目</w:t>
      </w:r>
      <w:r>
        <w:rPr>
          <w:rFonts w:hint="default" w:ascii="Times New Roman" w:hAnsi="Times New Roman" w:eastAsia="方正仿宋_GBK" w:cs="Times New Roman"/>
          <w:bCs/>
          <w:kern w:val="0"/>
          <w:sz w:val="32"/>
          <w:szCs w:val="32"/>
          <w:lang w:val="zh-CN"/>
        </w:rPr>
        <w:t>。</w:t>
      </w:r>
    </w:p>
    <w:p>
      <w:pPr>
        <w:ind w:firstLine="640" w:firstLineChars="200"/>
        <w:jc w:val="left"/>
        <w:outlineLvl w:val="1"/>
        <w:rPr>
          <w:rFonts w:hint="default" w:ascii="Times New Roman" w:hAnsi="Times New Roman" w:eastAsia="方正仿宋_GBK" w:cs="Times New Roman"/>
          <w:bCs/>
          <w:kern w:val="0"/>
          <w:sz w:val="32"/>
          <w:szCs w:val="32"/>
          <w:lang w:val="en-US" w:eastAsia="zh-CN"/>
        </w:rPr>
      </w:pPr>
      <w:r>
        <w:rPr>
          <w:rFonts w:hint="default" w:ascii="Times New Roman" w:hAnsi="Times New Roman" w:eastAsia="方正仿宋_GBK" w:cs="Times New Roman"/>
          <w:bCs/>
          <w:kern w:val="0"/>
          <w:sz w:val="32"/>
          <w:szCs w:val="32"/>
          <w:lang w:val="en-US" w:eastAsia="zh-CN"/>
        </w:rPr>
        <w:t>26</w:t>
      </w:r>
      <w:r>
        <w:rPr>
          <w:rFonts w:hint="default" w:ascii="Times New Roman" w:hAnsi="Times New Roman" w:eastAsia="方正仿宋_GBK" w:cs="Times New Roman"/>
          <w:bCs/>
          <w:kern w:val="0"/>
          <w:sz w:val="32"/>
          <w:szCs w:val="32"/>
        </w:rPr>
        <w:t>.农林水支出（类）农业农村（款）事业运行（项）:支出决算数为0.00万元，比上年决算减少313.57万元，下降100%，主要原因是：</w:t>
      </w:r>
      <w:r>
        <w:rPr>
          <w:rFonts w:hint="default" w:ascii="Times New Roman" w:hAnsi="Times New Roman" w:eastAsia="方正仿宋_GBK" w:cs="Times New Roman"/>
          <w:bCs/>
          <w:kern w:val="0"/>
          <w:sz w:val="32"/>
          <w:szCs w:val="32"/>
          <w:lang w:val="en-US" w:eastAsia="zh-CN"/>
        </w:rPr>
        <w:t>2023年开始在主科目行政运行中反映</w:t>
      </w:r>
      <w:r>
        <w:rPr>
          <w:rFonts w:hint="default" w:ascii="Times New Roman" w:hAnsi="Times New Roman" w:eastAsia="方正仿宋_GBK" w:cs="Times New Roman"/>
          <w:bCs/>
          <w:kern w:val="0"/>
          <w:sz w:val="32"/>
          <w:szCs w:val="32"/>
          <w:lang w:val="zh-CN"/>
        </w:rPr>
        <w:t>。</w:t>
      </w:r>
    </w:p>
    <w:p>
      <w:pPr>
        <w:ind w:firstLine="640" w:firstLineChars="200"/>
        <w:jc w:val="left"/>
        <w:outlineLvl w:val="1"/>
        <w:rPr>
          <w:rFonts w:hint="default" w:ascii="Times New Roman" w:hAnsi="Times New Roman" w:eastAsia="方正仿宋_GBK" w:cs="Times New Roman"/>
          <w:bCs/>
          <w:kern w:val="0"/>
          <w:sz w:val="32"/>
          <w:szCs w:val="32"/>
          <w:lang w:val="zh-CN"/>
        </w:rPr>
      </w:pPr>
      <w:r>
        <w:rPr>
          <w:rFonts w:hint="default" w:ascii="Times New Roman" w:hAnsi="Times New Roman" w:eastAsia="方正仿宋_GBK" w:cs="Times New Roman"/>
          <w:bCs/>
          <w:kern w:val="0"/>
          <w:sz w:val="32"/>
          <w:szCs w:val="32"/>
          <w:lang w:val="en-US" w:eastAsia="zh-CN"/>
        </w:rPr>
        <w:t>27</w:t>
      </w:r>
      <w:r>
        <w:rPr>
          <w:rFonts w:hint="default" w:ascii="Times New Roman" w:hAnsi="Times New Roman" w:eastAsia="方正仿宋_GBK" w:cs="Times New Roman"/>
          <w:bCs/>
          <w:kern w:val="0"/>
          <w:sz w:val="32"/>
          <w:szCs w:val="32"/>
        </w:rPr>
        <w:t>.农林水支出（类）巩固脱贫攻坚成果衔接乡村振兴（款）生产发展（项）:支出决算数为261.40万元，比上年决算减少424.49万元，下降61.89%，主要原因是：本年</w:t>
      </w:r>
      <w:r>
        <w:rPr>
          <w:rFonts w:hint="eastAsia" w:eastAsia="方正仿宋_GBK" w:cs="Times New Roman"/>
          <w:bCs/>
          <w:kern w:val="0"/>
          <w:sz w:val="32"/>
          <w:szCs w:val="32"/>
          <w:lang w:val="en-US" w:eastAsia="zh-CN"/>
        </w:rPr>
        <w:t>减少</w:t>
      </w:r>
      <w:r>
        <w:rPr>
          <w:rFonts w:hint="default" w:ascii="Times New Roman" w:hAnsi="Times New Roman" w:eastAsia="方正仿宋_GBK" w:cs="Times New Roman"/>
          <w:bCs/>
          <w:kern w:val="0"/>
          <w:sz w:val="32"/>
          <w:szCs w:val="32"/>
        </w:rPr>
        <w:t>人居环境整治等乡村振兴项目，因此</w:t>
      </w:r>
      <w:r>
        <w:rPr>
          <w:rFonts w:hint="eastAsia" w:eastAsia="方正仿宋_GBK" w:cs="Times New Roman"/>
          <w:bCs/>
          <w:kern w:val="0"/>
          <w:sz w:val="32"/>
          <w:szCs w:val="32"/>
          <w:lang w:val="en-US" w:eastAsia="zh-CN"/>
        </w:rPr>
        <w:t>减少</w:t>
      </w:r>
      <w:r>
        <w:rPr>
          <w:rFonts w:hint="default" w:ascii="Times New Roman" w:hAnsi="Times New Roman" w:eastAsia="方正仿宋_GBK" w:cs="Times New Roman"/>
          <w:bCs/>
          <w:kern w:val="0"/>
          <w:sz w:val="32"/>
          <w:szCs w:val="32"/>
        </w:rPr>
        <w:t>相应的项目支出</w:t>
      </w:r>
      <w:r>
        <w:rPr>
          <w:rFonts w:hint="default" w:ascii="Times New Roman" w:hAnsi="Times New Roman" w:eastAsia="方正仿宋_GBK" w:cs="Times New Roman"/>
          <w:bCs/>
          <w:kern w:val="0"/>
          <w:sz w:val="32"/>
          <w:szCs w:val="32"/>
          <w:lang w:val="zh-CN"/>
        </w:rPr>
        <w:t>。</w:t>
      </w:r>
    </w:p>
    <w:p>
      <w:pPr>
        <w:ind w:firstLine="640" w:firstLineChars="200"/>
        <w:jc w:val="left"/>
        <w:outlineLvl w:val="1"/>
        <w:rPr>
          <w:rFonts w:hint="default" w:ascii="Times New Roman" w:hAnsi="Times New Roman" w:eastAsia="方正仿宋_GBK" w:cs="Times New Roman"/>
          <w:bCs/>
          <w:kern w:val="0"/>
          <w:sz w:val="32"/>
          <w:szCs w:val="32"/>
          <w:lang w:val="zh-CN"/>
        </w:rPr>
      </w:pPr>
      <w:r>
        <w:rPr>
          <w:rFonts w:hint="default" w:ascii="Times New Roman" w:hAnsi="Times New Roman" w:eastAsia="方正仿宋_GBK" w:cs="Times New Roman"/>
          <w:bCs/>
          <w:kern w:val="0"/>
          <w:sz w:val="32"/>
          <w:szCs w:val="32"/>
          <w:lang w:val="en-US" w:eastAsia="zh-CN"/>
        </w:rPr>
        <w:t>28</w:t>
      </w:r>
      <w:r>
        <w:rPr>
          <w:rFonts w:hint="default" w:ascii="Times New Roman" w:hAnsi="Times New Roman" w:eastAsia="方正仿宋_GBK" w:cs="Times New Roman"/>
          <w:bCs/>
          <w:kern w:val="0"/>
          <w:sz w:val="32"/>
          <w:szCs w:val="32"/>
        </w:rPr>
        <w:t>.农林水支出（类）巩固脱贫攻坚成果衔接乡村振兴（款）其他巩固脱贫攻坚成果衔接乡村振兴支出（项）:支出决算数为47.78万元，比上年决算增加47.78万元，增长100%，主要原因是：本年增加“雨露计划”、特设岗及乡村振兴工作人员生活补助等乡村振兴项目资金</w:t>
      </w:r>
      <w:r>
        <w:rPr>
          <w:rFonts w:hint="default" w:ascii="Times New Roman" w:hAnsi="Times New Roman" w:eastAsia="方正仿宋_GBK" w:cs="Times New Roman"/>
          <w:bCs/>
          <w:kern w:val="0"/>
          <w:sz w:val="32"/>
          <w:szCs w:val="32"/>
          <w:lang w:val="zh-CN"/>
        </w:rPr>
        <w:t>。</w:t>
      </w:r>
    </w:p>
    <w:p>
      <w:pPr>
        <w:ind w:firstLine="640" w:firstLineChars="200"/>
        <w:jc w:val="left"/>
        <w:outlineLvl w:val="1"/>
        <w:rPr>
          <w:rFonts w:hint="default" w:ascii="Times New Roman" w:hAnsi="Times New Roman" w:eastAsia="方正仿宋_GBK" w:cs="Times New Roman"/>
          <w:bCs/>
          <w:kern w:val="0"/>
          <w:sz w:val="32"/>
          <w:szCs w:val="32"/>
          <w:lang w:val="zh-CN"/>
        </w:rPr>
      </w:pPr>
      <w:r>
        <w:rPr>
          <w:rFonts w:hint="default" w:ascii="Times New Roman" w:hAnsi="Times New Roman" w:eastAsia="方正仿宋_GBK" w:cs="Times New Roman"/>
          <w:bCs/>
          <w:kern w:val="0"/>
          <w:sz w:val="32"/>
          <w:szCs w:val="32"/>
          <w:lang w:val="en-US" w:eastAsia="zh-CN"/>
        </w:rPr>
        <w:t>29</w:t>
      </w:r>
      <w:r>
        <w:rPr>
          <w:rFonts w:hint="default" w:ascii="Times New Roman" w:hAnsi="Times New Roman" w:eastAsia="方正仿宋_GBK" w:cs="Times New Roman"/>
          <w:bCs/>
          <w:kern w:val="0"/>
          <w:sz w:val="32"/>
          <w:szCs w:val="32"/>
        </w:rPr>
        <w:t>.农林水支出（类）农村综合改革（款）对村民委员会和村党支部的补助（项）:支出决算数为325.58万元，比上年决算增加161.17万元，增长98.03%，主要原因是：本年增加村两委及小组长工资增加</w:t>
      </w:r>
      <w:r>
        <w:rPr>
          <w:rFonts w:hint="default" w:ascii="Times New Roman" w:hAnsi="Times New Roman" w:eastAsia="方正仿宋_GBK" w:cs="Times New Roman"/>
          <w:bCs/>
          <w:kern w:val="0"/>
          <w:sz w:val="32"/>
          <w:szCs w:val="32"/>
          <w:lang w:eastAsia="zh-CN"/>
        </w:rPr>
        <w:t>，</w:t>
      </w:r>
      <w:r>
        <w:rPr>
          <w:rFonts w:hint="default" w:ascii="Times New Roman" w:hAnsi="Times New Roman" w:eastAsia="方正仿宋_GBK" w:cs="Times New Roman"/>
          <w:bCs/>
          <w:kern w:val="0"/>
          <w:sz w:val="32"/>
          <w:szCs w:val="32"/>
          <w:lang w:val="en-US" w:eastAsia="zh-CN"/>
        </w:rPr>
        <w:t>村级组织运转经费保障率增加</w:t>
      </w:r>
      <w:r>
        <w:rPr>
          <w:rFonts w:hint="default" w:ascii="Times New Roman" w:hAnsi="Times New Roman" w:eastAsia="方正仿宋_GBK" w:cs="Times New Roman"/>
          <w:bCs/>
          <w:kern w:val="0"/>
          <w:sz w:val="32"/>
          <w:szCs w:val="32"/>
          <w:lang w:val="zh-CN"/>
        </w:rPr>
        <w:t>。</w:t>
      </w:r>
    </w:p>
    <w:p>
      <w:pPr>
        <w:ind w:firstLine="640" w:firstLineChars="200"/>
        <w:jc w:val="left"/>
        <w:outlineLvl w:val="1"/>
        <w:rPr>
          <w:rFonts w:hint="default" w:ascii="Times New Roman" w:hAnsi="Times New Roman" w:eastAsia="方正仿宋_GBK" w:cs="Times New Roman"/>
          <w:bCs/>
          <w:kern w:val="0"/>
          <w:sz w:val="32"/>
          <w:szCs w:val="32"/>
          <w:lang w:val="zh-CN"/>
        </w:rPr>
      </w:pPr>
      <w:r>
        <w:rPr>
          <w:rFonts w:hint="default" w:ascii="Times New Roman" w:hAnsi="Times New Roman" w:eastAsia="方正仿宋_GBK" w:cs="Times New Roman"/>
          <w:bCs/>
          <w:kern w:val="0"/>
          <w:sz w:val="32"/>
          <w:szCs w:val="32"/>
          <w:lang w:val="en-US" w:eastAsia="zh-CN"/>
        </w:rPr>
        <w:t>30</w:t>
      </w:r>
      <w:r>
        <w:rPr>
          <w:rFonts w:hint="default" w:ascii="Times New Roman" w:hAnsi="Times New Roman" w:eastAsia="方正仿宋_GBK" w:cs="Times New Roman"/>
          <w:bCs/>
          <w:kern w:val="0"/>
          <w:sz w:val="32"/>
          <w:szCs w:val="32"/>
        </w:rPr>
        <w:t>.农林水支出（类）目标价格补贴（款）棉花目标价格补贴（项）:支出决算数为2,403.73万元，比上年决算增加2,403.73万元，增长100%，主要原因是：本年新增人居环境整治等乡村振兴项目，因此增加相应的项目支出</w:t>
      </w:r>
      <w:r>
        <w:rPr>
          <w:rFonts w:hint="default" w:ascii="Times New Roman" w:hAnsi="Times New Roman" w:eastAsia="方正仿宋_GBK" w:cs="Times New Roman"/>
          <w:bCs/>
          <w:kern w:val="0"/>
          <w:sz w:val="32"/>
          <w:szCs w:val="32"/>
          <w:lang w:val="zh-CN"/>
        </w:rPr>
        <w:t>。</w:t>
      </w:r>
    </w:p>
    <w:p>
      <w:pPr>
        <w:ind w:firstLine="640" w:firstLineChars="200"/>
        <w:jc w:val="left"/>
        <w:outlineLvl w:val="1"/>
        <w:rPr>
          <w:rFonts w:hint="default" w:ascii="Times New Roman" w:hAnsi="Times New Roman" w:eastAsia="方正仿宋_GBK" w:cs="Times New Roman"/>
          <w:bCs/>
          <w:kern w:val="0"/>
          <w:sz w:val="32"/>
          <w:szCs w:val="32"/>
          <w:lang w:val="zh-CN"/>
        </w:rPr>
      </w:pPr>
      <w:r>
        <w:rPr>
          <w:rFonts w:hint="default" w:ascii="Times New Roman" w:hAnsi="Times New Roman" w:eastAsia="方正仿宋_GBK" w:cs="Times New Roman"/>
          <w:bCs/>
          <w:kern w:val="0"/>
          <w:sz w:val="32"/>
          <w:szCs w:val="32"/>
          <w:lang w:val="en-US" w:eastAsia="zh-CN"/>
        </w:rPr>
        <w:t>31</w:t>
      </w:r>
      <w:r>
        <w:rPr>
          <w:rFonts w:hint="default" w:ascii="Times New Roman" w:hAnsi="Times New Roman" w:eastAsia="方正仿宋_GBK" w:cs="Times New Roman"/>
          <w:bCs/>
          <w:kern w:val="0"/>
          <w:sz w:val="32"/>
          <w:szCs w:val="32"/>
        </w:rPr>
        <w:t>.住房保障支出（类）住房改革支出（款）住房公积金（项）:支出决算数为104.84万元，比上年决算增加35.06万元，增长50.25%，主要原因是：本年在职人员工资增加，因此增加相应的住房公积金支出</w:t>
      </w:r>
      <w:r>
        <w:rPr>
          <w:rFonts w:hint="default" w:ascii="Times New Roman" w:hAnsi="Times New Roman" w:eastAsia="方正仿宋_GBK" w:cs="Times New Roman"/>
          <w:bCs/>
          <w:kern w:val="0"/>
          <w:sz w:val="32"/>
          <w:szCs w:val="32"/>
          <w:lang w:val="zh-CN"/>
        </w:rPr>
        <w:t>。</w:t>
      </w:r>
    </w:p>
    <w:p>
      <w:pPr>
        <w:ind w:firstLine="640" w:firstLineChars="200"/>
        <w:jc w:val="left"/>
        <w:outlineLvl w:val="1"/>
        <w:rPr>
          <w:rFonts w:hint="default" w:ascii="Times New Roman" w:hAnsi="Times New Roman" w:eastAsia="方正仿宋_GBK" w:cs="Times New Roman"/>
          <w:bCs/>
          <w:kern w:val="0"/>
          <w:sz w:val="32"/>
          <w:szCs w:val="32"/>
          <w:lang w:val="zh-CN"/>
        </w:rPr>
      </w:pPr>
      <w:r>
        <w:rPr>
          <w:rFonts w:hint="default" w:ascii="Times New Roman" w:hAnsi="Times New Roman" w:eastAsia="方正仿宋_GBK" w:cs="Times New Roman"/>
          <w:bCs/>
          <w:kern w:val="0"/>
          <w:sz w:val="32"/>
          <w:szCs w:val="32"/>
          <w:lang w:val="en-US" w:eastAsia="zh-CN"/>
        </w:rPr>
        <w:t>32</w:t>
      </w:r>
      <w:r>
        <w:rPr>
          <w:rFonts w:hint="default" w:ascii="Times New Roman" w:hAnsi="Times New Roman" w:eastAsia="方正仿宋_GBK" w:cs="Times New Roman"/>
          <w:bCs/>
          <w:kern w:val="0"/>
          <w:sz w:val="32"/>
          <w:szCs w:val="32"/>
        </w:rPr>
        <w:t>.其他支出（类）其他支出（款）其他支出（项）:支出决算数为46.14万元，比上年决算增加46.14万元，增长100%，主要原因是：本年新增中央基建建设项目资金</w:t>
      </w:r>
    </w:p>
    <w:p>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2,178.76万元，其中：人员经费1,931.73万元，包括：基本工资、津贴补贴、奖金、机关事业单位基本养老保险缴费、职业年金缴费、职工基本医疗保险缴费、公务员医疗补助缴费、其他社会保障缴费、住房公积金、医疗费、其他工资福利支出、退休费、抚恤金、生活补助、医疗费补助、其他对个人和家庭的补助。</w:t>
      </w:r>
    </w:p>
    <w:p>
      <w:pPr>
        <w:ind w:firstLine="640" w:firstLineChars="200"/>
        <w:jc w:val="left"/>
        <w:rPr>
          <w:rFonts w:ascii="仿宋_GB2312" w:eastAsia="仿宋_GB2312"/>
          <w:sz w:val="32"/>
          <w:szCs w:val="32"/>
          <w:highlight w:val="red"/>
        </w:rPr>
      </w:pPr>
      <w:r>
        <w:rPr>
          <w:rFonts w:hint="eastAsia" w:ascii="仿宋_GB2312" w:eastAsia="仿宋_GB2312"/>
          <w:sz w:val="32"/>
          <w:szCs w:val="32"/>
        </w:rPr>
        <w:t>公用经费247.04万元，包括：办公费、水费、电费、邮电费、取暖费、培训费、工会经费、福利费、公务用车运行维护费、其他商品和服务支出。</w:t>
      </w:r>
    </w:p>
    <w:p>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“三公”经费支出19.20万元，</w:t>
      </w:r>
      <w:r>
        <w:rPr>
          <w:rFonts w:hint="eastAsia" w:ascii="仿宋_GB2312" w:eastAsia="仿宋_GB2312"/>
          <w:sz w:val="32"/>
          <w:szCs w:val="32"/>
        </w:rPr>
        <w:t>比上年</w:t>
      </w:r>
      <w:r>
        <w:rPr>
          <w:rFonts w:hint="eastAsia" w:ascii="仿宋_GB2312" w:eastAsia="仿宋_GB2312"/>
          <w:sz w:val="32"/>
          <w:szCs w:val="32"/>
          <w:lang w:val="zh-CN"/>
        </w:rPr>
        <w:t>增加11.52万元，</w:t>
      </w:r>
      <w:r>
        <w:rPr>
          <w:rFonts w:hint="eastAsia" w:ascii="仿宋_GB2312" w:eastAsia="仿宋_GB2312"/>
          <w:sz w:val="32"/>
          <w:szCs w:val="32"/>
        </w:rPr>
        <w:t>增长150.00%,</w:t>
      </w:r>
      <w:r>
        <w:rPr>
          <w:rFonts w:hint="eastAsia" w:ascii="仿宋_GB2312" w:eastAsia="仿宋_GB2312"/>
          <w:sz w:val="32"/>
          <w:szCs w:val="32"/>
          <w:lang w:val="zh-CN"/>
        </w:rPr>
        <w:t>主要原因是：</w:t>
      </w:r>
      <w:r>
        <w:rPr>
          <w:rFonts w:hint="eastAsia" w:ascii="仿宋_GB2312" w:eastAsia="仿宋_GB2312"/>
          <w:sz w:val="32"/>
          <w:szCs w:val="32"/>
        </w:rPr>
        <w:t>公务车辆老化、车辆维修次数频繁，因此增加相应的公务车辆支出</w:t>
      </w:r>
      <w:r>
        <w:rPr>
          <w:rFonts w:hint="eastAsia" w:ascii="仿宋_GB2312" w:eastAsia="仿宋_GB2312"/>
          <w:sz w:val="32"/>
          <w:szCs w:val="32"/>
          <w:lang w:val="zh-CN"/>
        </w:rPr>
        <w:t>。其中：因公出国（境）费支出0.00万元，占0.00%，比上年增加0.00万元，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w:t>
      </w:r>
      <w:r>
        <w:rPr>
          <w:rFonts w:hint="eastAsia" w:ascii="仿宋_GB2312" w:eastAsia="仿宋_GB2312"/>
          <w:sz w:val="32"/>
          <w:szCs w:val="32"/>
          <w:lang w:val="en-US" w:eastAsia="zh-CN"/>
        </w:rPr>
        <w:t>我单位</w:t>
      </w:r>
      <w:r>
        <w:rPr>
          <w:rFonts w:hint="eastAsia" w:ascii="仿宋_GB2312" w:eastAsia="仿宋_GB2312"/>
          <w:sz w:val="32"/>
          <w:szCs w:val="32"/>
          <w:lang w:val="zh-CN"/>
        </w:rPr>
        <w:t>无</w:t>
      </w:r>
      <w:r>
        <w:rPr>
          <w:rFonts w:hint="eastAsia" w:ascii="仿宋_GB2312" w:eastAsia="仿宋_GB2312"/>
          <w:sz w:val="32"/>
          <w:szCs w:val="32"/>
          <w:lang w:val="en-US" w:eastAsia="zh-CN"/>
        </w:rPr>
        <w:t>相应支出</w:t>
      </w:r>
      <w:r>
        <w:rPr>
          <w:rFonts w:hint="eastAsia" w:ascii="仿宋_GB2312" w:eastAsia="仿宋_GB2312"/>
          <w:sz w:val="32"/>
          <w:szCs w:val="32"/>
          <w:lang w:val="zh-CN"/>
        </w:rPr>
        <w:t>；公务用车购置及运行维护费支出19.20万元，占100.00%，比上年增加11.52万元，</w:t>
      </w:r>
      <w:r>
        <w:rPr>
          <w:rFonts w:hint="eastAsia" w:ascii="仿宋_GB2312" w:eastAsia="仿宋_GB2312"/>
          <w:sz w:val="32"/>
          <w:szCs w:val="32"/>
        </w:rPr>
        <w:t>增长150.00%,</w:t>
      </w:r>
      <w:r>
        <w:rPr>
          <w:rFonts w:hint="eastAsia" w:ascii="仿宋_GB2312" w:eastAsia="仿宋_GB2312"/>
          <w:sz w:val="32"/>
          <w:szCs w:val="32"/>
          <w:lang w:val="zh-CN"/>
        </w:rPr>
        <w:t>主要原因是：化解历年公务车辆维修费欠款；公务接待费支出0.00万元，占0.00%，比上年增加0.00万元，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w:t>
      </w:r>
      <w:r>
        <w:rPr>
          <w:rFonts w:hint="eastAsia" w:ascii="仿宋_GB2312" w:eastAsia="仿宋_GB2312"/>
          <w:sz w:val="32"/>
          <w:szCs w:val="32"/>
          <w:lang w:val="en-US" w:eastAsia="zh-CN"/>
        </w:rPr>
        <w:t>我单位</w:t>
      </w:r>
      <w:r>
        <w:rPr>
          <w:rFonts w:hint="eastAsia" w:ascii="仿宋_GB2312" w:eastAsia="仿宋_GB2312"/>
          <w:sz w:val="32"/>
          <w:szCs w:val="32"/>
          <w:lang w:val="zh-CN"/>
        </w:rPr>
        <w:t>无</w:t>
      </w:r>
      <w:r>
        <w:rPr>
          <w:rFonts w:hint="eastAsia" w:ascii="仿宋_GB2312" w:eastAsia="仿宋_GB2312"/>
          <w:sz w:val="32"/>
          <w:szCs w:val="32"/>
          <w:lang w:val="en-US" w:eastAsia="zh-CN"/>
        </w:rPr>
        <w:t>相应支出</w:t>
      </w:r>
      <w:r>
        <w:rPr>
          <w:rFonts w:hint="eastAsia" w:ascii="仿宋_GB2312" w:eastAsia="仿宋_GB2312"/>
          <w:sz w:val="32"/>
          <w:szCs w:val="32"/>
          <w:lang w:val="zh-CN"/>
        </w:rPr>
        <w:t>。</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w:t>
      </w:r>
      <w:r>
        <w:rPr>
          <w:rFonts w:hint="eastAsia" w:ascii="仿宋_GB2312" w:eastAsia="仿宋_GB2312"/>
          <w:sz w:val="32"/>
          <w:szCs w:val="32"/>
          <w:lang w:val="en-US" w:eastAsia="zh-CN"/>
        </w:rPr>
        <w:t>我单位无</w:t>
      </w:r>
      <w:r>
        <w:rPr>
          <w:rFonts w:hint="eastAsia" w:ascii="仿宋_GB2312" w:eastAsia="仿宋_GB2312"/>
          <w:sz w:val="32"/>
          <w:szCs w:val="32"/>
          <w:lang w:val="zh-CN"/>
        </w:rPr>
        <w:t>因公出国（境）费支出。单位全年安排的因公出国（境）团组0个，因公出国（境）0人次。</w:t>
      </w:r>
    </w:p>
    <w:p>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公务用车购置及运行维护费19.20万元，其中：公务用车购置费0.00万元，公务用车运行维护费19.20万元。公务用车运行维护费开支内容包括</w:t>
      </w:r>
      <w:r>
        <w:rPr>
          <w:rFonts w:hint="eastAsia" w:ascii="仿宋_GB2312" w:eastAsia="仿宋_GB2312"/>
          <w:sz w:val="32"/>
          <w:szCs w:val="32"/>
        </w:rPr>
        <w:t>公务车辆燃油费及公务车辆维修费</w:t>
      </w:r>
      <w:r>
        <w:rPr>
          <w:rFonts w:hint="eastAsia" w:ascii="仿宋_GB2312" w:eastAsia="仿宋_GB2312"/>
          <w:sz w:val="32"/>
          <w:szCs w:val="32"/>
          <w:lang w:val="zh-CN"/>
        </w:rPr>
        <w:t>。公务用车购置数0辆，公务用车保有量8辆。国有资产占用情况</w:t>
      </w:r>
      <w:r>
        <w:rPr>
          <w:rFonts w:hint="eastAsia" w:ascii="仿宋_GB2312" w:eastAsia="仿宋_GB2312"/>
          <w:sz w:val="32"/>
          <w:szCs w:val="32"/>
        </w:rPr>
        <w:t>中固定资产车辆</w:t>
      </w:r>
      <w:r>
        <w:rPr>
          <w:rFonts w:hint="eastAsia" w:ascii="仿宋_GB2312" w:eastAsia="仿宋_GB2312"/>
          <w:sz w:val="32"/>
          <w:szCs w:val="32"/>
          <w:lang w:val="en-US" w:eastAsia="zh-CN"/>
        </w:rPr>
        <w:t>8</w:t>
      </w:r>
      <w:r>
        <w:rPr>
          <w:rFonts w:hint="eastAsia" w:ascii="仿宋_GB2312" w:eastAsia="仿宋_GB2312"/>
          <w:sz w:val="32"/>
          <w:szCs w:val="32"/>
          <w:lang w:val="zh-CN"/>
        </w:rPr>
        <w:t>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w:t>
      </w:r>
      <w:r>
        <w:rPr>
          <w:rFonts w:hint="eastAsia" w:ascii="仿宋_GB2312" w:eastAsia="仿宋_GB2312"/>
          <w:sz w:val="32"/>
          <w:szCs w:val="32"/>
          <w:lang w:val="en-US" w:eastAsia="zh-CN"/>
        </w:rPr>
        <w:t>车辆与</w:t>
      </w:r>
      <w:r>
        <w:rPr>
          <w:rFonts w:hint="eastAsia" w:ascii="仿宋_GB2312" w:eastAsia="仿宋_GB2312"/>
          <w:sz w:val="32"/>
          <w:szCs w:val="32"/>
          <w:lang w:val="zh-CN"/>
        </w:rPr>
        <w:t>公务用车</w:t>
      </w:r>
      <w:r>
        <w:rPr>
          <w:rFonts w:hint="eastAsia" w:ascii="仿宋_GB2312" w:eastAsia="仿宋_GB2312"/>
          <w:sz w:val="32"/>
          <w:szCs w:val="32"/>
        </w:rPr>
        <w:t>保有量</w:t>
      </w:r>
      <w:r>
        <w:rPr>
          <w:rFonts w:hint="eastAsia" w:ascii="仿宋_GB2312" w:eastAsia="仿宋_GB2312"/>
          <w:color w:val="auto"/>
          <w:sz w:val="32"/>
          <w:szCs w:val="32"/>
          <w:highlight w:val="none"/>
          <w:lang w:val="en-US" w:eastAsia="zh-CN"/>
        </w:rPr>
        <w:t>一致，无差异</w:t>
      </w:r>
      <w:r>
        <w:rPr>
          <w:rFonts w:hint="eastAsia" w:ascii="仿宋_GB2312" w:eastAsia="仿宋_GB2312"/>
          <w:sz w:val="32"/>
          <w:szCs w:val="32"/>
          <w:lang w:val="zh-CN"/>
        </w:rPr>
        <w:t>。</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w:t>
      </w:r>
      <w:r>
        <w:rPr>
          <w:rFonts w:hint="eastAsia" w:ascii="仿宋_GB2312" w:eastAsia="仿宋_GB2312"/>
          <w:sz w:val="32"/>
          <w:szCs w:val="32"/>
          <w:lang w:val="en-US" w:eastAsia="zh-CN"/>
        </w:rPr>
        <w:t>我单位无</w:t>
      </w:r>
      <w:r>
        <w:rPr>
          <w:rFonts w:hint="eastAsia" w:ascii="仿宋_GB2312" w:eastAsia="仿宋_GB2312"/>
          <w:sz w:val="32"/>
          <w:szCs w:val="32"/>
          <w:lang w:val="zh-CN"/>
        </w:rPr>
        <w:t>公务接待费。单位全年安排的国内公务接待0批次，0人次。</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预算数19.20万元，决算数19.20万元，预决算差异率0.00%，主要原因是：</w:t>
      </w:r>
      <w:r>
        <w:rPr>
          <w:rFonts w:hint="eastAsia" w:ascii="仿宋_GB2312" w:eastAsia="仿宋_GB2312"/>
          <w:sz w:val="32"/>
          <w:szCs w:val="32"/>
        </w:rPr>
        <w:t>本年</w:t>
      </w:r>
      <w:r>
        <w:rPr>
          <w:rFonts w:hint="eastAsia" w:ascii="仿宋_GB2312" w:eastAsia="仿宋_GB2312"/>
          <w:sz w:val="32"/>
          <w:szCs w:val="32"/>
          <w:lang w:val="zh-CN"/>
        </w:rPr>
        <w:t>“三公”经费支出</w:t>
      </w:r>
      <w:r>
        <w:rPr>
          <w:rFonts w:hint="eastAsia" w:ascii="仿宋_GB2312" w:eastAsia="仿宋_GB2312"/>
          <w:sz w:val="32"/>
          <w:szCs w:val="32"/>
        </w:rPr>
        <w:t>无变动</w:t>
      </w:r>
      <w:r>
        <w:rPr>
          <w:rFonts w:hint="eastAsia" w:ascii="仿宋_GB2312" w:eastAsia="仿宋_GB2312"/>
          <w:sz w:val="32"/>
          <w:szCs w:val="32"/>
          <w:lang w:val="zh-CN"/>
        </w:rPr>
        <w:t>。其中：因公出国（境）费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w:t>
      </w:r>
      <w:r>
        <w:rPr>
          <w:rFonts w:hint="eastAsia" w:ascii="仿宋_GB2312" w:eastAsia="仿宋_GB2312"/>
          <w:sz w:val="32"/>
          <w:szCs w:val="32"/>
          <w:lang w:val="en-US" w:eastAsia="zh-CN"/>
        </w:rPr>
        <w:t>我单位无</w:t>
      </w:r>
      <w:r>
        <w:rPr>
          <w:rFonts w:hint="eastAsia" w:ascii="仿宋_GB2312" w:eastAsia="仿宋_GB2312"/>
          <w:sz w:val="32"/>
          <w:szCs w:val="32"/>
          <w:lang w:val="zh-CN"/>
        </w:rPr>
        <w:t>因公出国（境）费；公务用车购置费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eastAsia="仿宋_GB2312"/>
          <w:sz w:val="32"/>
          <w:szCs w:val="32"/>
          <w:lang w:val="en-US" w:eastAsia="zh-CN"/>
        </w:rPr>
        <w:t>我单位无</w:t>
      </w:r>
      <w:r>
        <w:rPr>
          <w:rFonts w:hint="eastAsia" w:ascii="仿宋_GB2312" w:eastAsia="仿宋_GB2312"/>
          <w:sz w:val="32"/>
          <w:szCs w:val="32"/>
          <w:lang w:val="zh-CN"/>
        </w:rPr>
        <w:t>公务用车购置费</w:t>
      </w:r>
      <w:r>
        <w:rPr>
          <w:rFonts w:hint="eastAsia" w:ascii="仿宋_GB2312" w:eastAsia="仿宋_GB2312"/>
          <w:sz w:val="32"/>
          <w:szCs w:val="32"/>
          <w:lang w:val="en-US" w:eastAsia="zh-CN"/>
        </w:rPr>
        <w:t>支出</w:t>
      </w:r>
      <w:r>
        <w:rPr>
          <w:rFonts w:hint="eastAsia" w:ascii="仿宋_GB2312" w:eastAsia="仿宋_GB2312"/>
          <w:sz w:val="32"/>
          <w:szCs w:val="32"/>
          <w:lang w:val="zh-CN"/>
        </w:rPr>
        <w:t>；公务用车运行费</w:t>
      </w:r>
      <w:r>
        <w:rPr>
          <w:rFonts w:hint="eastAsia" w:ascii="仿宋_GB2312" w:eastAsia="仿宋_GB2312"/>
          <w:sz w:val="32"/>
          <w:szCs w:val="32"/>
        </w:rPr>
        <w:t>全年</w:t>
      </w:r>
      <w:r>
        <w:rPr>
          <w:rFonts w:hint="eastAsia" w:ascii="仿宋_GB2312" w:eastAsia="仿宋_GB2312"/>
          <w:sz w:val="32"/>
          <w:szCs w:val="32"/>
          <w:lang w:val="zh-CN"/>
        </w:rPr>
        <w:t>预算数19.20万元，决算数19.20万元，预决算差异率0.00%，主要原因是：</w:t>
      </w:r>
      <w:r>
        <w:rPr>
          <w:rFonts w:hint="eastAsia" w:ascii="仿宋_GB2312" w:eastAsia="仿宋_GB2312"/>
          <w:sz w:val="32"/>
          <w:szCs w:val="32"/>
        </w:rPr>
        <w:t>本年</w:t>
      </w:r>
      <w:r>
        <w:rPr>
          <w:rFonts w:hint="eastAsia" w:ascii="仿宋_GB2312" w:eastAsia="仿宋_GB2312"/>
          <w:sz w:val="32"/>
          <w:szCs w:val="32"/>
          <w:lang w:val="zh-CN"/>
        </w:rPr>
        <w:t>“三公”经费支出</w:t>
      </w:r>
      <w:r>
        <w:rPr>
          <w:rFonts w:hint="eastAsia" w:ascii="仿宋_GB2312" w:eastAsia="仿宋_GB2312"/>
          <w:sz w:val="32"/>
          <w:szCs w:val="32"/>
        </w:rPr>
        <w:t>无变动</w:t>
      </w:r>
      <w:r>
        <w:rPr>
          <w:rFonts w:hint="eastAsia" w:ascii="仿宋_GB2312" w:eastAsia="仿宋_GB2312"/>
          <w:sz w:val="32"/>
          <w:szCs w:val="32"/>
          <w:lang w:val="zh-CN"/>
        </w:rPr>
        <w:t>；公务接待费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eastAsia="仿宋_GB2312"/>
          <w:sz w:val="32"/>
          <w:szCs w:val="32"/>
          <w:lang w:val="en-US" w:eastAsia="zh-CN"/>
        </w:rPr>
        <w:t>我单位无</w:t>
      </w:r>
      <w:r>
        <w:rPr>
          <w:rFonts w:hint="eastAsia" w:ascii="仿宋_GB2312" w:eastAsia="仿宋_GB2312"/>
          <w:sz w:val="32"/>
          <w:szCs w:val="32"/>
          <w:lang w:val="zh-CN"/>
        </w:rPr>
        <w:t>公务接待费</w:t>
      </w:r>
      <w:r>
        <w:rPr>
          <w:rFonts w:hint="eastAsia" w:ascii="仿宋_GB2312" w:eastAsia="仿宋_GB2312"/>
          <w:sz w:val="32"/>
          <w:szCs w:val="32"/>
          <w:lang w:val="en-US" w:eastAsia="zh-CN"/>
        </w:rPr>
        <w:t>支出</w:t>
      </w:r>
      <w:r>
        <w:rPr>
          <w:rFonts w:hint="eastAsia" w:ascii="仿宋_GB2312" w:eastAsia="仿宋_GB2312"/>
          <w:sz w:val="32"/>
          <w:szCs w:val="32"/>
          <w:lang w:val="zh-CN"/>
        </w:rPr>
        <w:t>。</w:t>
      </w:r>
    </w:p>
    <w:p>
      <w:pPr>
        <w:ind w:firstLine="640" w:firstLineChars="200"/>
        <w:jc w:val="left"/>
        <w:outlineLvl w:val="1"/>
        <w:rPr>
          <w:rFonts w:ascii="黑体" w:hAnsi="黑体" w:eastAsia="黑体" w:cs="宋体"/>
          <w:bCs/>
          <w:kern w:val="0"/>
          <w:sz w:val="32"/>
          <w:szCs w:val="32"/>
        </w:rPr>
      </w:pPr>
      <w:bookmarkStart w:id="18" w:name="_Toc7927"/>
      <w:bookmarkStart w:id="19" w:name="_Toc5810"/>
      <w:r>
        <w:rPr>
          <w:rFonts w:hint="eastAsia" w:ascii="黑体" w:hAnsi="黑体" w:eastAsia="黑体" w:cs="宋体"/>
          <w:bCs/>
          <w:kern w:val="0"/>
          <w:sz w:val="32"/>
          <w:szCs w:val="32"/>
        </w:rPr>
        <w:t>八、政府性基金预算财政拨款收入支出决算情况说明</w:t>
      </w:r>
      <w:bookmarkEnd w:id="18"/>
      <w:bookmarkEnd w:id="19"/>
    </w:p>
    <w:p>
      <w:pPr>
        <w:ind w:firstLine="640" w:firstLineChars="200"/>
        <w:jc w:val="left"/>
        <w:rPr>
          <w:rFonts w:eastAsia="仿宋_GB2312"/>
          <w:sz w:val="32"/>
          <w:szCs w:val="32"/>
          <w:lang w:val="zh-CN"/>
        </w:rPr>
      </w:pPr>
      <w:r>
        <w:rPr>
          <w:rFonts w:hint="eastAsia" w:eastAsia="仿宋_GB2312"/>
          <w:sz w:val="32"/>
          <w:szCs w:val="32"/>
          <w:lang w:val="zh-CN"/>
        </w:rPr>
        <w:t>2023年度政府性基金预算</w:t>
      </w:r>
      <w:r>
        <w:rPr>
          <w:rFonts w:hint="eastAsia" w:eastAsia="仿宋_GB2312"/>
          <w:sz w:val="32"/>
          <w:szCs w:val="32"/>
        </w:rPr>
        <w:t>财政拨款</w:t>
      </w:r>
      <w:r>
        <w:rPr>
          <w:rFonts w:hint="eastAsia" w:eastAsia="仿宋_GB2312"/>
          <w:sz w:val="32"/>
          <w:szCs w:val="32"/>
          <w:lang w:val="zh-CN"/>
        </w:rPr>
        <w:t>收入</w:t>
      </w:r>
      <w:r>
        <w:rPr>
          <w:rFonts w:hint="eastAsia" w:eastAsia="仿宋_GB2312"/>
          <w:sz w:val="32"/>
          <w:szCs w:val="32"/>
        </w:rPr>
        <w:t>总计18.00</w:t>
      </w:r>
      <w:r>
        <w:rPr>
          <w:rFonts w:hint="eastAsia" w:eastAsia="仿宋_GB2312"/>
          <w:sz w:val="32"/>
          <w:szCs w:val="32"/>
          <w:lang w:val="zh-CN"/>
        </w:rPr>
        <w:t>万元，</w:t>
      </w:r>
      <w:r>
        <w:rPr>
          <w:rFonts w:hint="eastAsia" w:eastAsia="仿宋_GB2312"/>
          <w:sz w:val="32"/>
          <w:szCs w:val="32"/>
        </w:rPr>
        <w:t>其中：年初结转和结余0.00</w:t>
      </w:r>
      <w:r>
        <w:rPr>
          <w:rFonts w:hint="eastAsia" w:eastAsia="仿宋_GB2312"/>
          <w:sz w:val="32"/>
          <w:szCs w:val="32"/>
          <w:lang w:val="zh-CN"/>
        </w:rPr>
        <w:t>万元，</w:t>
      </w:r>
      <w:r>
        <w:rPr>
          <w:rFonts w:hint="eastAsia" w:eastAsia="仿宋_GB2312"/>
          <w:sz w:val="32"/>
          <w:szCs w:val="32"/>
        </w:rPr>
        <w:t>本年收入18.00</w:t>
      </w:r>
      <w:r>
        <w:rPr>
          <w:rFonts w:hint="eastAsia" w:eastAsia="仿宋_GB2312"/>
          <w:sz w:val="32"/>
          <w:szCs w:val="32"/>
          <w:lang w:val="zh-CN"/>
        </w:rPr>
        <w:t>万元。政府性基金预算财政拨款支出</w:t>
      </w:r>
      <w:r>
        <w:rPr>
          <w:rFonts w:hint="eastAsia" w:eastAsia="仿宋_GB2312"/>
          <w:sz w:val="32"/>
          <w:szCs w:val="32"/>
        </w:rPr>
        <w:t>总计18.00</w:t>
      </w:r>
      <w:r>
        <w:rPr>
          <w:rFonts w:hint="eastAsia" w:eastAsia="仿宋_GB2312"/>
          <w:sz w:val="32"/>
          <w:szCs w:val="32"/>
          <w:lang w:val="zh-CN"/>
        </w:rPr>
        <w:t>万元，</w:t>
      </w:r>
      <w:r>
        <w:rPr>
          <w:rFonts w:hint="eastAsia" w:eastAsia="仿宋_GB2312"/>
          <w:sz w:val="32"/>
          <w:szCs w:val="32"/>
        </w:rPr>
        <w:t>其中：年末结转和结余0.00</w:t>
      </w:r>
      <w:r>
        <w:rPr>
          <w:rFonts w:hint="eastAsia" w:eastAsia="仿宋_GB2312"/>
          <w:sz w:val="32"/>
          <w:szCs w:val="32"/>
          <w:lang w:val="zh-CN"/>
        </w:rPr>
        <w:t>万元，</w:t>
      </w:r>
      <w:r>
        <w:rPr>
          <w:rFonts w:hint="eastAsia" w:eastAsia="仿宋_GB2312"/>
          <w:sz w:val="32"/>
          <w:szCs w:val="32"/>
        </w:rPr>
        <w:t>本年支出18.00</w:t>
      </w:r>
      <w:r>
        <w:rPr>
          <w:rFonts w:hint="eastAsia" w:eastAsia="仿宋_GB2312"/>
          <w:sz w:val="32"/>
          <w:szCs w:val="32"/>
          <w:lang w:val="zh-CN"/>
        </w:rPr>
        <w:t>万元。</w:t>
      </w:r>
    </w:p>
    <w:p>
      <w:pPr>
        <w:ind w:firstLine="640" w:firstLineChars="200"/>
        <w:rPr>
          <w:rFonts w:eastAsia="仿宋_GB2312"/>
          <w:sz w:val="32"/>
          <w:szCs w:val="32"/>
          <w:lang w:val="zh-CN"/>
        </w:rPr>
      </w:pPr>
      <w:r>
        <w:rPr>
          <w:rFonts w:hint="eastAsia" w:eastAsia="仿宋_GB2312"/>
          <w:sz w:val="32"/>
          <w:szCs w:val="32"/>
          <w:lang w:val="zh-CN"/>
        </w:rPr>
        <w:t>政府性基金预算财政拨款</w:t>
      </w:r>
      <w:r>
        <w:rPr>
          <w:rFonts w:hint="eastAsia" w:eastAsia="仿宋_GB2312"/>
          <w:sz w:val="32"/>
          <w:szCs w:val="32"/>
        </w:rPr>
        <w:t>收入支出</w:t>
      </w:r>
      <w:r>
        <w:rPr>
          <w:rFonts w:hint="eastAsia" w:eastAsia="仿宋_GB2312"/>
          <w:sz w:val="32"/>
          <w:szCs w:val="32"/>
          <w:lang w:val="zh-CN"/>
        </w:rPr>
        <w:t>与上年相比，增加18.00万元</w:t>
      </w:r>
      <w:r>
        <w:rPr>
          <w:rFonts w:hint="eastAsia" w:eastAsia="仿宋_GB2312"/>
          <w:sz w:val="32"/>
          <w:szCs w:val="32"/>
        </w:rPr>
        <w:t>,</w:t>
      </w:r>
      <w:r>
        <w:rPr>
          <w:rFonts w:hint="eastAsia" w:eastAsia="仿宋_GB2312"/>
          <w:sz w:val="32"/>
          <w:szCs w:val="32"/>
          <w:lang w:val="zh-CN"/>
        </w:rPr>
        <w:t>增长100.00%</w:t>
      </w:r>
      <w:r>
        <w:rPr>
          <w:rFonts w:hint="eastAsia" w:eastAsia="仿宋_GB2312"/>
          <w:sz w:val="32"/>
          <w:szCs w:val="32"/>
        </w:rPr>
        <w:t>,</w:t>
      </w:r>
      <w:r>
        <w:rPr>
          <w:rFonts w:hint="eastAsia" w:eastAsia="仿宋_GB2312"/>
          <w:sz w:val="32"/>
          <w:szCs w:val="32"/>
          <w:lang w:val="zh-CN"/>
        </w:rPr>
        <w:t>主要原因是：政府性基金预算财政拨款</w:t>
      </w:r>
      <w:r>
        <w:rPr>
          <w:rFonts w:hint="eastAsia" w:eastAsia="仿宋_GB2312"/>
          <w:sz w:val="32"/>
          <w:szCs w:val="32"/>
        </w:rPr>
        <w:t>收入支出</w:t>
      </w:r>
      <w:r>
        <w:rPr>
          <w:rFonts w:hint="eastAsia" w:eastAsia="仿宋_GB2312"/>
          <w:sz w:val="32"/>
          <w:szCs w:val="32"/>
          <w:lang w:val="en-US" w:eastAsia="zh-CN"/>
        </w:rPr>
        <w:t>增长</w:t>
      </w:r>
      <w:r>
        <w:rPr>
          <w:rFonts w:hint="eastAsia" w:eastAsia="仿宋_GB2312"/>
          <w:sz w:val="32"/>
          <w:szCs w:val="32"/>
          <w:lang w:val="zh-CN"/>
        </w:rPr>
        <w:t>。与年初预算相比</w:t>
      </w:r>
      <w:r>
        <w:rPr>
          <w:rFonts w:hint="eastAsia" w:eastAsia="仿宋_GB2312"/>
          <w:sz w:val="32"/>
          <w:szCs w:val="32"/>
        </w:rPr>
        <w:t>,</w:t>
      </w:r>
      <w:r>
        <w:rPr>
          <w:rFonts w:hint="eastAsia" w:eastAsia="仿宋_GB2312"/>
          <w:sz w:val="32"/>
          <w:szCs w:val="32"/>
          <w:lang w:val="zh-CN"/>
        </w:rPr>
        <w:t>年初预算数</w:t>
      </w:r>
      <w:r>
        <w:rPr>
          <w:rFonts w:hint="eastAsia" w:eastAsia="仿宋_GB2312"/>
          <w:sz w:val="32"/>
          <w:szCs w:val="32"/>
        </w:rPr>
        <w:t>0.00</w:t>
      </w:r>
      <w:r>
        <w:rPr>
          <w:rFonts w:hint="eastAsia" w:eastAsia="仿宋_GB2312"/>
          <w:sz w:val="32"/>
          <w:szCs w:val="32"/>
          <w:lang w:val="zh-CN"/>
        </w:rPr>
        <w:t>万元，决算数</w:t>
      </w:r>
      <w:r>
        <w:rPr>
          <w:rFonts w:hint="eastAsia" w:eastAsia="仿宋_GB2312"/>
          <w:sz w:val="32"/>
          <w:szCs w:val="32"/>
        </w:rPr>
        <w:t>18.00</w:t>
      </w:r>
      <w:r>
        <w:rPr>
          <w:rFonts w:hint="eastAsia" w:eastAsia="仿宋_GB2312"/>
          <w:sz w:val="32"/>
          <w:szCs w:val="32"/>
          <w:lang w:val="zh-CN"/>
        </w:rPr>
        <w:t>万元，预决算差异率0.00%，主要原因是：政府性基金预算财政拨款</w:t>
      </w:r>
      <w:r>
        <w:rPr>
          <w:rFonts w:hint="eastAsia" w:eastAsia="仿宋_GB2312"/>
          <w:sz w:val="32"/>
          <w:szCs w:val="32"/>
        </w:rPr>
        <w:t>收入支出</w:t>
      </w:r>
      <w:r>
        <w:rPr>
          <w:rFonts w:hint="eastAsia" w:eastAsia="仿宋_GB2312"/>
          <w:sz w:val="32"/>
          <w:szCs w:val="32"/>
          <w:lang w:val="en-US" w:eastAsia="zh-CN"/>
        </w:rPr>
        <w:t>增长</w:t>
      </w:r>
      <w:r>
        <w:rPr>
          <w:rFonts w:hint="eastAsia" w:eastAsia="仿宋_GB2312"/>
          <w:sz w:val="32"/>
          <w:szCs w:val="32"/>
          <w:lang w:val="zh-CN"/>
        </w:rPr>
        <w:t>。</w:t>
      </w:r>
    </w:p>
    <w:p>
      <w:pPr>
        <w:ind w:firstLine="640" w:firstLineChars="200"/>
        <w:jc w:val="left"/>
        <w:rPr>
          <w:rFonts w:eastAsia="仿宋_GB2312"/>
          <w:sz w:val="32"/>
          <w:szCs w:val="32"/>
        </w:rPr>
      </w:pPr>
      <w:r>
        <w:rPr>
          <w:rFonts w:hint="eastAsia" w:eastAsia="仿宋_GB2312"/>
          <w:sz w:val="32"/>
          <w:szCs w:val="32"/>
          <w:lang w:val="zh-CN"/>
        </w:rPr>
        <w:t>政府性基金预算财政拨款支出18.00万元。</w:t>
      </w:r>
    </w:p>
    <w:p>
      <w:pPr>
        <w:ind w:firstLine="640" w:firstLineChars="200"/>
        <w:jc w:val="left"/>
        <w:rPr>
          <w:rFonts w:eastAsia="仿宋_GB2312"/>
          <w:sz w:val="32"/>
          <w:szCs w:val="32"/>
          <w:lang w:val="zh-CN"/>
        </w:rPr>
      </w:pPr>
      <w:r>
        <w:rPr>
          <w:rFonts w:hint="eastAsia" w:eastAsia="仿宋_GB2312"/>
          <w:sz w:val="32"/>
          <w:szCs w:val="32"/>
          <w:lang w:val="zh-CN"/>
        </w:rPr>
        <w:t>1.城乡社区支出（类）国有土地使用权出让收入安排的支出（款）其他国有土地使用权出让收入安排的支出（项）:支出决算数为18.00</w:t>
      </w:r>
      <w:r>
        <w:rPr>
          <w:rFonts w:hint="eastAsia" w:eastAsia="仿宋_GB2312"/>
          <w:sz w:val="32"/>
          <w:szCs w:val="32"/>
        </w:rPr>
        <w:t>万元</w:t>
      </w:r>
      <w:r>
        <w:rPr>
          <w:rFonts w:hint="eastAsia" w:eastAsia="仿宋_GB2312"/>
          <w:sz w:val="32"/>
          <w:szCs w:val="32"/>
          <w:lang w:val="zh-CN"/>
        </w:rPr>
        <w:t>，比上年决算</w:t>
      </w:r>
      <w:r>
        <w:rPr>
          <w:rFonts w:hint="eastAsia" w:eastAsia="仿宋_GB2312"/>
          <w:sz w:val="32"/>
          <w:szCs w:val="32"/>
        </w:rPr>
        <w:t>增加</w:t>
      </w:r>
      <w:r>
        <w:rPr>
          <w:rFonts w:hint="eastAsia" w:eastAsia="仿宋_GB2312"/>
          <w:sz w:val="32"/>
          <w:szCs w:val="32"/>
          <w:lang w:val="zh-CN"/>
        </w:rPr>
        <w:t>18.00</w:t>
      </w:r>
      <w:r>
        <w:rPr>
          <w:rFonts w:hint="eastAsia" w:eastAsia="仿宋_GB2312"/>
          <w:sz w:val="32"/>
          <w:szCs w:val="32"/>
        </w:rPr>
        <w:t>万元</w:t>
      </w:r>
      <w:r>
        <w:rPr>
          <w:rFonts w:hint="eastAsia" w:eastAsia="仿宋_GB2312"/>
          <w:sz w:val="32"/>
          <w:szCs w:val="32"/>
          <w:lang w:val="zh-CN"/>
        </w:rPr>
        <w:t>，</w:t>
      </w:r>
      <w:r>
        <w:rPr>
          <w:rFonts w:hint="eastAsia" w:eastAsia="仿宋_GB2312"/>
          <w:sz w:val="32"/>
          <w:szCs w:val="32"/>
        </w:rPr>
        <w:t>增长</w:t>
      </w:r>
      <w:r>
        <w:rPr>
          <w:rFonts w:hint="eastAsia" w:eastAsia="仿宋_GB2312"/>
          <w:sz w:val="32"/>
          <w:szCs w:val="32"/>
          <w:lang w:val="zh-CN"/>
        </w:rPr>
        <w:t>100%，主要原因是：政府性基金预算财政拨款</w:t>
      </w:r>
      <w:r>
        <w:rPr>
          <w:rFonts w:hint="eastAsia" w:eastAsia="仿宋_GB2312"/>
          <w:sz w:val="32"/>
          <w:szCs w:val="32"/>
        </w:rPr>
        <w:t>收入支出</w:t>
      </w:r>
      <w:r>
        <w:rPr>
          <w:rFonts w:hint="eastAsia" w:eastAsia="仿宋_GB2312"/>
          <w:sz w:val="32"/>
          <w:szCs w:val="32"/>
          <w:lang w:val="zh-CN"/>
        </w:rPr>
        <w:t>。</w:t>
      </w:r>
    </w:p>
    <w:p>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pPr>
        <w:ind w:firstLine="640" w:firstLineChars="200"/>
        <w:jc w:val="left"/>
        <w:rPr>
          <w:rFonts w:ascii="仿宋_GB2312" w:eastAsia="仿宋_GB2312"/>
          <w:sz w:val="32"/>
          <w:szCs w:val="32"/>
        </w:rPr>
      </w:pPr>
      <w:r>
        <w:rPr>
          <w:rFonts w:hint="eastAsia" w:ascii="仿宋_GB2312" w:eastAsia="仿宋_GB2312"/>
          <w:sz w:val="32"/>
          <w:szCs w:val="32"/>
        </w:rPr>
        <w:t>我</w:t>
      </w:r>
      <w:r>
        <w:rPr>
          <w:rFonts w:hint="eastAsia" w:ascii="仿宋_GB2312" w:eastAsia="仿宋_GB2312"/>
          <w:sz w:val="32"/>
          <w:szCs w:val="32"/>
          <w:lang w:val="en-US" w:eastAsia="zh-CN"/>
        </w:rPr>
        <w:t>部门</w:t>
      </w:r>
      <w:r>
        <w:rPr>
          <w:rFonts w:hint="eastAsia" w:ascii="仿宋_GB2312" w:eastAsia="仿宋_GB2312"/>
          <w:sz w:val="32"/>
          <w:szCs w:val="32"/>
        </w:rPr>
        <w:t>本年度无国有资本经营预算财政拨款收入、支出及结转和结余，国有资本经营预算财政拨款收入支出决算表为空表。</w:t>
      </w:r>
    </w:p>
    <w:p>
      <w:pPr>
        <w:ind w:firstLine="640" w:firstLineChars="200"/>
        <w:jc w:val="left"/>
        <w:outlineLvl w:val="1"/>
        <w:rPr>
          <w:rFonts w:ascii="黑体" w:hAnsi="黑体" w:eastAsia="黑体" w:cs="宋体"/>
          <w:bCs/>
          <w:kern w:val="0"/>
          <w:sz w:val="32"/>
          <w:szCs w:val="32"/>
        </w:rPr>
      </w:pPr>
      <w:bookmarkStart w:id="20" w:name="_Toc1235"/>
      <w:bookmarkStart w:id="21" w:name="_Toc7314"/>
      <w:r>
        <w:rPr>
          <w:rFonts w:hint="eastAsia" w:ascii="黑体" w:hAnsi="黑体" w:eastAsia="黑体" w:cs="宋体"/>
          <w:bCs/>
          <w:kern w:val="0"/>
          <w:sz w:val="32"/>
          <w:szCs w:val="32"/>
        </w:rPr>
        <w:t>十、其他重要事项的情况说明</w:t>
      </w:r>
      <w:bookmarkEnd w:id="20"/>
      <w:bookmarkEnd w:id="21"/>
    </w:p>
    <w:p>
      <w:pPr>
        <w:ind w:firstLine="640" w:firstLineChars="200"/>
        <w:jc w:val="left"/>
        <w:outlineLvl w:val="2"/>
        <w:rPr>
          <w:rFonts w:ascii="黑体" w:hAnsi="黑体" w:eastAsia="黑体"/>
          <w:sz w:val="32"/>
          <w:szCs w:val="32"/>
        </w:rPr>
      </w:pPr>
      <w:bookmarkStart w:id="22" w:name="_Toc14519"/>
      <w:bookmarkStart w:id="23" w:name="_Toc13105"/>
      <w:r>
        <w:rPr>
          <w:rFonts w:hint="eastAsia" w:ascii="黑体" w:hAnsi="黑体" w:eastAsia="黑体"/>
          <w:sz w:val="32"/>
          <w:szCs w:val="32"/>
        </w:rPr>
        <w:t>（一）机关运行经费支出情况</w:t>
      </w:r>
      <w:bookmarkEnd w:id="22"/>
      <w:bookmarkEnd w:id="23"/>
    </w:p>
    <w:p>
      <w:pPr>
        <w:ind w:firstLine="640" w:firstLineChars="200"/>
        <w:rPr>
          <w:rFonts w:hint="eastAsia" w:ascii="Times New Roman" w:hAnsi="Times New Roman" w:eastAsia="仿宋_GB2312" w:cs="Times New Roman"/>
          <w:color w:val="auto"/>
          <w:sz w:val="32"/>
          <w:szCs w:val="32"/>
          <w:highlight w:val="none"/>
          <w:lang w:val="zh-CN" w:eastAsia="zh-CN"/>
        </w:rPr>
      </w:pPr>
      <w:bookmarkStart w:id="24" w:name="_Toc26704"/>
      <w:bookmarkStart w:id="25" w:name="_Toc227"/>
      <w:r>
        <w:rPr>
          <w:rFonts w:hint="eastAsia" w:eastAsia="仿宋_GB2312"/>
          <w:sz w:val="32"/>
          <w:szCs w:val="32"/>
          <w:lang w:val="zh-CN"/>
        </w:rPr>
        <w:t>2023年度</w:t>
      </w:r>
      <w:r>
        <w:rPr>
          <w:rFonts w:hint="eastAsia" w:eastAsia="仿宋_GB2312"/>
          <w:sz w:val="32"/>
          <w:szCs w:val="32"/>
        </w:rPr>
        <w:t>库尔勒市和什力克乡人民政府（行政单位和参照公务员法管理事业单位）机关运行经费支出265.04万元，</w:t>
      </w:r>
      <w:r>
        <w:rPr>
          <w:rFonts w:hint="eastAsia" w:eastAsia="仿宋_GB2312"/>
          <w:sz w:val="32"/>
          <w:szCs w:val="32"/>
          <w:lang w:val="zh-CN"/>
        </w:rPr>
        <w:t>比上年增加54.59万元，增长25.94%，</w:t>
      </w:r>
      <w:r>
        <w:rPr>
          <w:rFonts w:hint="eastAsia" w:eastAsia="仿宋_GB2312"/>
          <w:sz w:val="32"/>
          <w:szCs w:val="32"/>
          <w:highlight w:val="none"/>
          <w:lang w:val="zh-CN"/>
        </w:rPr>
        <w:t>主要原因是：</w:t>
      </w:r>
      <w:r>
        <w:rPr>
          <w:rFonts w:hint="eastAsia" w:eastAsia="仿宋_GB2312" w:cs="Times New Roman"/>
          <w:color w:val="auto"/>
          <w:sz w:val="32"/>
          <w:szCs w:val="32"/>
          <w:highlight w:val="none"/>
          <w:lang w:val="en-US" w:eastAsia="zh-CN"/>
        </w:rPr>
        <w:t>本年增加机关与各村的办公费</w:t>
      </w:r>
      <w:r>
        <w:rPr>
          <w:rFonts w:hint="eastAsia" w:ascii="Times New Roman" w:hAnsi="Times New Roman" w:eastAsia="仿宋_GB2312" w:cs="Times New Roman"/>
          <w:color w:val="auto"/>
          <w:sz w:val="32"/>
          <w:szCs w:val="32"/>
          <w:highlight w:val="none"/>
          <w:lang w:val="en-US" w:eastAsia="zh-CN"/>
        </w:rPr>
        <w:t>支出</w:t>
      </w:r>
      <w:r>
        <w:rPr>
          <w:rFonts w:hint="eastAsia" w:eastAsia="仿宋_GB2312" w:cs="Times New Roman"/>
          <w:color w:val="auto"/>
          <w:sz w:val="32"/>
          <w:szCs w:val="32"/>
          <w:highlight w:val="none"/>
          <w:lang w:val="en-US" w:eastAsia="zh-CN"/>
        </w:rPr>
        <w:t>，导致机关运行经费的增加</w:t>
      </w:r>
      <w:r>
        <w:rPr>
          <w:rFonts w:hint="eastAsia" w:ascii="Times New Roman" w:hAnsi="Times New Roman" w:eastAsia="仿宋_GB2312" w:cs="Times New Roman"/>
          <w:color w:val="auto"/>
          <w:sz w:val="32"/>
          <w:szCs w:val="32"/>
          <w:highlight w:val="none"/>
          <w:lang w:val="en-US" w:eastAsia="zh-CN"/>
        </w:rPr>
        <w:t>。</w:t>
      </w:r>
    </w:p>
    <w:p>
      <w:pPr>
        <w:ind w:firstLine="640" w:firstLineChars="200"/>
        <w:jc w:val="left"/>
        <w:rPr>
          <w:rFonts w:eastAsia="黑体"/>
          <w:sz w:val="32"/>
          <w:szCs w:val="32"/>
          <w:lang w:val="zh-CN"/>
        </w:rPr>
      </w:pPr>
      <w:r>
        <w:rPr>
          <w:rFonts w:hint="eastAsia" w:eastAsia="黑体"/>
          <w:sz w:val="32"/>
          <w:szCs w:val="32"/>
          <w:lang w:val="zh-CN"/>
        </w:rPr>
        <w:t>（二）政府采购情况</w:t>
      </w:r>
      <w:bookmarkEnd w:id="24"/>
      <w:bookmarkEnd w:id="25"/>
    </w:p>
    <w:p>
      <w:pPr>
        <w:ind w:firstLine="640" w:firstLineChars="200"/>
        <w:jc w:val="left"/>
        <w:rPr>
          <w:rFonts w:eastAsia="仿宋_GB2312"/>
          <w:sz w:val="32"/>
          <w:szCs w:val="32"/>
          <w:lang w:val="zh-CN"/>
        </w:rPr>
      </w:pPr>
      <w:r>
        <w:rPr>
          <w:rFonts w:hint="eastAsia" w:eastAsia="仿宋_GB2312"/>
          <w:sz w:val="32"/>
          <w:szCs w:val="32"/>
          <w:lang w:val="zh-CN"/>
        </w:rPr>
        <w:t>2023年度政府采购支出总额326.59万元，其中：政府采购货物支出3.18万元、政府采购工程支出305.59万元、政府采购服务支出17.82万元。</w:t>
      </w:r>
    </w:p>
    <w:p>
      <w:pPr>
        <w:ind w:firstLine="640" w:firstLineChars="200"/>
        <w:jc w:val="left"/>
        <w:rPr>
          <w:rFonts w:eastAsia="仿宋_GB2312"/>
          <w:sz w:val="32"/>
          <w:szCs w:val="32"/>
        </w:rPr>
      </w:pPr>
      <w:r>
        <w:rPr>
          <w:rFonts w:hint="eastAsia" w:eastAsia="仿宋_GB2312"/>
          <w:sz w:val="32"/>
          <w:szCs w:val="32"/>
          <w:lang w:val="zh-CN"/>
        </w:rPr>
        <w:t>授予中小企业合同金额326.59万元，占政府采购支出总额的100.00</w:t>
      </w:r>
      <w:r>
        <w:rPr>
          <w:rFonts w:eastAsia="仿宋_GB2312"/>
          <w:sz w:val="32"/>
          <w:szCs w:val="32"/>
          <w:lang w:val="zh-CN"/>
        </w:rPr>
        <w:t>%</w:t>
      </w:r>
      <w:r>
        <w:rPr>
          <w:rFonts w:hint="eastAsia" w:eastAsia="仿宋_GB2312"/>
          <w:sz w:val="32"/>
          <w:szCs w:val="32"/>
          <w:lang w:val="zh-CN"/>
        </w:rPr>
        <w:t>，其中：授予小微企业合同金额298.04万元，占政府采购支出总额的91.26</w:t>
      </w:r>
      <w:r>
        <w:rPr>
          <w:rFonts w:eastAsia="仿宋_GB2312"/>
          <w:sz w:val="32"/>
          <w:szCs w:val="32"/>
          <w:lang w:val="zh-CN"/>
        </w:rPr>
        <w:t>%</w:t>
      </w:r>
      <w:r>
        <w:rPr>
          <w:rFonts w:hint="eastAsia" w:eastAsia="仿宋_GB2312"/>
          <w:sz w:val="32"/>
          <w:szCs w:val="32"/>
        </w:rPr>
        <w:t>。</w:t>
      </w:r>
    </w:p>
    <w:p>
      <w:pPr>
        <w:ind w:firstLine="640" w:firstLineChars="200"/>
        <w:jc w:val="left"/>
        <w:rPr>
          <w:rFonts w:eastAsia="黑体"/>
          <w:sz w:val="32"/>
          <w:szCs w:val="32"/>
          <w:lang w:val="zh-CN"/>
        </w:rPr>
      </w:pPr>
      <w:bookmarkStart w:id="26" w:name="_Toc8391"/>
      <w:bookmarkStart w:id="27" w:name="_Toc4591"/>
      <w:r>
        <w:rPr>
          <w:rFonts w:hint="eastAsia" w:eastAsia="黑体"/>
          <w:sz w:val="32"/>
          <w:szCs w:val="32"/>
          <w:lang w:val="zh-CN"/>
        </w:rPr>
        <w:t>（三）国有资产占用情况说明</w:t>
      </w:r>
      <w:bookmarkEnd w:id="26"/>
      <w:bookmarkEnd w:id="27"/>
    </w:p>
    <w:p>
      <w:pPr>
        <w:ind w:firstLine="640" w:firstLineChars="200"/>
        <w:jc w:val="left"/>
        <w:rPr>
          <w:rFonts w:eastAsia="仿宋_GB2312"/>
          <w:sz w:val="32"/>
          <w:szCs w:val="32"/>
          <w:lang w:val="zh-CN"/>
        </w:rPr>
      </w:pPr>
      <w:r>
        <w:rPr>
          <w:rFonts w:hint="eastAsia" w:eastAsia="仿宋_GB2312"/>
          <w:sz w:val="32"/>
          <w:szCs w:val="32"/>
        </w:rPr>
        <w:t>截至2023</w:t>
      </w:r>
      <w:r>
        <w:rPr>
          <w:rFonts w:hint="eastAsia" w:eastAsia="仿宋_GB2312"/>
          <w:sz w:val="32"/>
          <w:szCs w:val="32"/>
          <w:lang w:val="zh-CN"/>
        </w:rPr>
        <w:t>年</w:t>
      </w:r>
      <w:r>
        <w:rPr>
          <w:rFonts w:hint="eastAsia" w:eastAsia="仿宋_GB2312"/>
          <w:sz w:val="32"/>
          <w:szCs w:val="32"/>
        </w:rPr>
        <w:t>12月31日</w:t>
      </w:r>
      <w:r>
        <w:rPr>
          <w:rFonts w:hint="eastAsia" w:eastAsia="仿宋_GB2312"/>
          <w:sz w:val="32"/>
          <w:szCs w:val="32"/>
          <w:lang w:val="zh-CN"/>
        </w:rPr>
        <w:t>，</w:t>
      </w:r>
      <w:r>
        <w:rPr>
          <w:rFonts w:hint="eastAsia" w:eastAsia="仿宋_GB2312"/>
          <w:sz w:val="32"/>
          <w:szCs w:val="32"/>
        </w:rPr>
        <w:t>固定资产原值</w:t>
      </w:r>
      <w:r>
        <w:rPr>
          <w:rFonts w:hint="eastAsia" w:eastAsia="仿宋_GB2312"/>
          <w:sz w:val="32"/>
          <w:szCs w:val="32"/>
          <w:lang w:val="zh-CN"/>
        </w:rPr>
        <w:t>872.47</w:t>
      </w:r>
      <w:r>
        <w:rPr>
          <w:rFonts w:hint="eastAsia" w:eastAsia="仿宋_GB2312"/>
          <w:sz w:val="32"/>
          <w:szCs w:val="32"/>
        </w:rPr>
        <w:t>万元，房</w:t>
      </w:r>
      <w:r>
        <w:rPr>
          <w:rFonts w:hint="eastAsia" w:eastAsia="仿宋_GB2312"/>
          <w:sz w:val="32"/>
          <w:szCs w:val="32"/>
          <w:lang w:val="zh-CN"/>
        </w:rPr>
        <w:t>屋8669.0平方米，价值486.52万元。车辆10辆，价值76.47万元，其中：副部（省）级及以上领导用车0辆、主要</w:t>
      </w:r>
      <w:r>
        <w:rPr>
          <w:rFonts w:hint="eastAsia" w:eastAsia="仿宋_GB2312"/>
          <w:sz w:val="32"/>
          <w:szCs w:val="32"/>
        </w:rPr>
        <w:t>负责人</w:t>
      </w:r>
      <w:r>
        <w:rPr>
          <w:rFonts w:hint="eastAsia" w:eastAsia="仿宋_GB2312"/>
          <w:sz w:val="32"/>
          <w:szCs w:val="32"/>
          <w:lang w:val="zh-CN"/>
        </w:rPr>
        <w:t>用车0辆、机要通信用车0辆、应急保障用车0辆、执法执勤用车1辆、特种专业技术用车0辆、离退休干部</w:t>
      </w:r>
      <w:r>
        <w:rPr>
          <w:rFonts w:hint="eastAsia" w:eastAsia="仿宋_GB2312"/>
          <w:sz w:val="32"/>
          <w:szCs w:val="32"/>
        </w:rPr>
        <w:t>服务</w:t>
      </w:r>
      <w:r>
        <w:rPr>
          <w:rFonts w:hint="eastAsia" w:eastAsia="仿宋_GB2312"/>
          <w:sz w:val="32"/>
          <w:szCs w:val="32"/>
          <w:lang w:val="zh-CN"/>
        </w:rPr>
        <w:t>用车0辆、其他用车9辆，其他用车主要是：</w:t>
      </w:r>
      <w:r>
        <w:rPr>
          <w:rFonts w:hint="eastAsia" w:ascii="仿宋_GB2312" w:eastAsia="仿宋_GB2312"/>
          <w:sz w:val="32"/>
          <w:szCs w:val="32"/>
        </w:rPr>
        <w:t>乡党委、乡政府车辆</w:t>
      </w:r>
      <w:r>
        <w:rPr>
          <w:rFonts w:hint="eastAsia" w:eastAsia="仿宋_GB2312"/>
          <w:sz w:val="32"/>
          <w:szCs w:val="32"/>
          <w:lang w:val="zh-CN"/>
        </w:rPr>
        <w:t>；单价100万元（含）以上设备（不含车辆）0</w:t>
      </w:r>
      <w:r>
        <w:rPr>
          <w:rFonts w:hint="eastAsia" w:eastAsia="仿宋_GB2312"/>
          <w:sz w:val="32"/>
          <w:szCs w:val="32"/>
        </w:rPr>
        <w:t>台（</w:t>
      </w:r>
      <w:r>
        <w:rPr>
          <w:rFonts w:hint="eastAsia" w:eastAsia="仿宋_GB2312"/>
          <w:sz w:val="32"/>
          <w:szCs w:val="32"/>
          <w:lang w:val="zh-CN"/>
        </w:rPr>
        <w:t>套）。</w:t>
      </w:r>
    </w:p>
    <w:p>
      <w:pPr>
        <w:ind w:firstLine="640" w:firstLineChars="200"/>
        <w:jc w:val="left"/>
        <w:outlineLvl w:val="1"/>
        <w:rPr>
          <w:rFonts w:ascii="黑体" w:hAnsi="黑体" w:eastAsia="黑体" w:cs="宋体"/>
          <w:bCs/>
          <w:kern w:val="0"/>
          <w:sz w:val="32"/>
          <w:szCs w:val="32"/>
        </w:rPr>
      </w:pPr>
      <w:bookmarkStart w:id="28" w:name="_Toc11283"/>
      <w:bookmarkStart w:id="29" w:name="_Toc435"/>
      <w:r>
        <w:rPr>
          <w:rFonts w:hint="eastAsia" w:ascii="黑体" w:hAnsi="黑体" w:eastAsia="黑体" w:cs="宋体"/>
          <w:bCs/>
          <w:kern w:val="0"/>
          <w:sz w:val="32"/>
          <w:szCs w:val="32"/>
        </w:rPr>
        <w:t>十一、预算绩效的情况说明</w:t>
      </w:r>
      <w:bookmarkEnd w:id="28"/>
      <w:bookmarkEnd w:id="29"/>
    </w:p>
    <w:p>
      <w:pPr>
        <w:ind w:firstLine="640" w:firstLineChars="200"/>
        <w:jc w:val="left"/>
        <w:rPr>
          <w:rFonts w:ascii="仿宋_GB2312" w:hAnsi="仿宋_GB2312" w:eastAsia="仿宋_GB2312" w:cs="仿宋_GB2312"/>
          <w:kern w:val="0"/>
          <w:sz w:val="32"/>
          <w:szCs w:val="32"/>
          <w:lang w:eastAsia="zh-Hans"/>
        </w:rPr>
      </w:pPr>
      <w:r>
        <w:rPr>
          <w:rFonts w:hint="eastAsia" w:ascii="仿宋_GB2312" w:eastAsia="仿宋_GB2312"/>
          <w:sz w:val="32"/>
          <w:szCs w:val="32"/>
        </w:rPr>
        <w:t>根据预算绩效管理要求，我</w:t>
      </w:r>
      <w:r>
        <w:rPr>
          <w:rFonts w:hint="eastAsia" w:ascii="仿宋_GB2312" w:eastAsia="仿宋_GB2312"/>
          <w:sz w:val="32"/>
          <w:szCs w:val="32"/>
          <w:lang w:val="en-US" w:eastAsia="zh-CN"/>
        </w:rPr>
        <w:t>部门</w:t>
      </w:r>
      <w:r>
        <w:rPr>
          <w:rFonts w:hint="eastAsia" w:ascii="仿宋_GB2312" w:eastAsia="仿宋_GB2312"/>
          <w:sz w:val="32"/>
          <w:szCs w:val="32"/>
        </w:rPr>
        <w:t>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w:t>
      </w:r>
      <w:r>
        <w:rPr>
          <w:rFonts w:ascii="仿宋_GB2312" w:eastAsia="仿宋_GB2312"/>
          <w:sz w:val="32"/>
          <w:szCs w:val="32"/>
        </w:rPr>
        <w:t>5014.92</w:t>
      </w:r>
      <w:r>
        <w:rPr>
          <w:rFonts w:hint="eastAsia" w:ascii="仿宋_GB2312" w:eastAsia="仿宋_GB2312"/>
          <w:sz w:val="32"/>
          <w:szCs w:val="32"/>
        </w:rPr>
        <w:t>万元，实际执行总额5014.92万元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w:t>
      </w:r>
      <w:r>
        <w:rPr>
          <w:rFonts w:hint="eastAsia" w:ascii="仿宋_GB2312" w:eastAsia="仿宋_GB2312"/>
          <w:sz w:val="32"/>
          <w:szCs w:val="32"/>
          <w:lang w:val="en-US" w:eastAsia="zh-CN"/>
        </w:rPr>
        <w:t>11</w:t>
      </w:r>
      <w:r>
        <w:rPr>
          <w:rFonts w:hint="eastAsia" w:ascii="仿宋_GB2312" w:eastAsia="仿宋_GB2312"/>
          <w:sz w:val="32"/>
          <w:szCs w:val="32"/>
        </w:rPr>
        <w:t>个，全年预算</w:t>
      </w:r>
      <w:r>
        <w:rPr>
          <w:rFonts w:hint="eastAsia" w:ascii="仿宋_GB2312" w:eastAsia="仿宋_GB2312"/>
          <w:sz w:val="32"/>
          <w:szCs w:val="32"/>
          <w:highlight w:val="none"/>
        </w:rPr>
        <w:t>数</w:t>
      </w:r>
      <w:r>
        <w:rPr>
          <w:rFonts w:hint="eastAsia" w:ascii="仿宋_GB2312" w:eastAsia="仿宋_GB2312"/>
          <w:sz w:val="32"/>
          <w:szCs w:val="32"/>
          <w:highlight w:val="none"/>
          <w:lang w:val="en-US" w:eastAsia="zh-CN"/>
        </w:rPr>
        <w:t>2590.03</w:t>
      </w:r>
      <w:r>
        <w:rPr>
          <w:rFonts w:hint="eastAsia" w:ascii="仿宋_GB2312" w:eastAsia="仿宋_GB2312"/>
          <w:sz w:val="32"/>
          <w:szCs w:val="32"/>
          <w:highlight w:val="none"/>
        </w:rPr>
        <w:t>万元，全年执行数</w:t>
      </w:r>
      <w:r>
        <w:rPr>
          <w:rFonts w:hint="eastAsia" w:ascii="仿宋_GB2312" w:eastAsia="仿宋_GB2312"/>
          <w:sz w:val="32"/>
          <w:szCs w:val="32"/>
          <w:highlight w:val="none"/>
          <w:lang w:val="en-US" w:eastAsia="zh-CN"/>
        </w:rPr>
        <w:t>2494.07</w:t>
      </w:r>
      <w:r>
        <w:rPr>
          <w:rFonts w:hint="eastAsia" w:ascii="仿宋_GB2312" w:eastAsia="仿宋_GB2312"/>
          <w:sz w:val="32"/>
          <w:szCs w:val="32"/>
        </w:rPr>
        <w:t>万元。预算绩效管理取得的成效：一是提高了绩效目标的科学性、规范性、使用性；二是开展绩效自评提升了自评质量。发现的问题及原因：一是预算绩效观念不深入：在日常绩效监控工作中存在着一定程度的“重分配、轻管理、重支出、轻绩效”的情况，造成该问题的主要原因是自身绩效理念较薄弱，单位绩效目标编制仍有缺失；二是预算绩效规范管理有盲点：财务人员面对当前绩效管理工作既没有现成的经验可供借鉴，又缺乏专业性很强的技能储备。下一步改进措施：一是需要进一步加强对资金绩效管理的重视程度；二是不断边工作、边学习、边积累，短期内提高自身业务水平，做到程序规范、管理科学，满足当前绩效管理要求。具体项目自评情况附绩效自评表及自评报告。</w:t>
      </w:r>
    </w:p>
    <w:p>
      <w:pPr>
        <w:ind w:firstLine="640" w:firstLineChars="200"/>
        <w:jc w:val="left"/>
        <w:rPr>
          <w:rFonts w:ascii="黑体" w:hAnsi="黑体" w:eastAsia="黑体" w:cs="宋体"/>
          <w:bCs/>
          <w:kern w:val="0"/>
          <w:sz w:val="32"/>
          <w:szCs w:val="32"/>
        </w:rPr>
      </w:pPr>
      <w:r>
        <w:rPr>
          <w:rFonts w:hint="eastAsia" w:ascii="黑体" w:hAnsi="黑体" w:eastAsia="黑体" w:cs="宋体"/>
          <w:bCs/>
          <w:kern w:val="0"/>
          <w:sz w:val="32"/>
          <w:szCs w:val="32"/>
        </w:rPr>
        <w:t>十二、其他需说明的事项</w:t>
      </w:r>
    </w:p>
    <w:p>
      <w:pPr>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w:t>
      </w:r>
      <w:r>
        <w:rPr>
          <w:rFonts w:hint="eastAsia" w:ascii="仿宋_GB2312" w:hAnsi="仿宋_GB2312" w:eastAsia="仿宋_GB2312" w:cs="仿宋_GB2312"/>
          <w:kern w:val="0"/>
          <w:sz w:val="32"/>
          <w:szCs w:val="32"/>
          <w:lang w:val="en-US" w:eastAsia="zh-CN"/>
        </w:rPr>
        <w:t>部门</w:t>
      </w:r>
      <w:r>
        <w:rPr>
          <w:rFonts w:hint="eastAsia" w:ascii="仿宋_GB2312" w:hAnsi="仿宋_GB2312" w:eastAsia="仿宋_GB2312" w:cs="仿宋_GB2312"/>
          <w:kern w:val="0"/>
          <w:sz w:val="32"/>
          <w:szCs w:val="32"/>
        </w:rPr>
        <w:t>无其他需说明事项</w:t>
      </w:r>
    </w:p>
    <w:p>
      <w:pPr>
        <w:jc w:val="center"/>
        <w:outlineLvl w:val="0"/>
        <w:rPr>
          <w:rFonts w:hint="eastAsia" w:ascii="黑体" w:hAnsi="黑体" w:eastAsia="黑体"/>
          <w:sz w:val="32"/>
          <w:szCs w:val="32"/>
        </w:rPr>
      </w:pPr>
      <w:bookmarkStart w:id="30" w:name="_Toc3250"/>
      <w:bookmarkStart w:id="31" w:name="_Toc24143"/>
    </w:p>
    <w:p>
      <w:pPr>
        <w:jc w:val="center"/>
        <w:outlineLvl w:val="0"/>
        <w:rPr>
          <w:rFonts w:hint="eastAsia" w:ascii="黑体" w:hAnsi="黑体" w:eastAsia="黑体"/>
          <w:sz w:val="32"/>
          <w:szCs w:val="32"/>
        </w:rPr>
      </w:pPr>
    </w:p>
    <w:p>
      <w:pPr>
        <w:jc w:val="center"/>
        <w:outlineLvl w:val="0"/>
        <w:rPr>
          <w:rFonts w:hint="eastAsia" w:ascii="黑体" w:hAnsi="黑体" w:eastAsia="黑体"/>
          <w:sz w:val="32"/>
          <w:szCs w:val="32"/>
        </w:rPr>
      </w:pPr>
    </w:p>
    <w:p>
      <w:pPr>
        <w:jc w:val="center"/>
        <w:outlineLvl w:val="0"/>
        <w:rPr>
          <w:rFonts w:hint="eastAsia" w:ascii="黑体" w:hAnsi="黑体" w:eastAsia="黑体"/>
          <w:sz w:val="32"/>
          <w:szCs w:val="32"/>
        </w:rPr>
      </w:pPr>
    </w:p>
    <w:p>
      <w:pPr>
        <w:jc w:val="center"/>
        <w:outlineLvl w:val="0"/>
        <w:rPr>
          <w:rFonts w:hint="eastAsia" w:ascii="黑体" w:hAnsi="黑体" w:eastAsia="黑体"/>
          <w:sz w:val="32"/>
          <w:szCs w:val="32"/>
        </w:rPr>
      </w:pPr>
    </w:p>
    <w:p>
      <w:pPr>
        <w:jc w:val="center"/>
        <w:outlineLvl w:val="0"/>
        <w:rPr>
          <w:rFonts w:hint="eastAsia" w:ascii="黑体" w:hAnsi="黑体" w:eastAsia="黑体"/>
          <w:sz w:val="32"/>
          <w:szCs w:val="32"/>
        </w:rPr>
      </w:pPr>
    </w:p>
    <w:p>
      <w:pPr>
        <w:jc w:val="center"/>
        <w:outlineLvl w:val="0"/>
        <w:rPr>
          <w:rFonts w:hint="eastAsia" w:ascii="黑体" w:hAnsi="黑体" w:eastAsia="黑体"/>
          <w:sz w:val="32"/>
          <w:szCs w:val="32"/>
        </w:rPr>
      </w:pPr>
    </w:p>
    <w:p>
      <w:pPr>
        <w:jc w:val="center"/>
        <w:outlineLvl w:val="0"/>
        <w:rPr>
          <w:rFonts w:hint="eastAsia" w:ascii="黑体" w:hAnsi="黑体" w:eastAsia="黑体"/>
          <w:sz w:val="32"/>
          <w:szCs w:val="32"/>
        </w:rPr>
      </w:pPr>
    </w:p>
    <w:p>
      <w:pPr>
        <w:jc w:val="center"/>
        <w:outlineLvl w:val="0"/>
        <w:rPr>
          <w:rFonts w:hint="eastAsia" w:ascii="黑体" w:hAnsi="黑体" w:eastAsia="黑体"/>
          <w:sz w:val="32"/>
          <w:szCs w:val="32"/>
        </w:rPr>
      </w:pPr>
    </w:p>
    <w:p>
      <w:pPr>
        <w:jc w:val="center"/>
        <w:outlineLvl w:val="0"/>
        <w:rPr>
          <w:rFonts w:hint="eastAsia" w:ascii="黑体" w:hAnsi="黑体" w:eastAsia="黑体"/>
          <w:sz w:val="32"/>
          <w:szCs w:val="32"/>
        </w:rPr>
      </w:pPr>
    </w:p>
    <w:p>
      <w:pPr>
        <w:jc w:val="center"/>
        <w:outlineLvl w:val="0"/>
        <w:rPr>
          <w:rFonts w:hint="eastAsia" w:ascii="黑体" w:hAnsi="黑体" w:eastAsia="黑体"/>
          <w:sz w:val="32"/>
          <w:szCs w:val="32"/>
        </w:rPr>
      </w:pPr>
    </w:p>
    <w:p>
      <w:pPr>
        <w:jc w:val="center"/>
        <w:outlineLvl w:val="0"/>
        <w:rPr>
          <w:rFonts w:ascii="黑体" w:hAnsi="黑体" w:eastAsia="黑体"/>
          <w:sz w:val="32"/>
          <w:szCs w:val="32"/>
        </w:rPr>
      </w:pPr>
      <w:r>
        <w:rPr>
          <w:rFonts w:hint="eastAsia" w:ascii="黑体" w:hAnsi="黑体" w:eastAsia="黑体"/>
          <w:sz w:val="32"/>
          <w:szCs w:val="32"/>
        </w:rPr>
        <w:t>第三部分 专业名词解释</w:t>
      </w:r>
      <w:bookmarkEnd w:id="30"/>
      <w:bookmarkEnd w:id="31"/>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pPr>
        <w:ind w:firstLine="640" w:firstLineChars="200"/>
        <w:outlineLvl w:val="1"/>
        <w:rPr>
          <w:rFonts w:ascii="黑体" w:hAnsi="黑体" w:eastAsia="仿宋_GB2312" w:cs="宋体"/>
          <w:bCs/>
          <w:kern w:val="0"/>
          <w:sz w:val="32"/>
          <w:szCs w:val="32"/>
        </w:rPr>
      </w:pPr>
      <w:bookmarkStart w:id="32" w:name="_Toc2183"/>
      <w:bookmarkStart w:id="33" w:name="_Toc6062"/>
      <w:r>
        <w:rPr>
          <w:rFonts w:hint="eastAsia" w:ascii="黑体" w:hAnsi="黑体" w:eastAsia="仿宋_GB2312" w:cs="宋体"/>
          <w:bCs/>
          <w:kern w:val="0"/>
          <w:sz w:val="32"/>
          <w:szCs w:val="32"/>
        </w:rPr>
        <w:t>一、《收入支出决算总表》</w:t>
      </w:r>
      <w:bookmarkEnd w:id="32"/>
      <w:bookmarkEnd w:id="33"/>
    </w:p>
    <w:p>
      <w:pPr>
        <w:ind w:firstLine="640" w:firstLineChars="200"/>
        <w:outlineLvl w:val="1"/>
        <w:rPr>
          <w:rFonts w:ascii="黑体" w:hAnsi="黑体" w:eastAsia="仿宋_GB2312" w:cs="宋体"/>
          <w:bCs/>
          <w:kern w:val="0"/>
          <w:sz w:val="32"/>
          <w:szCs w:val="32"/>
        </w:rPr>
      </w:pPr>
      <w:bookmarkStart w:id="34" w:name="_Toc30364"/>
      <w:bookmarkStart w:id="35" w:name="_Toc24532"/>
      <w:r>
        <w:rPr>
          <w:rFonts w:hint="eastAsia" w:ascii="黑体" w:hAnsi="黑体" w:eastAsia="仿宋_GB2312" w:cs="宋体"/>
          <w:bCs/>
          <w:kern w:val="0"/>
          <w:sz w:val="32"/>
          <w:szCs w:val="32"/>
        </w:rPr>
        <w:t>二、《收入决算表》</w:t>
      </w:r>
      <w:bookmarkEnd w:id="34"/>
      <w:bookmarkEnd w:id="35"/>
    </w:p>
    <w:p>
      <w:pPr>
        <w:ind w:firstLine="640" w:firstLineChars="200"/>
        <w:outlineLvl w:val="1"/>
        <w:rPr>
          <w:rFonts w:ascii="黑体" w:hAnsi="黑体" w:eastAsia="仿宋_GB2312" w:cs="宋体"/>
          <w:bCs/>
          <w:kern w:val="0"/>
          <w:sz w:val="32"/>
          <w:szCs w:val="32"/>
        </w:rPr>
      </w:pPr>
      <w:bookmarkStart w:id="36" w:name="_Toc32434"/>
      <w:bookmarkStart w:id="37" w:name="_Toc21304"/>
      <w:r>
        <w:rPr>
          <w:rFonts w:hint="eastAsia" w:ascii="黑体" w:hAnsi="黑体" w:eastAsia="仿宋_GB2312" w:cs="宋体"/>
          <w:bCs/>
          <w:kern w:val="0"/>
          <w:sz w:val="32"/>
          <w:szCs w:val="32"/>
        </w:rPr>
        <w:t>三、《支出决算表》</w:t>
      </w:r>
      <w:bookmarkEnd w:id="36"/>
      <w:bookmarkEnd w:id="37"/>
    </w:p>
    <w:p>
      <w:pPr>
        <w:ind w:firstLine="640" w:firstLineChars="200"/>
        <w:outlineLvl w:val="1"/>
        <w:rPr>
          <w:rFonts w:ascii="黑体" w:hAnsi="黑体" w:eastAsia="仿宋_GB2312" w:cs="宋体"/>
          <w:bCs/>
          <w:kern w:val="0"/>
          <w:sz w:val="32"/>
          <w:szCs w:val="32"/>
        </w:rPr>
      </w:pPr>
      <w:bookmarkStart w:id="38" w:name="_Toc14238"/>
      <w:bookmarkStart w:id="39" w:name="_Toc28786"/>
      <w:r>
        <w:rPr>
          <w:rFonts w:hint="eastAsia" w:ascii="黑体" w:hAnsi="黑体" w:eastAsia="仿宋_GB2312" w:cs="宋体"/>
          <w:bCs/>
          <w:kern w:val="0"/>
          <w:sz w:val="32"/>
          <w:szCs w:val="32"/>
        </w:rPr>
        <w:t>四、《财政拨款收入支出决算总表》</w:t>
      </w:r>
      <w:bookmarkEnd w:id="38"/>
      <w:bookmarkEnd w:id="39"/>
    </w:p>
    <w:p>
      <w:pPr>
        <w:ind w:firstLine="640" w:firstLineChars="200"/>
        <w:outlineLvl w:val="1"/>
        <w:rPr>
          <w:rFonts w:ascii="黑体" w:hAnsi="黑体" w:eastAsia="仿宋_GB2312" w:cs="宋体"/>
          <w:bCs/>
          <w:kern w:val="0"/>
          <w:sz w:val="32"/>
          <w:szCs w:val="32"/>
        </w:rPr>
      </w:pPr>
      <w:bookmarkStart w:id="40" w:name="_Toc14869"/>
      <w:bookmarkStart w:id="41" w:name="_Toc10347"/>
      <w:r>
        <w:rPr>
          <w:rFonts w:hint="eastAsia" w:ascii="黑体" w:hAnsi="黑体" w:eastAsia="仿宋_GB2312" w:cs="宋体"/>
          <w:bCs/>
          <w:kern w:val="0"/>
          <w:sz w:val="32"/>
          <w:szCs w:val="32"/>
        </w:rPr>
        <w:t>五、《一般公共预算财政拨款支出决算表》</w:t>
      </w:r>
      <w:bookmarkEnd w:id="40"/>
      <w:bookmarkEnd w:id="41"/>
    </w:p>
    <w:p>
      <w:pPr>
        <w:ind w:firstLine="640" w:firstLineChars="200"/>
        <w:outlineLvl w:val="1"/>
        <w:rPr>
          <w:rFonts w:ascii="黑体" w:hAnsi="黑体" w:eastAsia="仿宋_GB2312" w:cs="宋体"/>
          <w:bCs/>
          <w:kern w:val="0"/>
          <w:sz w:val="32"/>
          <w:szCs w:val="32"/>
        </w:rPr>
      </w:pPr>
      <w:bookmarkStart w:id="42" w:name="_Toc5626"/>
      <w:bookmarkStart w:id="43" w:name="_Toc8884"/>
      <w:r>
        <w:rPr>
          <w:rFonts w:hint="eastAsia" w:ascii="黑体" w:hAnsi="黑体" w:eastAsia="仿宋_GB2312" w:cs="宋体"/>
          <w:bCs/>
          <w:kern w:val="0"/>
          <w:sz w:val="32"/>
          <w:szCs w:val="32"/>
        </w:rPr>
        <w:t>六、《一般公共预算财政拨款基本支出决算表》</w:t>
      </w:r>
      <w:bookmarkEnd w:id="42"/>
      <w:bookmarkEnd w:id="43"/>
    </w:p>
    <w:p>
      <w:pPr>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32663"/>
      <w:bookmarkStart w:id="45" w:name="_Toc29106"/>
      <w:r>
        <w:rPr>
          <w:rFonts w:hint="eastAsia" w:ascii="黑体" w:hAnsi="黑体" w:eastAsia="仿宋_GB2312" w:cs="宋体"/>
          <w:bCs/>
          <w:kern w:val="0"/>
          <w:sz w:val="32"/>
          <w:szCs w:val="32"/>
        </w:rPr>
        <w:t>《财政拨款“三公”经费支出决算表》</w:t>
      </w:r>
      <w:bookmarkEnd w:id="44"/>
      <w:bookmarkEnd w:id="45"/>
    </w:p>
    <w:p>
      <w:pPr>
        <w:ind w:firstLine="640" w:firstLineChars="200"/>
        <w:outlineLvl w:val="1"/>
        <w:rPr>
          <w:rFonts w:ascii="黑体" w:hAnsi="黑体" w:eastAsia="仿宋_GB2312" w:cs="宋体"/>
          <w:bCs/>
          <w:kern w:val="0"/>
          <w:sz w:val="32"/>
          <w:szCs w:val="32"/>
        </w:rPr>
      </w:pPr>
      <w:bookmarkStart w:id="46" w:name="_Toc5453"/>
      <w:bookmarkStart w:id="47" w:name="_Toc7643"/>
      <w:r>
        <w:rPr>
          <w:rFonts w:hint="eastAsia" w:ascii="黑体" w:hAnsi="黑体" w:eastAsia="仿宋_GB2312" w:cs="宋体"/>
          <w:bCs/>
          <w:kern w:val="0"/>
          <w:sz w:val="32"/>
          <w:szCs w:val="32"/>
        </w:rPr>
        <w:t>八、《政府性基金预算财政拨款收入支出决算表》</w:t>
      </w:r>
      <w:bookmarkEnd w:id="46"/>
      <w:bookmarkEnd w:id="47"/>
    </w:p>
    <w:p>
      <w:pPr>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rPr>
          <w:rFonts w:ascii="仿宋_GB2312" w:eastAsia="仿宋_GB2312"/>
          <w:sz w:val="32"/>
          <w:szCs w:val="32"/>
        </w:rPr>
      </w:pPr>
      <w:r>
        <w:drawing>
          <wp:anchor distT="0" distB="0" distL="114300" distR="114300" simplePos="0" relativeHeight="251663360" behindDoc="0" locked="0" layoutInCell="1" allowOverlap="1">
            <wp:simplePos x="0" y="0"/>
            <wp:positionH relativeFrom="column">
              <wp:posOffset>-548005</wp:posOffset>
            </wp:positionH>
            <wp:positionV relativeFrom="paragraph">
              <wp:posOffset>34290</wp:posOffset>
            </wp:positionV>
            <wp:extent cx="6394450" cy="8592185"/>
            <wp:effectExtent l="0" t="0" r="6350" b="18415"/>
            <wp:wrapNone/>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5"/>
                    <a:stretch>
                      <a:fillRect/>
                    </a:stretch>
                  </pic:blipFill>
                  <pic:spPr>
                    <a:xfrm>
                      <a:off x="0" y="0"/>
                      <a:ext cx="6394450" cy="8592185"/>
                    </a:xfrm>
                    <a:prstGeom prst="rect">
                      <a:avLst/>
                    </a:prstGeom>
                    <a:noFill/>
                    <a:ln>
                      <a:noFill/>
                    </a:ln>
                  </pic:spPr>
                </pic:pic>
              </a:graphicData>
            </a:graphic>
          </wp:anchor>
        </w:drawing>
      </w:r>
      <w:r>
        <w:rPr>
          <w:rFonts w:hint="eastAsia" w:ascii="仿宋_GB2312" w:eastAsia="仿宋_GB2312"/>
          <w:sz w:val="32"/>
          <w:szCs w:val="32"/>
        </w:rPr>
        <w:t xml:space="preserve"> </w:t>
      </w: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r>
        <w:drawing>
          <wp:anchor distT="0" distB="0" distL="114300" distR="114300" simplePos="0" relativeHeight="251664384" behindDoc="0" locked="0" layoutInCell="1" allowOverlap="1">
            <wp:simplePos x="0" y="0"/>
            <wp:positionH relativeFrom="column">
              <wp:posOffset>-579755</wp:posOffset>
            </wp:positionH>
            <wp:positionV relativeFrom="paragraph">
              <wp:posOffset>-55880</wp:posOffset>
            </wp:positionV>
            <wp:extent cx="6363335" cy="8835390"/>
            <wp:effectExtent l="0" t="0" r="18415" b="3810"/>
            <wp:wrapNone/>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6"/>
                    <a:stretch>
                      <a:fillRect/>
                    </a:stretch>
                  </pic:blipFill>
                  <pic:spPr>
                    <a:xfrm>
                      <a:off x="0" y="0"/>
                      <a:ext cx="6363335" cy="8835390"/>
                    </a:xfrm>
                    <a:prstGeom prst="rect">
                      <a:avLst/>
                    </a:prstGeom>
                    <a:noFill/>
                    <a:ln>
                      <a:noFill/>
                    </a:ln>
                  </pic:spPr>
                </pic:pic>
              </a:graphicData>
            </a:graphic>
          </wp:anchor>
        </w:drawing>
      </w:r>
      <w:r>
        <w:rPr>
          <w:rFonts w:hint="eastAsia" w:ascii="仿宋_GB2312" w:eastAsia="仿宋_GB2312"/>
          <w:sz w:val="32"/>
          <w:szCs w:val="32"/>
        </w:rPr>
        <w:t xml:space="preserve">  </w:t>
      </w: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r>
        <w:drawing>
          <wp:anchor distT="0" distB="0" distL="114300" distR="114300" simplePos="0" relativeHeight="251665408" behindDoc="0" locked="0" layoutInCell="1" allowOverlap="1">
            <wp:simplePos x="0" y="0"/>
            <wp:positionH relativeFrom="column">
              <wp:posOffset>-468630</wp:posOffset>
            </wp:positionH>
            <wp:positionV relativeFrom="paragraph">
              <wp:posOffset>57150</wp:posOffset>
            </wp:positionV>
            <wp:extent cx="6308725" cy="8790940"/>
            <wp:effectExtent l="0" t="0" r="15875" b="10160"/>
            <wp:wrapNone/>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7"/>
                    <a:stretch>
                      <a:fillRect/>
                    </a:stretch>
                  </pic:blipFill>
                  <pic:spPr>
                    <a:xfrm>
                      <a:off x="0" y="0"/>
                      <a:ext cx="6308725" cy="8790940"/>
                    </a:xfrm>
                    <a:prstGeom prst="rect">
                      <a:avLst/>
                    </a:prstGeom>
                    <a:noFill/>
                    <a:ln>
                      <a:noFill/>
                    </a:ln>
                  </pic:spPr>
                </pic:pic>
              </a:graphicData>
            </a:graphic>
          </wp:anchor>
        </w:drawing>
      </w:r>
      <w:r>
        <w:rPr>
          <w:rFonts w:hint="eastAsia" w:ascii="仿宋_GB2312" w:eastAsia="仿宋_GB2312"/>
          <w:sz w:val="32"/>
          <w:szCs w:val="32"/>
        </w:rPr>
        <w:t xml:space="preserve">  </w:t>
      </w: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r>
        <w:drawing>
          <wp:anchor distT="0" distB="0" distL="114300" distR="114300" simplePos="0" relativeHeight="251666432" behindDoc="0" locked="0" layoutInCell="1" allowOverlap="1">
            <wp:simplePos x="0" y="0"/>
            <wp:positionH relativeFrom="column">
              <wp:posOffset>-421005</wp:posOffset>
            </wp:positionH>
            <wp:positionV relativeFrom="paragraph">
              <wp:posOffset>-1905</wp:posOffset>
            </wp:positionV>
            <wp:extent cx="6162675" cy="8651240"/>
            <wp:effectExtent l="0" t="0" r="9525" b="16510"/>
            <wp:wrapNone/>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8"/>
                    <a:stretch>
                      <a:fillRect/>
                    </a:stretch>
                  </pic:blipFill>
                  <pic:spPr>
                    <a:xfrm>
                      <a:off x="0" y="0"/>
                      <a:ext cx="6162675" cy="8651240"/>
                    </a:xfrm>
                    <a:prstGeom prst="rect">
                      <a:avLst/>
                    </a:prstGeom>
                    <a:noFill/>
                    <a:ln>
                      <a:noFill/>
                    </a:ln>
                  </pic:spPr>
                </pic:pic>
              </a:graphicData>
            </a:graphic>
          </wp:anchor>
        </w:drawing>
      </w:r>
      <w:r>
        <w:rPr>
          <w:rFonts w:hint="eastAsia" w:ascii="仿宋_GB2312" w:eastAsia="仿宋_GB2312"/>
          <w:sz w:val="32"/>
          <w:szCs w:val="32"/>
        </w:rPr>
        <w:t xml:space="preserve">  </w:t>
      </w: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r>
        <w:drawing>
          <wp:anchor distT="0" distB="0" distL="114300" distR="114300" simplePos="0" relativeHeight="251667456" behindDoc="0" locked="0" layoutInCell="1" allowOverlap="1">
            <wp:simplePos x="0" y="0"/>
            <wp:positionH relativeFrom="column">
              <wp:posOffset>-459740</wp:posOffset>
            </wp:positionH>
            <wp:positionV relativeFrom="paragraph">
              <wp:posOffset>-241935</wp:posOffset>
            </wp:positionV>
            <wp:extent cx="6236970" cy="9387205"/>
            <wp:effectExtent l="0" t="0" r="11430" b="4445"/>
            <wp:wrapNone/>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9"/>
                    <a:stretch>
                      <a:fillRect/>
                    </a:stretch>
                  </pic:blipFill>
                  <pic:spPr>
                    <a:xfrm>
                      <a:off x="0" y="0"/>
                      <a:ext cx="6236970" cy="9387205"/>
                    </a:xfrm>
                    <a:prstGeom prst="rect">
                      <a:avLst/>
                    </a:prstGeom>
                    <a:noFill/>
                    <a:ln>
                      <a:noFill/>
                    </a:ln>
                  </pic:spPr>
                </pic:pic>
              </a:graphicData>
            </a:graphic>
          </wp:anchor>
        </w:drawing>
      </w:r>
      <w:r>
        <w:rPr>
          <w:rFonts w:hint="eastAsia" w:ascii="仿宋_GB2312" w:eastAsia="仿宋_GB2312"/>
          <w:sz w:val="32"/>
          <w:szCs w:val="32"/>
        </w:rPr>
        <w:t xml:space="preserve">  </w:t>
      </w: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hint="eastAsia" w:ascii="仿宋_GB2312" w:eastAsia="仿宋_GB2312"/>
          <w:sz w:val="32"/>
          <w:szCs w:val="32"/>
        </w:rPr>
      </w:pPr>
      <w:r>
        <w:drawing>
          <wp:anchor distT="0" distB="0" distL="114300" distR="114300" simplePos="0" relativeHeight="251668480" behindDoc="0" locked="0" layoutInCell="1" allowOverlap="1">
            <wp:simplePos x="0" y="0"/>
            <wp:positionH relativeFrom="column">
              <wp:posOffset>-94615</wp:posOffset>
            </wp:positionH>
            <wp:positionV relativeFrom="paragraph">
              <wp:posOffset>80010</wp:posOffset>
            </wp:positionV>
            <wp:extent cx="5572125" cy="8687435"/>
            <wp:effectExtent l="0" t="0" r="9525" b="18415"/>
            <wp:wrapSquare wrapText="bothSides"/>
            <wp:docPr id="1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
                    <pic:cNvPicPr>
                      <a:picLocks noChangeAspect="1"/>
                    </pic:cNvPicPr>
                  </pic:nvPicPr>
                  <pic:blipFill>
                    <a:blip r:embed="rId10"/>
                    <a:stretch>
                      <a:fillRect/>
                    </a:stretch>
                  </pic:blipFill>
                  <pic:spPr>
                    <a:xfrm>
                      <a:off x="0" y="0"/>
                      <a:ext cx="5572125" cy="8687435"/>
                    </a:xfrm>
                    <a:prstGeom prst="rect">
                      <a:avLst/>
                    </a:prstGeom>
                    <a:noFill/>
                    <a:ln>
                      <a:noFill/>
                    </a:ln>
                  </pic:spPr>
                </pic:pic>
              </a:graphicData>
            </a:graphic>
          </wp:anchor>
        </w:drawing>
      </w:r>
    </w:p>
    <w:p>
      <w:pPr>
        <w:rPr>
          <w:rFonts w:hint="eastAsia" w:ascii="仿宋_GB2312" w:eastAsia="仿宋_GB2312"/>
          <w:sz w:val="32"/>
          <w:szCs w:val="32"/>
        </w:rPr>
      </w:pPr>
    </w:p>
    <w:p>
      <w:pPr>
        <w:rPr>
          <w:rFonts w:ascii="仿宋_GB2312" w:eastAsia="仿宋_GB2312"/>
          <w:sz w:val="32"/>
          <w:szCs w:val="32"/>
        </w:rPr>
      </w:pPr>
      <w:r>
        <w:drawing>
          <wp:anchor distT="0" distB="0" distL="114300" distR="114300" simplePos="0" relativeHeight="251660288" behindDoc="0" locked="0" layoutInCell="1" allowOverlap="1">
            <wp:simplePos x="0" y="0"/>
            <wp:positionH relativeFrom="column">
              <wp:posOffset>-594995</wp:posOffset>
            </wp:positionH>
            <wp:positionV relativeFrom="paragraph">
              <wp:posOffset>80010</wp:posOffset>
            </wp:positionV>
            <wp:extent cx="6455410" cy="3260090"/>
            <wp:effectExtent l="0" t="0" r="2540" b="16510"/>
            <wp:wrapNone/>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pic:cNvPicPr>
                      <a:picLocks noChangeAspect="1"/>
                    </pic:cNvPicPr>
                  </pic:nvPicPr>
                  <pic:blipFill>
                    <a:blip r:embed="rId11"/>
                    <a:stretch>
                      <a:fillRect/>
                    </a:stretch>
                  </pic:blipFill>
                  <pic:spPr>
                    <a:xfrm>
                      <a:off x="0" y="0"/>
                      <a:ext cx="6455410" cy="3260090"/>
                    </a:xfrm>
                    <a:prstGeom prst="rect">
                      <a:avLst/>
                    </a:prstGeom>
                    <a:noFill/>
                    <a:ln>
                      <a:noFill/>
                    </a:ln>
                  </pic:spPr>
                </pic:pic>
              </a:graphicData>
            </a:graphic>
          </wp:anchor>
        </w:drawing>
      </w: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r>
        <w:drawing>
          <wp:anchor distT="0" distB="0" distL="114300" distR="114300" simplePos="0" relativeHeight="251661312" behindDoc="0" locked="0" layoutInCell="1" allowOverlap="1">
            <wp:simplePos x="0" y="0"/>
            <wp:positionH relativeFrom="column">
              <wp:posOffset>-555625</wp:posOffset>
            </wp:positionH>
            <wp:positionV relativeFrom="paragraph">
              <wp:posOffset>57150</wp:posOffset>
            </wp:positionV>
            <wp:extent cx="6361430" cy="3951605"/>
            <wp:effectExtent l="0" t="0" r="1270" b="10795"/>
            <wp:wrapNone/>
            <wp:docPr id="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
                    <pic:cNvPicPr>
                      <a:picLocks noChangeAspect="1"/>
                    </pic:cNvPicPr>
                  </pic:nvPicPr>
                  <pic:blipFill>
                    <a:blip r:embed="rId12"/>
                    <a:stretch>
                      <a:fillRect/>
                    </a:stretch>
                  </pic:blipFill>
                  <pic:spPr>
                    <a:xfrm>
                      <a:off x="0" y="0"/>
                      <a:ext cx="6361430" cy="3951605"/>
                    </a:xfrm>
                    <a:prstGeom prst="rect">
                      <a:avLst/>
                    </a:prstGeom>
                    <a:noFill/>
                    <a:ln>
                      <a:noFill/>
                    </a:ln>
                  </pic:spPr>
                </pic:pic>
              </a:graphicData>
            </a:graphic>
          </wp:anchor>
        </w:drawing>
      </w:r>
      <w:r>
        <w:rPr>
          <w:rFonts w:hint="eastAsia" w:ascii="仿宋_GB2312" w:eastAsia="仿宋_GB2312"/>
          <w:sz w:val="32"/>
          <w:szCs w:val="32"/>
        </w:rPr>
        <w:t xml:space="preserve">  </w:t>
      </w: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ind w:firstLine="420" w:firstLineChars="200"/>
        <w:rPr>
          <w:rFonts w:ascii="仿宋_GB2312" w:eastAsia="仿宋_GB2312"/>
          <w:sz w:val="32"/>
          <w:szCs w:val="32"/>
        </w:rPr>
      </w:pPr>
      <w:r>
        <w:drawing>
          <wp:anchor distT="0" distB="0" distL="114300" distR="114300" simplePos="0" relativeHeight="251662336" behindDoc="0" locked="0" layoutInCell="1" allowOverlap="1">
            <wp:simplePos x="0" y="0"/>
            <wp:positionH relativeFrom="column">
              <wp:posOffset>-613410</wp:posOffset>
            </wp:positionH>
            <wp:positionV relativeFrom="paragraph">
              <wp:posOffset>85725</wp:posOffset>
            </wp:positionV>
            <wp:extent cx="6464935" cy="3612515"/>
            <wp:effectExtent l="0" t="0" r="12065" b="6985"/>
            <wp:wrapNone/>
            <wp:docPr id="1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3"/>
                    <pic:cNvPicPr>
                      <a:picLocks noChangeAspect="1"/>
                    </pic:cNvPicPr>
                  </pic:nvPicPr>
                  <pic:blipFill>
                    <a:blip r:embed="rId13"/>
                    <a:stretch>
                      <a:fillRect/>
                    </a:stretch>
                  </pic:blipFill>
                  <pic:spPr>
                    <a:xfrm>
                      <a:off x="0" y="0"/>
                      <a:ext cx="6464935" cy="3612515"/>
                    </a:xfrm>
                    <a:prstGeom prst="rect">
                      <a:avLst/>
                    </a:prstGeom>
                    <a:noFill/>
                    <a:ln>
                      <a:noFill/>
                    </a:ln>
                  </pic:spPr>
                </pic:pic>
              </a:graphicData>
            </a:graphic>
          </wp:anchor>
        </w:drawing>
      </w: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outlineLvl w:val="1"/>
        <w:rPr>
          <w:rFonts w:ascii="黑体" w:hAnsi="黑体" w:eastAsia="黑体" w:cs="宋体"/>
          <w:bCs/>
          <w:kern w:val="0"/>
          <w:sz w:val="32"/>
          <w:szCs w:val="32"/>
        </w:rPr>
      </w:pPr>
    </w:p>
    <w:p>
      <w:pPr>
        <w:ind w:firstLine="640" w:firstLineChars="200"/>
        <w:outlineLvl w:val="1"/>
        <w:rPr>
          <w:rFonts w:ascii="黑体" w:hAnsi="黑体" w:eastAsia="黑体" w:cs="宋体"/>
          <w:bCs/>
          <w:kern w:val="0"/>
          <w:sz w:val="32"/>
          <w:szCs w:val="32"/>
        </w:rPr>
      </w:pPr>
    </w:p>
    <w:p>
      <w:pPr>
        <w:ind w:firstLine="640" w:firstLineChars="200"/>
        <w:outlineLvl w:val="1"/>
        <w:rPr>
          <w:rFonts w:ascii="黑体" w:hAnsi="黑体" w:eastAsia="黑体" w:cs="宋体"/>
          <w:bCs/>
          <w:kern w:val="0"/>
          <w:sz w:val="32"/>
          <w:szCs w:val="32"/>
        </w:rPr>
      </w:pPr>
    </w:p>
    <w:p>
      <w:pPr>
        <w:ind w:firstLine="640" w:firstLineChars="200"/>
        <w:outlineLvl w:val="1"/>
        <w:rPr>
          <w:rFonts w:ascii="黑体" w:hAnsi="黑体" w:eastAsia="黑体" w:cs="宋体"/>
          <w:bCs/>
          <w:kern w:val="0"/>
          <w:sz w:val="32"/>
          <w:szCs w:val="32"/>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pPr>
                          <w:r>
                            <w:rPr>
                              <w:rFonts w:hint="eastAsia"/>
                            </w:rPr>
                            <w:fldChar w:fldCharType="begin"/>
                          </w:r>
                          <w:r>
                            <w:rPr>
                              <w:rFonts w:hint="eastAsia"/>
                            </w:rPr>
                            <w:instrText xml:space="preserve"> PAGE  \* MERGEFORMAT </w:instrText>
                          </w:r>
                          <w:r>
                            <w:rPr>
                              <w:rFonts w:hint="eastAsia"/>
                            </w:rPr>
                            <w:fldChar w:fldCharType="separate"/>
                          </w:r>
                          <w:r>
                            <w:t>15</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t>15</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ZjZDkzNDQ4NTc2YzZkMWRmMjYwMjhkYzI4NjdmYTYifQ=="/>
    <w:docVar w:name="KSO_WPS_MARK_KEY" w:val="41ee2a61-2d54-4f93-83be-afdb9a40d732"/>
  </w:docVars>
  <w:rsids>
    <w:rsidRoot w:val="006539D7"/>
    <w:rsid w:val="00156BF2"/>
    <w:rsid w:val="00213C59"/>
    <w:rsid w:val="003210CE"/>
    <w:rsid w:val="006539D7"/>
    <w:rsid w:val="00732A27"/>
    <w:rsid w:val="00B70D59"/>
    <w:rsid w:val="00C43878"/>
    <w:rsid w:val="00C60541"/>
    <w:rsid w:val="00D36EF5"/>
    <w:rsid w:val="00EC13A1"/>
    <w:rsid w:val="00F52A8D"/>
    <w:rsid w:val="011D3FE8"/>
    <w:rsid w:val="019404F8"/>
    <w:rsid w:val="020B143E"/>
    <w:rsid w:val="02BD3108"/>
    <w:rsid w:val="02F73D26"/>
    <w:rsid w:val="034D4FEF"/>
    <w:rsid w:val="035D1785"/>
    <w:rsid w:val="039F47CE"/>
    <w:rsid w:val="03E05CE8"/>
    <w:rsid w:val="03F973EE"/>
    <w:rsid w:val="043E5B56"/>
    <w:rsid w:val="044F2995"/>
    <w:rsid w:val="049E7B80"/>
    <w:rsid w:val="04C04386"/>
    <w:rsid w:val="04D96608"/>
    <w:rsid w:val="04FA68C4"/>
    <w:rsid w:val="053F5AE6"/>
    <w:rsid w:val="057C0B0F"/>
    <w:rsid w:val="05EF4B48"/>
    <w:rsid w:val="05F400F4"/>
    <w:rsid w:val="05F76ECA"/>
    <w:rsid w:val="06792773"/>
    <w:rsid w:val="06D7510F"/>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AB62BC0"/>
    <w:rsid w:val="0B1C21CC"/>
    <w:rsid w:val="0B61769D"/>
    <w:rsid w:val="0B8C3ECC"/>
    <w:rsid w:val="0B9C639D"/>
    <w:rsid w:val="0BB052B2"/>
    <w:rsid w:val="0BD33FFC"/>
    <w:rsid w:val="0BE97AC1"/>
    <w:rsid w:val="0C1C4780"/>
    <w:rsid w:val="0C3613A3"/>
    <w:rsid w:val="0C5E519C"/>
    <w:rsid w:val="0C7227A7"/>
    <w:rsid w:val="0C7972B4"/>
    <w:rsid w:val="0CA52EE8"/>
    <w:rsid w:val="0CAC5E5A"/>
    <w:rsid w:val="0CBD6988"/>
    <w:rsid w:val="0CD208AC"/>
    <w:rsid w:val="0D0E1FFB"/>
    <w:rsid w:val="0D4903E8"/>
    <w:rsid w:val="0D7A4A46"/>
    <w:rsid w:val="0E064410"/>
    <w:rsid w:val="0E0E2FAA"/>
    <w:rsid w:val="0E640559"/>
    <w:rsid w:val="0F1113DA"/>
    <w:rsid w:val="0F5B12EA"/>
    <w:rsid w:val="0F78534A"/>
    <w:rsid w:val="0F89358A"/>
    <w:rsid w:val="0F8C6D51"/>
    <w:rsid w:val="103F41BE"/>
    <w:rsid w:val="105B0B5E"/>
    <w:rsid w:val="10A96621"/>
    <w:rsid w:val="112E58D0"/>
    <w:rsid w:val="11731CAC"/>
    <w:rsid w:val="119500A0"/>
    <w:rsid w:val="11C0733B"/>
    <w:rsid w:val="11D50D17"/>
    <w:rsid w:val="120E0809"/>
    <w:rsid w:val="1220256F"/>
    <w:rsid w:val="125E0D24"/>
    <w:rsid w:val="127F665A"/>
    <w:rsid w:val="12DE4CB4"/>
    <w:rsid w:val="12F7068C"/>
    <w:rsid w:val="14207DC0"/>
    <w:rsid w:val="14B932DA"/>
    <w:rsid w:val="150A66AF"/>
    <w:rsid w:val="1537377B"/>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1E0516"/>
    <w:rsid w:val="1A3E3450"/>
    <w:rsid w:val="1AD807E5"/>
    <w:rsid w:val="1B39345B"/>
    <w:rsid w:val="1B9F4799"/>
    <w:rsid w:val="1BFB2A1F"/>
    <w:rsid w:val="1C015D4A"/>
    <w:rsid w:val="1C290ED5"/>
    <w:rsid w:val="1C317E4F"/>
    <w:rsid w:val="1C472464"/>
    <w:rsid w:val="1D22799A"/>
    <w:rsid w:val="1D5C1A72"/>
    <w:rsid w:val="1DAF458D"/>
    <w:rsid w:val="1E086ACE"/>
    <w:rsid w:val="1E62130A"/>
    <w:rsid w:val="1E97358B"/>
    <w:rsid w:val="1EAA4A5F"/>
    <w:rsid w:val="1EE869A7"/>
    <w:rsid w:val="1F731C4F"/>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22E21"/>
    <w:rsid w:val="24A32D55"/>
    <w:rsid w:val="251D2167"/>
    <w:rsid w:val="25292727"/>
    <w:rsid w:val="252E5CA9"/>
    <w:rsid w:val="256F7692"/>
    <w:rsid w:val="25BA2154"/>
    <w:rsid w:val="25C8773F"/>
    <w:rsid w:val="25F34F3E"/>
    <w:rsid w:val="26185C45"/>
    <w:rsid w:val="264A7253"/>
    <w:rsid w:val="267E07E4"/>
    <w:rsid w:val="26CA0EC8"/>
    <w:rsid w:val="26F0170C"/>
    <w:rsid w:val="27201D62"/>
    <w:rsid w:val="27286E73"/>
    <w:rsid w:val="27CF2642"/>
    <w:rsid w:val="27E777F5"/>
    <w:rsid w:val="27EA1D4C"/>
    <w:rsid w:val="27EA2E41"/>
    <w:rsid w:val="282459E2"/>
    <w:rsid w:val="283A7FE5"/>
    <w:rsid w:val="285F51FF"/>
    <w:rsid w:val="28DF2665"/>
    <w:rsid w:val="29072599"/>
    <w:rsid w:val="291029F3"/>
    <w:rsid w:val="29C2638E"/>
    <w:rsid w:val="29CB58F0"/>
    <w:rsid w:val="29F36A71"/>
    <w:rsid w:val="2A053397"/>
    <w:rsid w:val="2A145E96"/>
    <w:rsid w:val="2A2131BB"/>
    <w:rsid w:val="2AF5378F"/>
    <w:rsid w:val="2B6568DD"/>
    <w:rsid w:val="2BB94DBF"/>
    <w:rsid w:val="2BC630E7"/>
    <w:rsid w:val="2BF92B9F"/>
    <w:rsid w:val="2C451FC7"/>
    <w:rsid w:val="2C6B7F24"/>
    <w:rsid w:val="2C6F314E"/>
    <w:rsid w:val="2CC206BE"/>
    <w:rsid w:val="2D1136DF"/>
    <w:rsid w:val="2D20606D"/>
    <w:rsid w:val="2DB87198"/>
    <w:rsid w:val="2DB93C54"/>
    <w:rsid w:val="2E3D144C"/>
    <w:rsid w:val="2E891204"/>
    <w:rsid w:val="2EF070BF"/>
    <w:rsid w:val="2F231091"/>
    <w:rsid w:val="2F3F0A28"/>
    <w:rsid w:val="2FBF7029"/>
    <w:rsid w:val="2FD0187F"/>
    <w:rsid w:val="2FD27414"/>
    <w:rsid w:val="2FFE4BB0"/>
    <w:rsid w:val="300E7B60"/>
    <w:rsid w:val="300F6E18"/>
    <w:rsid w:val="30557CC0"/>
    <w:rsid w:val="30862F5F"/>
    <w:rsid w:val="314029C9"/>
    <w:rsid w:val="315E1E05"/>
    <w:rsid w:val="31C63837"/>
    <w:rsid w:val="31C82E39"/>
    <w:rsid w:val="32601BAD"/>
    <w:rsid w:val="32607DFF"/>
    <w:rsid w:val="329F6389"/>
    <w:rsid w:val="332B2251"/>
    <w:rsid w:val="3389023A"/>
    <w:rsid w:val="33CB74FA"/>
    <w:rsid w:val="343642F2"/>
    <w:rsid w:val="343F3010"/>
    <w:rsid w:val="345D0A00"/>
    <w:rsid w:val="34713BFD"/>
    <w:rsid w:val="34C13589"/>
    <w:rsid w:val="353369E3"/>
    <w:rsid w:val="35E00D72"/>
    <w:rsid w:val="36175793"/>
    <w:rsid w:val="3648324E"/>
    <w:rsid w:val="36965B9D"/>
    <w:rsid w:val="36C549FD"/>
    <w:rsid w:val="376B4484"/>
    <w:rsid w:val="37A755DD"/>
    <w:rsid w:val="37F94FA0"/>
    <w:rsid w:val="380D3381"/>
    <w:rsid w:val="38115B1F"/>
    <w:rsid w:val="385E3AC3"/>
    <w:rsid w:val="387D6B9E"/>
    <w:rsid w:val="389F209C"/>
    <w:rsid w:val="38B75FF0"/>
    <w:rsid w:val="38D45016"/>
    <w:rsid w:val="38D90432"/>
    <w:rsid w:val="39021308"/>
    <w:rsid w:val="3914510A"/>
    <w:rsid w:val="3926770B"/>
    <w:rsid w:val="398D3668"/>
    <w:rsid w:val="39DA0497"/>
    <w:rsid w:val="3A893816"/>
    <w:rsid w:val="3A893B6D"/>
    <w:rsid w:val="3AD1763A"/>
    <w:rsid w:val="3AF26243"/>
    <w:rsid w:val="3B6716E3"/>
    <w:rsid w:val="3B6C6B2D"/>
    <w:rsid w:val="3C242659"/>
    <w:rsid w:val="3C96719C"/>
    <w:rsid w:val="3CA72BE8"/>
    <w:rsid w:val="3CF37F8C"/>
    <w:rsid w:val="3D137554"/>
    <w:rsid w:val="3D5275AC"/>
    <w:rsid w:val="3D917A6B"/>
    <w:rsid w:val="3DCC2473"/>
    <w:rsid w:val="3DEB0883"/>
    <w:rsid w:val="3E2527BF"/>
    <w:rsid w:val="3E731662"/>
    <w:rsid w:val="3E8168DD"/>
    <w:rsid w:val="3EA7725F"/>
    <w:rsid w:val="3EB03713"/>
    <w:rsid w:val="3EBF1A11"/>
    <w:rsid w:val="3EC52607"/>
    <w:rsid w:val="3EEC6CEF"/>
    <w:rsid w:val="3F183429"/>
    <w:rsid w:val="3FB77A1D"/>
    <w:rsid w:val="3FC574F3"/>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3FB7987"/>
    <w:rsid w:val="443A7E4B"/>
    <w:rsid w:val="44A31424"/>
    <w:rsid w:val="452F5B3A"/>
    <w:rsid w:val="454E7FD2"/>
    <w:rsid w:val="45A8769B"/>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14AB8"/>
    <w:rsid w:val="48B82268"/>
    <w:rsid w:val="48C354B3"/>
    <w:rsid w:val="493D58B5"/>
    <w:rsid w:val="494A7A04"/>
    <w:rsid w:val="497A7B8A"/>
    <w:rsid w:val="4A0A26D2"/>
    <w:rsid w:val="4A2019A5"/>
    <w:rsid w:val="4A241A0B"/>
    <w:rsid w:val="4A7B2875"/>
    <w:rsid w:val="4A934476"/>
    <w:rsid w:val="4AAA220A"/>
    <w:rsid w:val="4AAC19DB"/>
    <w:rsid w:val="4AB260CF"/>
    <w:rsid w:val="4AE12E67"/>
    <w:rsid w:val="4B4C0111"/>
    <w:rsid w:val="4B833978"/>
    <w:rsid w:val="4B8553A9"/>
    <w:rsid w:val="4BC36BC6"/>
    <w:rsid w:val="4BDB3730"/>
    <w:rsid w:val="4BDF7403"/>
    <w:rsid w:val="4C200F7A"/>
    <w:rsid w:val="4C237A7B"/>
    <w:rsid w:val="4CEE3180"/>
    <w:rsid w:val="4D0F4AF6"/>
    <w:rsid w:val="4DF94F37"/>
    <w:rsid w:val="4E0A1DD5"/>
    <w:rsid w:val="4E3160E5"/>
    <w:rsid w:val="4E4D37AF"/>
    <w:rsid w:val="4E8C6496"/>
    <w:rsid w:val="4E971E8B"/>
    <w:rsid w:val="4EA4629D"/>
    <w:rsid w:val="4EFD18DE"/>
    <w:rsid w:val="4F0F42E7"/>
    <w:rsid w:val="4F144236"/>
    <w:rsid w:val="4F663C87"/>
    <w:rsid w:val="4F7E29A8"/>
    <w:rsid w:val="4F9E1FFC"/>
    <w:rsid w:val="50447CC2"/>
    <w:rsid w:val="50874A7C"/>
    <w:rsid w:val="50895EE7"/>
    <w:rsid w:val="50921B9D"/>
    <w:rsid w:val="50D16158"/>
    <w:rsid w:val="50DB5F45"/>
    <w:rsid w:val="51025EB1"/>
    <w:rsid w:val="51141503"/>
    <w:rsid w:val="518D0ED5"/>
    <w:rsid w:val="51E8779D"/>
    <w:rsid w:val="525C687F"/>
    <w:rsid w:val="52C33D66"/>
    <w:rsid w:val="52F647F7"/>
    <w:rsid w:val="52F92565"/>
    <w:rsid w:val="53114AD1"/>
    <w:rsid w:val="5314011E"/>
    <w:rsid w:val="53D03877"/>
    <w:rsid w:val="542F73CA"/>
    <w:rsid w:val="5430786D"/>
    <w:rsid w:val="545A1D2A"/>
    <w:rsid w:val="54C811C0"/>
    <w:rsid w:val="556A442D"/>
    <w:rsid w:val="55DA564E"/>
    <w:rsid w:val="5604127D"/>
    <w:rsid w:val="56166703"/>
    <w:rsid w:val="56510474"/>
    <w:rsid w:val="56861525"/>
    <w:rsid w:val="56A93273"/>
    <w:rsid w:val="56BD550C"/>
    <w:rsid w:val="56CA1F61"/>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2272DC"/>
    <w:rsid w:val="5BD456CE"/>
    <w:rsid w:val="5C0D1F49"/>
    <w:rsid w:val="5CBB0CE2"/>
    <w:rsid w:val="5CC17177"/>
    <w:rsid w:val="5CF306BC"/>
    <w:rsid w:val="5D3F3D64"/>
    <w:rsid w:val="5D564448"/>
    <w:rsid w:val="5D833043"/>
    <w:rsid w:val="5D9702C9"/>
    <w:rsid w:val="5DD92690"/>
    <w:rsid w:val="5DDB1CFD"/>
    <w:rsid w:val="5E411890"/>
    <w:rsid w:val="5E7E6D93"/>
    <w:rsid w:val="5ED44800"/>
    <w:rsid w:val="5F350BDE"/>
    <w:rsid w:val="5F61632C"/>
    <w:rsid w:val="5F9A7BFD"/>
    <w:rsid w:val="5FA17648"/>
    <w:rsid w:val="5FE705CB"/>
    <w:rsid w:val="603D5080"/>
    <w:rsid w:val="60D0261B"/>
    <w:rsid w:val="61380BBB"/>
    <w:rsid w:val="618E3791"/>
    <w:rsid w:val="61947DCA"/>
    <w:rsid w:val="61A46A97"/>
    <w:rsid w:val="61B14A79"/>
    <w:rsid w:val="61D1382F"/>
    <w:rsid w:val="61DD4483"/>
    <w:rsid w:val="61DE0274"/>
    <w:rsid w:val="61F114A2"/>
    <w:rsid w:val="62512BB4"/>
    <w:rsid w:val="625D7D1A"/>
    <w:rsid w:val="627F667A"/>
    <w:rsid w:val="62DD7D21"/>
    <w:rsid w:val="62DF3B46"/>
    <w:rsid w:val="637D586B"/>
    <w:rsid w:val="63A5560B"/>
    <w:rsid w:val="63E9091F"/>
    <w:rsid w:val="64322AF9"/>
    <w:rsid w:val="64A70DF2"/>
    <w:rsid w:val="64D6010D"/>
    <w:rsid w:val="64D82665"/>
    <w:rsid w:val="64E47C96"/>
    <w:rsid w:val="651E5741"/>
    <w:rsid w:val="658A4877"/>
    <w:rsid w:val="65A00902"/>
    <w:rsid w:val="65AC6EDD"/>
    <w:rsid w:val="65D97752"/>
    <w:rsid w:val="65F444E8"/>
    <w:rsid w:val="66085536"/>
    <w:rsid w:val="66105BF7"/>
    <w:rsid w:val="66150023"/>
    <w:rsid w:val="6628010D"/>
    <w:rsid w:val="66651B3E"/>
    <w:rsid w:val="669B4528"/>
    <w:rsid w:val="66CC12D7"/>
    <w:rsid w:val="66E169AB"/>
    <w:rsid w:val="67134CEF"/>
    <w:rsid w:val="671F1ABD"/>
    <w:rsid w:val="67521A59"/>
    <w:rsid w:val="67A71109"/>
    <w:rsid w:val="67C304AB"/>
    <w:rsid w:val="67FD6F7B"/>
    <w:rsid w:val="683F0658"/>
    <w:rsid w:val="68825E00"/>
    <w:rsid w:val="689C6793"/>
    <w:rsid w:val="68DB0208"/>
    <w:rsid w:val="68FB170C"/>
    <w:rsid w:val="691B3D98"/>
    <w:rsid w:val="693748F0"/>
    <w:rsid w:val="69846A0E"/>
    <w:rsid w:val="69AA1366"/>
    <w:rsid w:val="69AD798C"/>
    <w:rsid w:val="69D005C0"/>
    <w:rsid w:val="69D80B96"/>
    <w:rsid w:val="6B68175F"/>
    <w:rsid w:val="6BFD799F"/>
    <w:rsid w:val="6BFD7B89"/>
    <w:rsid w:val="6C4A2E5A"/>
    <w:rsid w:val="6C8138D0"/>
    <w:rsid w:val="6CEF0725"/>
    <w:rsid w:val="6D4B2604"/>
    <w:rsid w:val="6D8030E4"/>
    <w:rsid w:val="6E0B3DBE"/>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34F55"/>
    <w:rsid w:val="73674C62"/>
    <w:rsid w:val="73793B28"/>
    <w:rsid w:val="73845865"/>
    <w:rsid w:val="739B6D9E"/>
    <w:rsid w:val="73BC1D76"/>
    <w:rsid w:val="73FB6630"/>
    <w:rsid w:val="746C5D5D"/>
    <w:rsid w:val="748D790E"/>
    <w:rsid w:val="749820CC"/>
    <w:rsid w:val="74CE04EC"/>
    <w:rsid w:val="74E76DCD"/>
    <w:rsid w:val="751D7C0A"/>
    <w:rsid w:val="75722D56"/>
    <w:rsid w:val="75B50E95"/>
    <w:rsid w:val="75DB5477"/>
    <w:rsid w:val="75FC6AC3"/>
    <w:rsid w:val="7616619B"/>
    <w:rsid w:val="76660D7C"/>
    <w:rsid w:val="766C5968"/>
    <w:rsid w:val="76BE0C8F"/>
    <w:rsid w:val="76CD53B2"/>
    <w:rsid w:val="770719AC"/>
    <w:rsid w:val="776526CC"/>
    <w:rsid w:val="776B0EF4"/>
    <w:rsid w:val="77A262E1"/>
    <w:rsid w:val="77B13C33"/>
    <w:rsid w:val="77ED6F44"/>
    <w:rsid w:val="77F45548"/>
    <w:rsid w:val="78226429"/>
    <w:rsid w:val="784E7CA6"/>
    <w:rsid w:val="78574801"/>
    <w:rsid w:val="7873527F"/>
    <w:rsid w:val="790A6425"/>
    <w:rsid w:val="790E2D96"/>
    <w:rsid w:val="791B54B2"/>
    <w:rsid w:val="795A0A34"/>
    <w:rsid w:val="797339C3"/>
    <w:rsid w:val="79D57D57"/>
    <w:rsid w:val="79F00650"/>
    <w:rsid w:val="7A061356"/>
    <w:rsid w:val="7A6242BF"/>
    <w:rsid w:val="7A794513"/>
    <w:rsid w:val="7AE952D2"/>
    <w:rsid w:val="7AF002B3"/>
    <w:rsid w:val="7C7248A0"/>
    <w:rsid w:val="7C976D69"/>
    <w:rsid w:val="7CD752DA"/>
    <w:rsid w:val="7CDE40AB"/>
    <w:rsid w:val="7CF057E2"/>
    <w:rsid w:val="7D1548B5"/>
    <w:rsid w:val="7D821DAF"/>
    <w:rsid w:val="7DF84014"/>
    <w:rsid w:val="7E207949"/>
    <w:rsid w:val="7E5C0A47"/>
    <w:rsid w:val="7E670C75"/>
    <w:rsid w:val="7EE24272"/>
    <w:rsid w:val="7EEA6053"/>
    <w:rsid w:val="7F487C04"/>
    <w:rsid w:val="7F4C21A5"/>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30</Pages>
  <Words>8093</Words>
  <Characters>9286</Characters>
  <Lines>74</Lines>
  <Paragraphs>20</Paragraphs>
  <TotalTime>6</TotalTime>
  <ScaleCrop>false</ScaleCrop>
  <LinksUpToDate>false</LinksUpToDate>
  <CharactersWithSpaces>9308</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2024-11-21T11:30:38Z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D624B15633CD43C8BF9435464A96BF70</vt:lpwstr>
  </property>
</Properties>
</file>