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库尔勒市司法局</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承担全面依法治市重大问题的政策研究，协调有关方面提出全面依法治市中长期规划建议，负责有关重大决策部署督察工作；参与起草或者组织起草与库尔勒市有关的自治州地方性法规、政府规章草案。承办市属各部门报送州人民政府的地方性法规、政府规章 草案前期审查工作。承办法律草案、行政法规草案、地方性法规草案征求意见工作；负责行政规范性文件合法性审核、备案审查工作， 并对乡镇（街道）、市政府各部门的规范性文件审查工作进行指导和监督。组织开展行政规范性文件清理工作；承担统筹推进法治政 府建设的责任。指导、监督全市依法行政工作，负责行政执法的监督管理、综合协调工作，承担推进行政执法体制改革有关工作，推进严格规范公正文明执法。指导、监督全市行政复议和行政应诉工作。负责行政复议和应诉案件办理工作；承担统筹规划法治社会建设的责任。负责拟订法治宣传教育规划，组织实施普法宣传工作，组织对外法治宣传。推动人民参与和促进法治建设。指导依法治理和法治创建工作。负责人民监督员选任管理工作。负责促进和预防犯罪宣传教育工作；指导、管理社区矫正工作；指导刑满释放人员 帮教安置工作。刑满释放人员的安置教育工作。负责“去极端化”工作；指导、监督人民调解、行政调解、人民陪审员选任工作，推进司法所建设；负责拟订公共法律服务体系建设规划并指导实施，统筹和布局城乡法律服务资源。指导、监督律师、法律援助、公证和基层法律服务管理工作；负责本系统服装和警车管理工作，指导监督本系统财务、装备、设施、场所等保障工作；规划、协调、指导 法治人才队伍建设相关工作指导、监督本系统队伍建设。负责本系统警务管理工作；承办市党委、市人民政府交办的其他任务。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库尔勒市司法局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单位无下属预算单位，下设8个处室，分别是：办公室、法宣股、规范性文件管理室、矫正教育股、行政复议与应诉室、行政执法协调监督室、人民参与和促进法 治股、公证律师管理股</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1,294.62万元，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1,294.62万元，使用非财政拨款结余0.00万元，年初结转和结余0.00万元。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1,294.62万元，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1,294.62万元，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增加265.99万元</w:t>
      </w:r>
      <w:r>
        <w:rPr>
          <w:rFonts w:hint="eastAsia" w:ascii="仿宋_GB2312" w:eastAsia="仿宋_GB2312"/>
          <w:color w:val="auto"/>
          <w:spacing w:val="0"/>
          <w:sz w:val="32"/>
          <w:szCs w:val="32"/>
          <w:highlight w:val="none"/>
          <w:lang w:eastAsia="zh-CN"/>
        </w:rPr>
        <w:t>，增长25.86%，主要原因是：本年度中央政法纪检监察转移支付资金及JP局经费支出比上年度增加。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1,294.62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1,294.62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本年支出1,294.62万元，其中：基本支出1,060.84万元，占81.94%；项目支出233.78万元，占18.06%；上缴上级支出0.00万元，占0.00%；经营支出0.00万元，占0.00%；对附属单位补助支出0.00万元，占0.00%。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1,294.62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1,294.62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1,294.62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1,294.62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增加265.99万元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增长25.86%,</w:t>
      </w:r>
      <w:r>
        <w:rPr>
          <w:rFonts w:hint="eastAsia" w:ascii="仿宋_GB2312" w:eastAsia="仿宋_GB2312"/>
          <w:color w:val="auto"/>
          <w:spacing w:val="0"/>
          <w:sz w:val="32"/>
          <w:szCs w:val="32"/>
          <w:highlight w:val="none"/>
          <w:lang w:eastAsia="zh-CN"/>
        </w:rPr>
        <w:t>主要原因是：本年度中央政法纪检监察转移支付资金及JP局经费支出比上年度增加。与年初预算相比，年初预算数</w:t>
      </w:r>
      <w:r>
        <w:rPr>
          <w:rFonts w:hint="eastAsia" w:ascii="仿宋_GB2312" w:eastAsia="仿宋_GB2312"/>
          <w:color w:val="auto"/>
          <w:spacing w:val="0"/>
          <w:sz w:val="32"/>
          <w:szCs w:val="32"/>
          <w:highlight w:val="none"/>
          <w:lang w:val="zh-CN" w:eastAsia="zh-CN"/>
        </w:rPr>
        <w:t>1,573.93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1,294.62</w:t>
      </w:r>
      <w:r>
        <w:rPr>
          <w:rFonts w:hint="eastAsia" w:ascii="仿宋_GB2312" w:eastAsia="仿宋_GB2312"/>
          <w:color w:val="auto"/>
          <w:spacing w:val="0"/>
          <w:sz w:val="32"/>
          <w:szCs w:val="32"/>
          <w:highlight w:val="none"/>
          <w:lang w:eastAsia="zh-CN"/>
        </w:rPr>
        <w:t>万元，预决算差异率-17.75%，主要原因是：本年度</w:t>
      </w:r>
      <w:r>
        <w:rPr>
          <w:rFonts w:hint="eastAsia" w:ascii="仿宋_GB2312" w:eastAsia="仿宋_GB2312"/>
          <w:color w:val="auto"/>
          <w:spacing w:val="0"/>
          <w:sz w:val="32"/>
          <w:szCs w:val="32"/>
          <w:highlight w:val="none"/>
          <w:lang w:val="en-US" w:eastAsia="zh-CN"/>
        </w:rPr>
        <w:t>无疫情影响，且</w:t>
      </w:r>
      <w:r>
        <w:rPr>
          <w:rFonts w:hint="eastAsia" w:ascii="仿宋_GB2312" w:eastAsia="仿宋_GB2312"/>
          <w:color w:val="auto"/>
          <w:spacing w:val="0"/>
          <w:sz w:val="32"/>
          <w:szCs w:val="32"/>
          <w:highlight w:val="none"/>
          <w:lang w:eastAsia="zh-CN"/>
        </w:rPr>
        <w:t>上级专项资金增加，本级公用经费支出减少。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2023年度一般公共预算财政拨款支出1,294.62万元，占本年支出合计的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增加265.99万元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增长25.86%,</w:t>
      </w:r>
      <w:r>
        <w:rPr>
          <w:rFonts w:hint="eastAsia" w:ascii="仿宋_GB2312" w:eastAsia="仿宋_GB2312"/>
          <w:color w:val="auto"/>
          <w:spacing w:val="0"/>
          <w:sz w:val="32"/>
          <w:szCs w:val="32"/>
          <w:highlight w:val="none"/>
          <w:lang w:eastAsia="zh-CN"/>
        </w:rPr>
        <w:t>主要原因是：本年度中央政法纪检监察转移支付资金及JP局经费收入比上年度增加。与年初预算相比，年初预算数</w:t>
      </w:r>
      <w:r>
        <w:rPr>
          <w:rFonts w:hint="eastAsia" w:ascii="仿宋_GB2312" w:eastAsia="仿宋_GB2312"/>
          <w:color w:val="auto"/>
          <w:spacing w:val="0"/>
          <w:sz w:val="32"/>
          <w:szCs w:val="32"/>
          <w:highlight w:val="none"/>
          <w:lang w:val="zh-CN" w:eastAsia="zh-CN"/>
        </w:rPr>
        <w:t>1,573.93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1,294.62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-17.75%</w:t>
      </w:r>
      <w:r>
        <w:rPr>
          <w:rFonts w:hint="eastAsia" w:ascii="仿宋_GB2312" w:eastAsia="仿宋_GB2312"/>
          <w:color w:val="auto"/>
          <w:spacing w:val="0"/>
          <w:sz w:val="32"/>
          <w:szCs w:val="32"/>
          <w:highlight w:val="none"/>
          <w:lang w:eastAsia="zh-CN"/>
        </w:rPr>
        <w:t>，主要原因是：本年度</w:t>
      </w:r>
      <w:r>
        <w:rPr>
          <w:rFonts w:hint="eastAsia" w:ascii="仿宋_GB2312" w:eastAsia="仿宋_GB2312"/>
          <w:color w:val="auto"/>
          <w:spacing w:val="0"/>
          <w:sz w:val="32"/>
          <w:szCs w:val="32"/>
          <w:highlight w:val="none"/>
          <w:lang w:val="en-US" w:eastAsia="zh-CN"/>
        </w:rPr>
        <w:t>无疫情影响，且</w:t>
      </w:r>
      <w:r>
        <w:rPr>
          <w:rFonts w:hint="eastAsia" w:ascii="仿宋_GB2312" w:eastAsia="仿宋_GB2312"/>
          <w:color w:val="auto"/>
          <w:spacing w:val="0"/>
          <w:sz w:val="32"/>
          <w:szCs w:val="32"/>
          <w:highlight w:val="none"/>
          <w:lang w:eastAsia="zh-CN"/>
        </w:rPr>
        <w:t>上级专项资金增加，本级公用经费支出减少。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公共安全类支出（类）</w:t>
      </w:r>
      <w:r>
        <w:rPr>
          <w:rFonts w:hint="eastAsia" w:ascii="仿宋_GB2312" w:hAnsi="Times New Roman" w:eastAsia="仿宋_GB2312" w:cs="Times New Roman"/>
          <w:color w:val="auto"/>
          <w:spacing w:val="0"/>
          <w:kern w:val="2"/>
          <w:sz w:val="32"/>
          <w:szCs w:val="32"/>
          <w:highlight w:val="none"/>
          <w:lang w:val="zh-CN" w:eastAsia="zh-CN" w:bidi="ar-SA"/>
        </w:rPr>
        <w:t>968.29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74.79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191.21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14.77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65.08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70.03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5.41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.公共安全支出（类）司法（款）行政运行（项）:支出决算数为734.51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66.54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9.96%，主要原因是：</w:t>
      </w:r>
      <w:r>
        <w:rPr>
          <w:rFonts w:hint="eastAsia" w:ascii="Times New Roman" w:hAnsi="Times New Roman" w:eastAsia="仿宋_GB2312" w:cs="Times New Roman"/>
          <w:color w:val="auto"/>
          <w:kern w:val="2"/>
          <w:sz w:val="32"/>
          <w:szCs w:val="32"/>
          <w:highlight w:val="none"/>
          <w:lang w:val="zh-CN" w:eastAsia="zh-CN" w:bidi="ar-SA"/>
        </w:rPr>
        <w:t>本年度工资进行调标，缴费基数增加，导致人员经费支出增加</w:t>
      </w:r>
      <w:r>
        <w:rPr>
          <w:rFonts w:hint="eastAsia" w:eastAsia="仿宋_GB2312" w:cs="Times New Roman"/>
          <w:color w:val="auto"/>
          <w:kern w:val="2"/>
          <w:sz w:val="32"/>
          <w:szCs w:val="32"/>
          <w:highlight w:val="none"/>
          <w:lang w:val="zh-CN" w:eastAsia="zh-CN" w:bidi="ar-SA"/>
        </w:rPr>
        <w:t>，新增一名退休人员。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.公共安全支出（类）司法（款）其他司法支出（项）:支出决算数为233.78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174.92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297.22%，主要原因是：</w:t>
      </w:r>
      <w:r>
        <w:rPr>
          <w:rFonts w:hint="eastAsia" w:ascii="仿宋_GB2312" w:eastAsia="仿宋_GB2312"/>
          <w:color w:val="auto"/>
          <w:spacing w:val="0"/>
          <w:sz w:val="32"/>
          <w:szCs w:val="32"/>
          <w:highlight w:val="none"/>
          <w:lang w:eastAsia="zh-CN"/>
        </w:rPr>
        <w:t>本年度中央政法纪检监察转移支付资金及JP局经费收入比上年度增加。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.社会保障和就业支出（类）行政事业单位养老支出（款）行政单位离退休（项）:支出决算数为16.30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80.61%，主要原因是：</w:t>
      </w:r>
      <w:r>
        <w:rPr>
          <w:rFonts w:hint="eastAsia" w:ascii="Times New Roman" w:hAnsi="Times New Roman" w:eastAsia="仿宋_GB2312" w:cs="Times New Roman"/>
          <w:color w:val="auto"/>
          <w:kern w:val="2"/>
          <w:sz w:val="32"/>
          <w:szCs w:val="32"/>
          <w:highlight w:val="none"/>
          <w:lang w:val="zh-CN" w:eastAsia="zh-CN" w:bidi="ar-SA"/>
        </w:rPr>
        <w:t>本年度新增一名退休人员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.社会保障和就业支出（类）行政事业单位养老支出（款）机关事业单位基本养老保险缴费支出（项）:支出决算数为94.01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21.23%，主要原因是：</w:t>
      </w:r>
      <w:r>
        <w:rPr>
          <w:rFonts w:hint="eastAsia" w:ascii="Times New Roman" w:hAnsi="Times New Roman" w:eastAsia="仿宋_GB2312" w:cs="Times New Roman"/>
          <w:color w:val="auto"/>
          <w:kern w:val="2"/>
          <w:sz w:val="32"/>
          <w:szCs w:val="32"/>
          <w:highlight w:val="none"/>
          <w:lang w:val="zh-CN" w:eastAsia="zh-CN" w:bidi="ar-SA"/>
        </w:rPr>
        <w:t>本年度工资进行调标，缴费基数增加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.社会保障和就业支出（类）行政事业单位养老支出（款）机关事业单位职业年金缴费支出（项）:支出决算数为14.38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新增一名退休人员。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.社会保障和就业支出（类）就业补助（款）公益性岗位补贴（项）:支出决算数为66.52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21.78%，主要原因是：</w:t>
      </w:r>
      <w:r>
        <w:rPr>
          <w:rFonts w:hint="eastAsia" w:ascii="Times New Roman" w:hAnsi="Times New Roman" w:eastAsia="仿宋_GB2312" w:cs="Times New Roman"/>
          <w:color w:val="auto"/>
          <w:kern w:val="2"/>
          <w:sz w:val="32"/>
          <w:szCs w:val="32"/>
          <w:highlight w:val="none"/>
          <w:lang w:val="zh-CN" w:eastAsia="zh-CN" w:bidi="ar-SA"/>
        </w:rPr>
        <w:t>公益性岗位人员流动性强，7名公岗人员辞职</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.卫生健康支出（类）行政事业单位医疗（款）行政单位医疗（项）:支出决算数为49.79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9.72%，主要原因是：</w:t>
      </w:r>
      <w:r>
        <w:rPr>
          <w:rFonts w:hint="eastAsia" w:ascii="Times New Roman" w:hAnsi="Times New Roman" w:eastAsia="仿宋_GB2312" w:cs="Times New Roman"/>
          <w:color w:val="auto"/>
          <w:kern w:val="2"/>
          <w:sz w:val="32"/>
          <w:szCs w:val="32"/>
          <w:highlight w:val="none"/>
          <w:lang w:val="zh-CN" w:eastAsia="zh-CN" w:bidi="ar-SA"/>
        </w:rPr>
        <w:t>本年度工资进行调标，缴费基数增加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.卫生健康支出（类）行政事业单位医疗（款）公务员医疗补助（项）:支出决算数为15.29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19.37%，主要原因是：</w:t>
      </w:r>
      <w:r>
        <w:rPr>
          <w:rFonts w:hint="eastAsia" w:ascii="Times New Roman" w:hAnsi="Times New Roman" w:eastAsia="仿宋_GB2312" w:cs="Times New Roman"/>
          <w:color w:val="auto"/>
          <w:kern w:val="2"/>
          <w:sz w:val="32"/>
          <w:szCs w:val="32"/>
          <w:highlight w:val="none"/>
          <w:lang w:val="zh-CN" w:eastAsia="zh-CN" w:bidi="ar-SA"/>
        </w:rPr>
        <w:t>本年度新增一名退休人员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.住房保障支出（类）住房改革支出（款）住房公积金（项）:支出决算数为70.03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6.38%，主要原因是：</w:t>
      </w:r>
      <w:r>
        <w:rPr>
          <w:rFonts w:hint="eastAsia" w:ascii="Times New Roman" w:hAnsi="Times New Roman" w:eastAsia="仿宋_GB2312" w:cs="Times New Roman"/>
          <w:color w:val="auto"/>
          <w:kern w:val="2"/>
          <w:sz w:val="32"/>
          <w:szCs w:val="32"/>
          <w:highlight w:val="none"/>
          <w:lang w:val="zh-CN" w:eastAsia="zh-CN" w:bidi="ar-SA"/>
        </w:rPr>
        <w:t>本年度工资进行调标，缴费基数增加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1,060.84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1,038.63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基本工资、津贴补贴、奖金、机关事业单位基本养老保险缴费、职业年金缴费、职工基本医疗保险缴费、公务员医疗补助缴费、其他社会保障缴费、住房公积金、其他工资福利支出、退休费、抚恤金、生活补助。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22.21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“三公”经费支出2.40万元，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主要原因是：厉行节约，</w:t>
      </w:r>
      <w:r>
        <w:rPr>
          <w:rFonts w:hint="eastAsia" w:ascii="仿宋_GB2312" w:eastAsia="仿宋_GB2312"/>
          <w:color w:val="auto"/>
          <w:sz w:val="32"/>
          <w:szCs w:val="32"/>
          <w:highlight w:val="none"/>
          <w:lang w:val="en-US" w:eastAsia="zh-CN"/>
        </w:rPr>
        <w:t>与上年度保持一致</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主要原因是：我单位本年无因公出国（境）费支出，公务用车购置及运行维护费支出2.40万元，占100.00%，比上年增加0.00万元，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主要原因是：严格控制“三公”经费支出，厉行节约，</w:t>
      </w:r>
      <w:r>
        <w:rPr>
          <w:rFonts w:hint="eastAsia" w:ascii="仿宋_GB2312" w:eastAsia="仿宋_GB2312"/>
          <w:color w:val="auto"/>
          <w:sz w:val="32"/>
          <w:szCs w:val="32"/>
          <w:highlight w:val="none"/>
          <w:lang w:val="en-US" w:eastAsia="zh-CN"/>
        </w:rPr>
        <w:t>与上年度保持一致</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主要原因是：我单位本年无</w:t>
      </w:r>
      <w:r>
        <w:rPr>
          <w:rFonts w:hint="eastAsia" w:ascii="仿宋_GB2312" w:eastAsia="仿宋_GB2312"/>
          <w:color w:val="auto"/>
          <w:sz w:val="32"/>
          <w:szCs w:val="32"/>
          <w:highlight w:val="none"/>
          <w:lang w:val="en-US" w:eastAsia="zh-CN"/>
        </w:rPr>
        <w:t>公务接待费</w:t>
      </w:r>
      <w:r>
        <w:rPr>
          <w:rFonts w:hint="eastAsia" w:ascii="仿宋_GB2312" w:eastAsia="仿宋_GB2312"/>
          <w:color w:val="auto"/>
          <w:sz w:val="32"/>
          <w:szCs w:val="32"/>
          <w:highlight w:val="none"/>
          <w:lang w:val="zh-CN" w:eastAsia="zh-CN"/>
        </w:rPr>
        <w:t>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2.40万元，其中：公务用车购置费0.00万元，公务用车运行维护费2.40万元。公务用车运行维护费开支内容包括公务用车燃油费支出。公务用车购置数0辆，公务用车保有量20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原因是：国有资产占用情况中固定资产车辆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预算数2.40万元，决算数2.40万元，预决算差异率0.00%，主要原因是：严格控制“三公”经费支出，厉行节约，</w:t>
      </w:r>
      <w:r>
        <w:rPr>
          <w:rFonts w:hint="eastAsia" w:ascii="仿宋_GB2312" w:eastAsia="仿宋_GB2312"/>
          <w:color w:val="auto"/>
          <w:sz w:val="32"/>
          <w:szCs w:val="32"/>
          <w:highlight w:val="none"/>
          <w:lang w:val="en-US" w:eastAsia="zh-CN"/>
        </w:rPr>
        <w:t>预决算保持一致</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0.00万元，决算数0.00万元，预决算差异率0.00%，主要原因是：我单位本年度无因公出国（境）费支出；公务用车购置费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预算数0.00万元，决算数0.00万元，预决算差异率0.00%，主要原因是：我单位本年度未安排公务用车购置费；公务用车运行费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预算数2.40万元，决算数2.40万元，预决算差异率0.00%，主要原因是：严格控制“三公”经费支出，厉行节约，预决算一致；公务接待费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预算数0.00万元，决算数0.00万元，预决算差异率0.00%，主要原因是：我单位本年度未安排公务接待费。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库尔勒市司法局（行政单位和参照公务员法管理事业单位）机关运行经费支出22.21万元，</w:t>
      </w:r>
      <w:r>
        <w:rPr>
          <w:rFonts w:hint="eastAsia" w:ascii="Times New Roman" w:hAnsi="Times New Roman" w:eastAsia="仿宋_GB2312" w:cs="Times New Roman"/>
          <w:color w:val="auto"/>
          <w:sz w:val="32"/>
          <w:szCs w:val="32"/>
          <w:highlight w:val="none"/>
          <w:lang w:val="zh-CN" w:eastAsia="zh-CN"/>
        </w:rPr>
        <w:t>比上年减少8.84万元，下降28.48%，主要原因是：本年度因上级专项资金增加，本级公用经费支出减少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51.25万元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其中：政府采购货物支出17.28万元、政府采购工程支出23.07万元、政府采购服务支出10.90万元。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授予中小企业合同金额50.51万元，占政府采购支出总额的98.55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，其中：授予小微企业合同金额50.51万元，占政府采购支出总额的98.55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2,558.47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屋4,527.87平方米，价值1,983.16万元。车辆20辆，价值240.83万元，其中：副部（省）级及以上领导用车0辆、主要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用车0辆、其他用车20辆，其他用车主要是：</w:t>
      </w:r>
      <w:r>
        <w:rPr>
          <w:rFonts w:hint="eastAsia" w:eastAsia="仿宋_GB2312" w:cs="Times New Roman"/>
          <w:color w:val="auto"/>
          <w:sz w:val="32"/>
          <w:szCs w:val="32"/>
          <w:highlight w:val="none"/>
          <w:lang w:val="en-US" w:eastAsia="zh-CN"/>
        </w:rPr>
        <w:t>单位公务用车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预算总额1294.62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实际执行总额1294.62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全年预算数494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全年执行数233.78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hAnsi="Times New Roman" w:eastAsia="仿宋_GB2312" w:cs="Times New Roman"/>
          <w:color w:val="auto"/>
          <w:sz w:val="32"/>
          <w:szCs w:val="32"/>
          <w:highlight w:val="none"/>
          <w:lang w:val="en-US" w:eastAsia="zh-CN"/>
        </w:rPr>
        <w:t>一是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二是资金拨付审批手续完整。项目资金专款专用，不存在支出依据不合规，序列项目支出，截留，挤占，挪用和超标准支出等现象，使项目资金的运用得到了合理的控制，项目得到了切实的保障。三是会计信息质量真实。严格执行《会计法》等财经法规，严格按照相关会计制度办理会计业务，进行会计核算，并做好会计记录，真实的反映项目资金管理情况，并接受财政、审批部门及上级主管部门的检查、监督。四是执行预决算管理。严格按预算管理要求使用资金，严格按进度和合同拨付资金，严格执行政府采购制度；严格执行国库集中支付制度，严防截留、挪用资金。</w:t>
      </w:r>
      <w:r>
        <w:rPr>
          <w:rFonts w:hint="eastAsia" w:ascii="仿宋_GB2312" w:eastAsia="仿宋_GB2312"/>
          <w:color w:val="auto"/>
          <w:sz w:val="32"/>
          <w:szCs w:val="32"/>
          <w:highlight w:val="none"/>
          <w:lang w:eastAsia="zh-CN"/>
        </w:rPr>
        <w:t>发现的问题及原因：</w:t>
      </w:r>
      <w:r>
        <w:rPr>
          <w:rFonts w:hint="eastAsia" w:ascii="仿宋_GB2312" w:hAnsi="Times New Roman" w:eastAsia="仿宋_GB2312" w:cs="Times New Roman"/>
          <w:color w:val="auto"/>
          <w:sz w:val="32"/>
          <w:szCs w:val="32"/>
          <w:highlight w:val="none"/>
          <w:lang w:val="en-US" w:eastAsia="zh-CN"/>
        </w:rPr>
        <w:t>一是预算编制工作有待细化。预算编制不够明确和细化，预算编制的合理性需要提高，预算执行力度还要进一步加强。二是单位管理制度仍需完善，对财务制度执行力有待加强，资金使用流程有待细化；单位领导对财务重视不够，有些工作不能做到落实到具体的人和事，财务制度管理不到位；单位财务人员业务水平有待提高。</w:t>
      </w:r>
      <w:r>
        <w:rPr>
          <w:rFonts w:hint="eastAsia" w:ascii="仿宋_GB2312" w:eastAsia="仿宋_GB2312"/>
          <w:color w:val="auto"/>
          <w:sz w:val="32"/>
          <w:szCs w:val="32"/>
          <w:highlight w:val="none"/>
          <w:lang w:eastAsia="zh-CN"/>
        </w:rPr>
        <w:t>下一步改进措施：</w:t>
      </w:r>
      <w:r>
        <w:rPr>
          <w:rFonts w:hint="eastAsia" w:ascii="仿宋_GB2312" w:hAnsi="Times New Roman" w:eastAsia="仿宋_GB2312" w:cs="Times New Roman"/>
          <w:color w:val="auto"/>
          <w:kern w:val="2"/>
          <w:sz w:val="32"/>
          <w:szCs w:val="32"/>
          <w:highlight w:val="none"/>
          <w:lang w:val="en-US" w:eastAsia="zh-CN" w:bidi="ar-SA"/>
        </w:rPr>
        <w:t>一是提高预算编制的合法性，部门预算编制须符合预算法和国家相关法律、法规的规定，符合国家有关经济社会发展的各项方针、政策，在法律赋予部门的职能范围内。二是加强财政资金使用效益跟踪“回头看”，反馈业务科室针对资金绩效运行状况，及时预控、查找资金使用和管理过程中的薄弱环节，提出纠偏措施。三是继续加强项目实时监控，严格按照相关要求对相关项目的资金进行使用，确保资金使用及时有效。四是继续加强项目开展进度的跟踪，提前做好预算及资金的支付计划，保证项目顺利开展的同时资金使用规范合理。五是注重预算编制的科学性、完整性。即部门预算须遵循量入为出、收支平衡的原则，稳妥可靠，采取有效的程序和方法合理安排各项资金，达到综合预算、不偏不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黑体" w:hAnsi="黑体" w:eastAsia="仿宋_GB2312" w:cs="宋体"/>
          <w:bCs/>
          <w:color w:val="auto"/>
          <w:kern w:val="0"/>
          <w:sz w:val="32"/>
          <w:szCs w:val="32"/>
          <w:highlight w:val="none"/>
          <w:lang w:val="en-US" w:eastAsia="zh-CN"/>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r>
        <w:rPr>
          <w:rFonts w:hint="eastAsia" w:ascii="黑体" w:hAnsi="黑体" w:eastAsia="仿宋_GB2312" w:cs="宋体"/>
          <w:bCs/>
          <w:color w:val="auto"/>
          <w:kern w:val="0"/>
          <w:sz w:val="32"/>
          <w:szCs w:val="32"/>
          <w:highlight w:val="none"/>
          <w:lang w:eastAsia="zh-CN"/>
        </w:rPr>
        <w:t>（</w:t>
      </w:r>
      <w:r>
        <w:rPr>
          <w:rFonts w:hint="eastAsia" w:ascii="黑体" w:hAnsi="黑体" w:eastAsia="仿宋_GB2312" w:cs="宋体"/>
          <w:bCs/>
          <w:color w:val="auto"/>
          <w:kern w:val="0"/>
          <w:sz w:val="32"/>
          <w:szCs w:val="32"/>
          <w:highlight w:val="none"/>
          <w:lang w:val="en-US" w:eastAsia="zh-CN"/>
        </w:rPr>
        <w:t>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黑体" w:hAnsi="黑体" w:eastAsia="仿宋_GB2312" w:cs="宋体"/>
          <w:bCs/>
          <w:color w:val="auto"/>
          <w:kern w:val="0"/>
          <w:sz w:val="32"/>
          <w:szCs w:val="32"/>
          <w:highlight w:val="none"/>
          <w:lang w:val="en-US" w:eastAsia="zh-CN"/>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r>
        <w:rPr>
          <w:rFonts w:hint="eastAsia" w:ascii="黑体" w:hAnsi="黑体" w:eastAsia="仿宋_GB2312" w:cs="宋体"/>
          <w:bCs/>
          <w:color w:val="auto"/>
          <w:kern w:val="0"/>
          <w:sz w:val="32"/>
          <w:szCs w:val="32"/>
          <w:highlight w:val="none"/>
          <w:lang w:eastAsia="zh-CN"/>
        </w:rPr>
        <w:t>（</w:t>
      </w:r>
      <w:r>
        <w:rPr>
          <w:rFonts w:hint="eastAsia" w:ascii="黑体" w:hAnsi="黑体" w:eastAsia="仿宋_GB2312" w:cs="宋体"/>
          <w:bCs/>
          <w:color w:val="auto"/>
          <w:kern w:val="0"/>
          <w:sz w:val="32"/>
          <w:szCs w:val="32"/>
          <w:highlight w:val="none"/>
          <w:lang w:val="en-US" w:eastAsia="zh-CN"/>
        </w:rPr>
        <w:t>空表）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sectPr>
          <w:footerReference r:id="rId4"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59264" behindDoc="0" locked="0" layoutInCell="1" allowOverlap="1">
            <wp:simplePos x="0" y="0"/>
            <wp:positionH relativeFrom="column">
              <wp:posOffset>-735965</wp:posOffset>
            </wp:positionH>
            <wp:positionV relativeFrom="paragraph">
              <wp:posOffset>327660</wp:posOffset>
            </wp:positionV>
            <wp:extent cx="6981825" cy="6997700"/>
            <wp:effectExtent l="0" t="0" r="9525" b="12700"/>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6981825" cy="69977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1312" behindDoc="0" locked="0" layoutInCell="1" allowOverlap="1">
            <wp:simplePos x="0" y="0"/>
            <wp:positionH relativeFrom="column">
              <wp:posOffset>-899795</wp:posOffset>
            </wp:positionH>
            <wp:positionV relativeFrom="paragraph">
              <wp:posOffset>409575</wp:posOffset>
            </wp:positionV>
            <wp:extent cx="7136130" cy="5064760"/>
            <wp:effectExtent l="0" t="0" r="7620" b="2540"/>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7136130" cy="506476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2336" behindDoc="0" locked="0" layoutInCell="1" allowOverlap="1">
            <wp:simplePos x="0" y="0"/>
            <wp:positionH relativeFrom="column">
              <wp:posOffset>-930275</wp:posOffset>
            </wp:positionH>
            <wp:positionV relativeFrom="paragraph">
              <wp:posOffset>316230</wp:posOffset>
            </wp:positionV>
            <wp:extent cx="7162800" cy="4611370"/>
            <wp:effectExtent l="0" t="0" r="0" b="17780"/>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7162800" cy="46113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3360" behindDoc="0" locked="0" layoutInCell="1" allowOverlap="1">
            <wp:simplePos x="0" y="0"/>
            <wp:positionH relativeFrom="column">
              <wp:posOffset>-864235</wp:posOffset>
            </wp:positionH>
            <wp:positionV relativeFrom="paragraph">
              <wp:posOffset>523875</wp:posOffset>
            </wp:positionV>
            <wp:extent cx="7120255" cy="6207760"/>
            <wp:effectExtent l="0" t="0" r="4445" b="2540"/>
            <wp:wrapSquare wrapText="bothSides"/>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7120255" cy="620776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4384" behindDoc="0" locked="0" layoutInCell="1" allowOverlap="1">
            <wp:simplePos x="0" y="0"/>
            <wp:positionH relativeFrom="column">
              <wp:posOffset>-782955</wp:posOffset>
            </wp:positionH>
            <wp:positionV relativeFrom="paragraph">
              <wp:posOffset>421005</wp:posOffset>
            </wp:positionV>
            <wp:extent cx="6828790" cy="5883910"/>
            <wp:effectExtent l="0" t="0" r="10160" b="2540"/>
            <wp:wrapSquare wrapText="bothSides"/>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6828790" cy="588391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5408" behindDoc="0" locked="0" layoutInCell="1" allowOverlap="1">
            <wp:simplePos x="0" y="0"/>
            <wp:positionH relativeFrom="column">
              <wp:posOffset>-993775</wp:posOffset>
            </wp:positionH>
            <wp:positionV relativeFrom="paragraph">
              <wp:posOffset>449580</wp:posOffset>
            </wp:positionV>
            <wp:extent cx="7288530" cy="7686675"/>
            <wp:effectExtent l="0" t="0" r="7620" b="9525"/>
            <wp:wrapSquare wrapText="bothSides"/>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7288530" cy="76866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6432" behindDoc="0" locked="0" layoutInCell="1" allowOverlap="1">
            <wp:simplePos x="0" y="0"/>
            <wp:positionH relativeFrom="column">
              <wp:posOffset>-935990</wp:posOffset>
            </wp:positionH>
            <wp:positionV relativeFrom="paragraph">
              <wp:posOffset>466090</wp:posOffset>
            </wp:positionV>
            <wp:extent cx="7183120" cy="3691255"/>
            <wp:effectExtent l="0" t="0" r="17780" b="4445"/>
            <wp:wrapSquare wrapText="bothSides"/>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7183120" cy="369125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7456" behindDoc="0" locked="0" layoutInCell="1" allowOverlap="1">
            <wp:simplePos x="0" y="0"/>
            <wp:positionH relativeFrom="column">
              <wp:posOffset>-857250</wp:posOffset>
            </wp:positionH>
            <wp:positionV relativeFrom="paragraph">
              <wp:posOffset>809625</wp:posOffset>
            </wp:positionV>
            <wp:extent cx="7007225" cy="3168650"/>
            <wp:effectExtent l="0" t="0" r="3175" b="12700"/>
            <wp:wrapSquare wrapText="bothSides"/>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3"/>
                    <a:stretch>
                      <a:fillRect/>
                    </a:stretch>
                  </pic:blipFill>
                  <pic:spPr>
                    <a:xfrm>
                      <a:off x="0" y="0"/>
                      <a:ext cx="7007225" cy="31686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8480" behindDoc="0" locked="0" layoutInCell="1" allowOverlap="1">
            <wp:simplePos x="0" y="0"/>
            <wp:positionH relativeFrom="column">
              <wp:posOffset>-854710</wp:posOffset>
            </wp:positionH>
            <wp:positionV relativeFrom="paragraph">
              <wp:posOffset>234315</wp:posOffset>
            </wp:positionV>
            <wp:extent cx="7092315" cy="3364865"/>
            <wp:effectExtent l="0" t="0" r="13335" b="6985"/>
            <wp:wrapSquare wrapText="bothSides"/>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4"/>
                    <a:stretch>
                      <a:fillRect/>
                    </a:stretch>
                  </pic:blipFill>
                  <pic:spPr>
                    <a:xfrm>
                      <a:off x="0" y="0"/>
                      <a:ext cx="7092315" cy="336486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2309D8"/>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5605EB"/>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352C17"/>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AC7A94"/>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B73A00"/>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1</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2024-08-23T09:27:12Z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