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部门单位名称（公章）：：库尔勒市司法局</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rPr>
      </w:pPr>
      <w:r>
        <w:rPr>
          <w:rStyle w:val="8"/>
          <w:rFonts w:hint="eastAsia" w:ascii="黑体" w:hAnsi="黑体" w:eastAsia="黑体" w:cs="黑体"/>
          <w:b w:val="0"/>
          <w:bCs/>
          <w:color w:val="auto"/>
          <w:spacing w:val="-4"/>
          <w:sz w:val="32"/>
          <w:szCs w:val="32"/>
          <w:highlight w:val="none"/>
          <w:lang w:val="en-US" w:eastAsia="zh-CN"/>
        </w:rPr>
        <w:t>(一)</w:t>
      </w:r>
      <w:r>
        <w:rPr>
          <w:rStyle w:val="8"/>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01"/>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（1）承担全面依法治市重大问题的政策研究，协调有关方面提出全面依法治市中长期规划建议，负责有关重大决策部署督察工作。</w:t>
      </w:r>
      <w:bookmarkStart w:id="0" w:name="_GoBack"/>
      <w:bookmarkEnd w:id="0"/>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01"/>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参与起草或者组织起草与库尔勒市有关的自治州地方性法规、政府规章草案。承办市属各部门报送州人民政府的地方性法规、政府规章草案前期审查工作。承办法律草案、行政法规草案、地方性法规草案征求意见工作。</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01"/>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（3）负责行政规范性文件合法性审核、备案审查工作，并对乡镇（街道）、市政府各部门的规范性文件审查工作进行指导和监督。组织开展行政规范性文件清理工作。</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01"/>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承担统筹推进法治政府建设的责任。指导、监督全市依法行政工作，负责行政执法的监督管理、综合协调工作，承担推进行政执法体制改革有关工作，推进严格规范公正文明执法。指导、监督全市行政复议和行政应诉工作。负责行政复议和应诉案件办理工作。</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01"/>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5）承担统筹规划法治社会建设的责任。负责拟订法治宣传教育规划，组织实施普法宣传工作，组织对外法治宣传。推动人民参与和促进法治建设。指导依法治理和法治创建工作。负责人民监督员选任管理工作。负责促进和预防犯罪宣传教育工作。</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01"/>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（6）指导、管理社区矫正工作。指导刑满释放人员帮教安置工作。刑满释放人员的安置教育工作。负责“去极端化”工作。</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01"/>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（7）指导、监督人民调解、行政调解、人民陪审员选任工作，推进司法所建设。</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01"/>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（8）负责拟订公共法律服务体系建设规划并指导实施，统筹和布局城乡法律服务资源。指导、监督律师、法律援助、公证和基层法律服务管理工作。</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01"/>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（9）负责本系统服装和警车管理工作，指导监督本系统财务、装备、设施、场所等保障工作。</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01"/>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（10）规划、协调、指导法治人才队伍建设相关工作指</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01"/>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导、监督本系统队伍建设。负责本系统警务管理工作。</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kinsoku/>
        <w:wordWrap/>
        <w:overflowPunct/>
        <w:topLinePunct w:val="0"/>
        <w:autoSpaceDE/>
        <w:autoSpaceDN/>
        <w:bidi w:val="0"/>
        <w:adjustRightInd/>
        <w:snapToGrid/>
        <w:spacing w:line="360" w:lineRule="auto"/>
        <w:ind w:firstLine="601"/>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（11）承办市党委、市人民政府交办的其他任务。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5"/>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_GB2312" w:hAnsi="仿宋_GB2312" w:eastAsia="仿宋_GB2312" w:cs="仿宋_GB2312"/>
          <w:color w:val="auto"/>
          <w:kern w:val="1"/>
          <w:sz w:val="32"/>
          <w:szCs w:val="32"/>
          <w:highlight w:val="none"/>
          <w:lang w:val="en-US" w:eastAsia="zh-CN"/>
        </w:rPr>
        <w:t>库尔勒市司法局</w:t>
      </w:r>
      <w:r>
        <w:rPr>
          <w:rFonts w:hint="eastAsia" w:ascii="仿宋" w:hAnsi="仿宋" w:eastAsia="仿宋" w:cs="仿宋"/>
          <w:color w:val="auto"/>
          <w:kern w:val="2"/>
          <w:sz w:val="32"/>
          <w:szCs w:val="32"/>
          <w:highlight w:val="none"/>
          <w:lang w:val="en-US" w:eastAsia="zh-CN" w:bidi="ar-SA"/>
        </w:rPr>
        <w:t>编制数</w:t>
      </w:r>
      <w:r>
        <w:rPr>
          <w:rFonts w:hint="eastAsia" w:ascii="仿宋" w:hAnsi="仿宋" w:eastAsia="仿宋" w:cs="仿宋"/>
          <w:color w:val="auto"/>
          <w:kern w:val="2"/>
          <w:sz w:val="32"/>
          <w:szCs w:val="32"/>
          <w:highlight w:val="none"/>
          <w:lang w:val="en-US" w:eastAsia="zh-CN" w:bidi="ar-SA"/>
        </w:rPr>
        <w:t>55</w:t>
      </w:r>
      <w:r>
        <w:rPr>
          <w:rFonts w:hint="eastAsia" w:ascii="仿宋" w:hAnsi="仿宋" w:eastAsia="仿宋" w:cs="仿宋"/>
          <w:color w:val="auto"/>
          <w:kern w:val="2"/>
          <w:sz w:val="32"/>
          <w:szCs w:val="32"/>
          <w:highlight w:val="none"/>
          <w:lang w:val="en-US" w:eastAsia="zh-CN" w:bidi="ar-SA"/>
        </w:rPr>
        <w:t>人，实有人数77人，其中：在职</w:t>
      </w:r>
      <w:r>
        <w:rPr>
          <w:rFonts w:hint="eastAsia" w:ascii="仿宋" w:hAnsi="仿宋" w:eastAsia="仿宋" w:cs="仿宋"/>
          <w:color w:val="auto"/>
          <w:kern w:val="2"/>
          <w:sz w:val="32"/>
          <w:szCs w:val="32"/>
          <w:highlight w:val="none"/>
          <w:lang w:val="en-US" w:eastAsia="zh-CN" w:bidi="ar-SA"/>
        </w:rPr>
        <w:t>52</w:t>
      </w:r>
      <w:r>
        <w:rPr>
          <w:rFonts w:hint="eastAsia" w:ascii="仿宋" w:hAnsi="仿宋" w:eastAsia="仿宋" w:cs="仿宋"/>
          <w:color w:val="auto"/>
          <w:kern w:val="2"/>
          <w:sz w:val="32"/>
          <w:szCs w:val="32"/>
          <w:highlight w:val="none"/>
          <w:lang w:val="en-US" w:eastAsia="zh-CN" w:bidi="ar-SA"/>
        </w:rPr>
        <w:t>人；退休</w:t>
      </w:r>
      <w:r>
        <w:rPr>
          <w:rFonts w:hint="eastAsia" w:ascii="仿宋" w:hAnsi="仿宋" w:eastAsia="仿宋" w:cs="仿宋"/>
          <w:color w:val="auto"/>
          <w:kern w:val="2"/>
          <w:sz w:val="32"/>
          <w:szCs w:val="32"/>
          <w:highlight w:val="none"/>
          <w:lang w:val="en-US" w:eastAsia="zh-CN" w:bidi="ar-SA"/>
        </w:rPr>
        <w:t>25</w:t>
      </w:r>
      <w:r>
        <w:rPr>
          <w:rFonts w:hint="eastAsia" w:ascii="仿宋" w:hAnsi="仿宋" w:eastAsia="仿宋" w:cs="仿宋"/>
          <w:color w:val="auto"/>
          <w:kern w:val="2"/>
          <w:sz w:val="32"/>
          <w:szCs w:val="32"/>
          <w:highlight w:val="none"/>
          <w:lang w:val="en-US" w:eastAsia="zh-CN" w:bidi="ar-SA"/>
        </w:rPr>
        <w:t>人；离休</w:t>
      </w:r>
      <w:r>
        <w:rPr>
          <w:rFonts w:hint="eastAsia" w:ascii="仿宋" w:hAnsi="仿宋" w:eastAsia="仿宋" w:cs="仿宋"/>
          <w:color w:val="auto"/>
          <w:kern w:val="2"/>
          <w:sz w:val="32"/>
          <w:szCs w:val="32"/>
          <w:highlight w:val="none"/>
          <w:lang w:val="en-US" w:eastAsia="zh-CN" w:bidi="ar-SA"/>
        </w:rPr>
        <w:t>0</w:t>
      </w:r>
      <w:r>
        <w:rPr>
          <w:rFonts w:hint="eastAsia" w:ascii="仿宋" w:hAnsi="仿宋" w:eastAsia="仿宋" w:cs="仿宋"/>
          <w:color w:val="auto"/>
          <w:kern w:val="2"/>
          <w:sz w:val="32"/>
          <w:szCs w:val="32"/>
          <w:highlight w:val="none"/>
          <w:lang w:val="en-US" w:eastAsia="zh-CN" w:bidi="ar-SA"/>
        </w:rPr>
        <w:t>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K" w:cs="Times New Roman"/>
          <w:color w:val="auto"/>
          <w:kern w:val="0"/>
          <w:sz w:val="32"/>
          <w:szCs w:val="32"/>
          <w:highlight w:val="none"/>
          <w:lang w:val="en-US" w:eastAsia="zh-CN" w:bidi="ar-SA"/>
        </w:rPr>
      </w:pPr>
      <w:r>
        <w:rPr>
          <w:rFonts w:hint="eastAsia" w:ascii="黑体" w:hAnsi="黑体" w:eastAsia="黑体" w:cs="黑体"/>
          <w:b w:val="0"/>
          <w:bCs/>
          <w:color w:val="auto"/>
          <w:sz w:val="32"/>
          <w:szCs w:val="32"/>
          <w:highlight w:val="none"/>
          <w:lang w:val="en-US" w:eastAsia="zh-CN"/>
        </w:rPr>
        <w:t>1.2023年度工作计划</w:t>
      </w:r>
      <w:r>
        <w:rPr>
          <w:rFonts w:hint="eastAsia" w:ascii="Times New Roman" w:hAnsi="Times New Roman" w:eastAsia="方正仿宋_GBK" w:cs="Times New Roman"/>
          <w:color w:val="auto"/>
          <w:kern w:val="0"/>
          <w:sz w:val="32"/>
          <w:szCs w:val="32"/>
          <w:highlight w:val="none"/>
          <w:lang w:val="en-US" w:eastAsia="zh-CN" w:bidi="ar-SA"/>
        </w:rPr>
        <w:t>体如下：</w:t>
      </w:r>
    </w:p>
    <w:p>
      <w:pPr>
        <w:spacing w:line="560" w:lineRule="exact"/>
        <w:ind w:firstLine="620" w:firstLineChars="200"/>
        <w:rPr>
          <w:rFonts w:hint="eastAsia" w:ascii="仿宋" w:hAnsi="仿宋" w:eastAsia="仿宋" w:cs="仿宋"/>
          <w:color w:val="auto"/>
          <w:sz w:val="32"/>
          <w:szCs w:val="32"/>
          <w:highlight w:val="none"/>
        </w:rPr>
      </w:pPr>
      <w:r>
        <w:rPr>
          <w:rFonts w:cs="Times New Roman" w:asciiTheme="minorEastAsia" w:hAnsiTheme="minorEastAsia" w:eastAsiaTheme="minorEastAsia"/>
          <w:color w:val="auto"/>
          <w:sz w:val="31"/>
          <w:szCs w:val="31"/>
          <w:highlight w:val="none"/>
        </w:rPr>
        <w:t xml:space="preserve"> </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进一步加强特殊人员监管安全。以提高社区矫正质量为重点，切实加强刑罚执行，不断完善工作机制，继续加强对工作人员的培训，加大社区矫正工作日常监管力度，坚决避免脱管、漏管情况的发生；抓实安置帮教工作，提高安置帮教质量，采取抓住重点对象，实施分类帮教措施，不断加大社会力量参与度。</w:t>
      </w:r>
    </w:p>
    <w:p>
      <w:pPr>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进一步强化人民调解工作。继续学习“枫桥经验”，发挥人民调解“第一道防线”作用，加强专职人民调解员队伍建设，推动法治宣传、法律援助、律师、公证参与化解矛盾纠纷机制建设，建立有机衔接、协调联动、高效便捷的矛盾纠纷多元化解机制。</w:t>
      </w:r>
    </w:p>
    <w:p>
      <w:pPr>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进一步加强公共法律服务体系建设。大力加强公共法律服务实体平台建设，强化12348公共法律服务热线宣传和运用。继续完善律师事务所、法律援助中心、公证处、基层司法所、人民调解委员会等专业法律服务机构组成的公共法律服务体系，建立市、乡（镇、街道）、村（社区）三级综合性公共法律服务平台，常态化组织律师参与信访接待，努力实现公共法律服务零距离，深化让群众“最多跑一次”的改革。</w:t>
      </w:r>
    </w:p>
    <w:p>
      <w:pPr>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三、强化自身建设，提升司法行政干部队伍能力素质</w:t>
      </w:r>
    </w:p>
    <w:p>
      <w:pPr>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）推进固本强基。用好用活“不忘初心、牢记使命”主题教育成果，加强司法行政队伍的理想信念教育和纪律规矩教育，优化队伍结构，提升队伍整体素质。</w:t>
      </w:r>
    </w:p>
    <w:p>
      <w:pPr>
        <w:spacing w:line="560" w:lineRule="exact"/>
        <w:ind w:firstLine="640" w:firstLineChars="200"/>
        <w:rPr>
          <w:rFonts w:hint="eastAsia" w:ascii="仿宋_GB2312" w:hAnsi="仿宋_GB2312" w:eastAsia="仿宋_GB2312" w:cs="仿宋_GB2312"/>
          <w:color w:val="auto"/>
          <w:kern w:val="1"/>
          <w:sz w:val="32"/>
          <w:szCs w:val="32"/>
          <w:highlight w:val="none"/>
          <w:lang w:val="en-US" w:eastAsia="zh-CN"/>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）全面加强司法所建设。继续推进司法所建设规范提升工程，重点解决司法所办公业务用房和人员配备问题，确保有房有人。同时，抓好司法所人员和平移干部业务培训，不断提升工作能力水平。</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库尔勒市司法局2023年通过本部门预算支出，确保了</w:t>
      </w:r>
      <w:r>
        <w:rPr>
          <w:rStyle w:val="8"/>
          <w:rFonts w:hint="eastAsia" w:ascii="仿宋" w:hAnsi="仿宋" w:eastAsia="仿宋" w:cs="仿宋"/>
          <w:b w:val="0"/>
          <w:bCs/>
          <w:color w:val="auto"/>
          <w:spacing w:val="-4"/>
          <w:sz w:val="32"/>
          <w:szCs w:val="32"/>
          <w:highlight w:val="none"/>
          <w:lang w:val="en-US" w:eastAsia="zh-CN"/>
        </w:rPr>
        <w:t>52</w:t>
      </w:r>
      <w:r>
        <w:rPr>
          <w:rStyle w:val="8"/>
          <w:rFonts w:hint="eastAsia" w:ascii="仿宋" w:hAnsi="仿宋" w:eastAsia="仿宋" w:cs="仿宋"/>
          <w:b w:val="0"/>
          <w:bCs/>
          <w:color w:val="auto"/>
          <w:spacing w:val="-4"/>
          <w:sz w:val="32"/>
          <w:szCs w:val="32"/>
          <w:highlight w:val="none"/>
          <w:lang w:val="en-US" w:eastAsia="zh-CN"/>
        </w:rPr>
        <w:t>名在职人员的工资、津贴、补贴、社保、绩效、公积金等</w:t>
      </w:r>
      <w:r>
        <w:rPr>
          <w:rStyle w:val="8"/>
          <w:rFonts w:hint="eastAsia" w:ascii="仿宋" w:hAnsi="仿宋" w:eastAsia="仿宋" w:cs="仿宋"/>
          <w:b w:val="0"/>
          <w:bCs/>
          <w:color w:val="auto"/>
          <w:spacing w:val="-4"/>
          <w:sz w:val="32"/>
          <w:szCs w:val="32"/>
          <w:highlight w:val="none"/>
          <w:lang w:val="en-US" w:eastAsia="zh-CN"/>
        </w:rPr>
        <w:t>以及25名离退休人员的工资、医疗费等。</w:t>
      </w:r>
      <w:r>
        <w:rPr>
          <w:rStyle w:val="8"/>
          <w:rFonts w:hint="eastAsia" w:ascii="仿宋" w:hAnsi="仿宋" w:eastAsia="仿宋" w:cs="仿宋"/>
          <w:b w:val="0"/>
          <w:bCs/>
          <w:color w:val="auto"/>
          <w:spacing w:val="-4"/>
          <w:sz w:val="32"/>
          <w:szCs w:val="32"/>
          <w:highlight w:val="none"/>
          <w:lang w:val="en-US" w:eastAsia="zh-CN"/>
        </w:rPr>
        <w:t>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w:t>
      </w:r>
      <w:r>
        <w:rPr>
          <w:rFonts w:hint="eastAsia" w:ascii="仿宋" w:hAnsi="仿宋" w:eastAsia="仿宋" w:cs="仿宋"/>
          <w:color w:val="auto"/>
          <w:sz w:val="32"/>
          <w:szCs w:val="32"/>
          <w:highlight w:val="none"/>
          <w:lang w:val="en-US" w:eastAsia="zh-CN"/>
        </w:rPr>
        <w:t>1573.93</w:t>
      </w:r>
      <w:r>
        <w:rPr>
          <w:rFonts w:hint="eastAsia" w:ascii="仿宋" w:hAnsi="仿宋" w:eastAsia="仿宋" w:cs="仿宋"/>
          <w:color w:val="auto"/>
          <w:sz w:val="32"/>
          <w:szCs w:val="32"/>
          <w:highlight w:val="none"/>
          <w:lang w:val="en-US" w:eastAsia="zh-CN"/>
        </w:rPr>
        <w:t>万元，其中:上级安排</w:t>
      </w:r>
      <w:r>
        <w:rPr>
          <w:rFonts w:hint="eastAsia" w:ascii="仿宋" w:hAnsi="仿宋" w:eastAsia="仿宋" w:cs="仿宋"/>
          <w:color w:val="auto"/>
          <w:sz w:val="32"/>
          <w:szCs w:val="32"/>
          <w:highlight w:val="none"/>
          <w:lang w:val="en-US" w:eastAsia="zh-CN"/>
        </w:rPr>
        <w:t>297</w:t>
      </w:r>
      <w:r>
        <w:rPr>
          <w:rFonts w:hint="eastAsia" w:ascii="仿宋" w:hAnsi="仿宋" w:eastAsia="仿宋" w:cs="仿宋"/>
          <w:color w:val="auto"/>
          <w:sz w:val="32"/>
          <w:szCs w:val="32"/>
          <w:highlight w:val="none"/>
          <w:lang w:val="en-US" w:eastAsia="zh-CN"/>
        </w:rPr>
        <w:t>万元,本级安排</w:t>
      </w:r>
      <w:r>
        <w:rPr>
          <w:rFonts w:hint="eastAsia" w:ascii="仿宋" w:hAnsi="仿宋" w:eastAsia="仿宋" w:cs="仿宋"/>
          <w:color w:val="auto"/>
          <w:sz w:val="32"/>
          <w:szCs w:val="32"/>
          <w:highlight w:val="none"/>
          <w:lang w:val="en-US" w:eastAsia="zh-CN"/>
        </w:rPr>
        <w:t>1276.93</w:t>
      </w:r>
      <w:r>
        <w:rPr>
          <w:rFonts w:hint="eastAsia" w:ascii="仿宋" w:hAnsi="仿宋" w:eastAsia="仿宋" w:cs="仿宋"/>
          <w:color w:val="auto"/>
          <w:sz w:val="32"/>
          <w:szCs w:val="32"/>
          <w:highlight w:val="none"/>
          <w:lang w:val="en-US" w:eastAsia="zh-CN"/>
        </w:rPr>
        <w:t>万元，其他资金0万元。</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color w:val="auto"/>
          <w:sz w:val="32"/>
          <w:szCs w:val="32"/>
          <w:highlight w:val="none"/>
          <w:lang w:val="en-US" w:eastAsia="zh-CN"/>
        </w:rPr>
        <w:t>1573.93</w:t>
      </w:r>
      <w:r>
        <w:rPr>
          <w:rFonts w:hint="eastAsia" w:ascii="仿宋" w:hAnsi="仿宋" w:eastAsia="仿宋" w:cs="仿宋"/>
          <w:b w:val="0"/>
          <w:bCs/>
          <w:color w:val="auto"/>
          <w:sz w:val="32"/>
          <w:szCs w:val="32"/>
          <w:highlight w:val="none"/>
          <w:lang w:val="en-US" w:eastAsia="zh-CN"/>
        </w:rPr>
        <w:t>万元，年中调整数</w:t>
      </w:r>
      <w:r>
        <w:rPr>
          <w:rFonts w:hint="eastAsia" w:ascii="仿宋" w:hAnsi="仿宋" w:eastAsia="仿宋" w:cs="仿宋"/>
          <w:b w:val="0"/>
          <w:bCs/>
          <w:color w:val="auto"/>
          <w:sz w:val="32"/>
          <w:szCs w:val="32"/>
          <w:highlight w:val="none"/>
          <w:lang w:val="en-US" w:eastAsia="zh-CN"/>
        </w:rPr>
        <w:t>-279.31</w:t>
      </w:r>
      <w:r>
        <w:rPr>
          <w:rFonts w:hint="eastAsia" w:ascii="仿宋" w:hAnsi="仿宋" w:eastAsia="仿宋" w:cs="仿宋"/>
          <w:b w:val="0"/>
          <w:bCs/>
          <w:color w:val="auto"/>
          <w:sz w:val="32"/>
          <w:szCs w:val="32"/>
          <w:highlight w:val="none"/>
          <w:lang w:val="en-US" w:eastAsia="zh-CN"/>
        </w:rPr>
        <w:t>万元，调整后全年预算数</w:t>
      </w:r>
      <w:r>
        <w:rPr>
          <w:rFonts w:hint="eastAsia" w:ascii="仿宋" w:hAnsi="仿宋" w:eastAsia="仿宋" w:cs="仿宋"/>
          <w:b w:val="0"/>
          <w:bCs/>
          <w:color w:val="auto"/>
          <w:sz w:val="32"/>
          <w:szCs w:val="32"/>
          <w:highlight w:val="none"/>
          <w:lang w:val="en-US" w:eastAsia="zh-CN"/>
        </w:rPr>
        <w:t>1294.62</w:t>
      </w:r>
      <w:r>
        <w:rPr>
          <w:rFonts w:hint="eastAsia" w:ascii="仿宋" w:hAnsi="仿宋" w:eastAsia="仿宋" w:cs="仿宋"/>
          <w:b w:val="0"/>
          <w:bCs/>
          <w:color w:val="auto"/>
          <w:sz w:val="32"/>
          <w:szCs w:val="32"/>
          <w:highlight w:val="none"/>
          <w:lang w:val="en-US" w:eastAsia="zh-CN"/>
        </w:rPr>
        <w:t>万元，预算调整率</w:t>
      </w:r>
      <w:r>
        <w:rPr>
          <w:rFonts w:hint="eastAsia" w:ascii="仿宋" w:hAnsi="仿宋" w:eastAsia="仿宋" w:cs="仿宋"/>
          <w:b w:val="0"/>
          <w:bCs/>
          <w:color w:val="auto"/>
          <w:sz w:val="32"/>
          <w:szCs w:val="32"/>
          <w:highlight w:val="none"/>
          <w:lang w:val="en-US" w:eastAsia="zh-CN"/>
        </w:rPr>
        <w:t>17.75%</w:t>
      </w:r>
      <w:r>
        <w:rPr>
          <w:rFonts w:hint="eastAsia" w:ascii="仿宋" w:hAnsi="仿宋" w:eastAsia="仿宋" w:cs="仿宋"/>
          <w:b w:val="0"/>
          <w:bCs/>
          <w:color w:val="auto"/>
          <w:sz w:val="32"/>
          <w:szCs w:val="32"/>
          <w:highlight w:val="none"/>
          <w:lang w:val="en-US" w:eastAsia="zh-CN"/>
        </w:rPr>
        <w:t>。</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eastAsia" w:ascii="仿宋" w:hAnsi="仿宋" w:eastAsia="仿宋" w:cs="仿宋"/>
          <w:b w:val="0"/>
          <w:bCs/>
          <w:color w:val="auto"/>
          <w:sz w:val="32"/>
          <w:szCs w:val="32"/>
          <w:highlight w:val="none"/>
          <w:lang w:val="en-US" w:eastAsia="zh-CN"/>
        </w:rPr>
        <w:t>1294.62</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1060.84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r>
        <w:rPr>
          <w:rFonts w:hint="eastAsia" w:ascii="仿宋" w:hAnsi="仿宋" w:eastAsia="仿宋" w:cs="仿宋"/>
          <w:color w:val="auto"/>
          <w:kern w:val="2"/>
          <w:sz w:val="32"/>
          <w:szCs w:val="32"/>
          <w:highlight w:val="none"/>
          <w:lang w:val="en-US" w:eastAsia="zh-CN" w:bidi="ar-SA"/>
        </w:rPr>
        <w:t>。</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233.78</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2023年中央政法纪检监察转移支付资金项目99.81万元、部门专项-JP局经费项目119.08万元、中央政法纪检监察转移支付资金预算项目14.89万元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w:t>
      </w:r>
      <w:r>
        <w:rPr>
          <w:rFonts w:hint="eastAsia" w:ascii="仿宋" w:hAnsi="仿宋" w:eastAsia="仿宋" w:cs="仿宋"/>
          <w:b w:val="0"/>
          <w:bCs/>
          <w:color w:val="auto"/>
          <w:sz w:val="32"/>
          <w:szCs w:val="32"/>
          <w:highlight w:val="none"/>
          <w:lang w:val="en-US" w:eastAsia="zh-CN"/>
        </w:rPr>
        <w:t>1126.93</w:t>
      </w:r>
      <w:r>
        <w:rPr>
          <w:rFonts w:hint="eastAsia" w:ascii="仿宋" w:hAnsi="仿宋" w:eastAsia="仿宋" w:cs="仿宋"/>
          <w:b w:val="0"/>
          <w:bCs/>
          <w:color w:val="auto"/>
          <w:sz w:val="32"/>
          <w:szCs w:val="32"/>
          <w:highlight w:val="none"/>
          <w:lang w:val="en-US" w:eastAsia="zh-CN"/>
        </w:rPr>
        <w:t>万元，全年预算数</w:t>
      </w:r>
      <w:r>
        <w:rPr>
          <w:rFonts w:hint="eastAsia" w:ascii="仿宋" w:hAnsi="仿宋" w:eastAsia="仿宋" w:cs="仿宋"/>
          <w:b w:val="0"/>
          <w:bCs/>
          <w:color w:val="auto"/>
          <w:sz w:val="32"/>
          <w:szCs w:val="32"/>
          <w:highlight w:val="none"/>
          <w:lang w:val="en-US" w:eastAsia="zh-CN"/>
        </w:rPr>
        <w:t>1060.84万元</w:t>
      </w:r>
      <w:r>
        <w:rPr>
          <w:rFonts w:hint="eastAsia" w:ascii="仿宋" w:hAnsi="仿宋" w:eastAsia="仿宋" w:cs="仿宋"/>
          <w:b w:val="0"/>
          <w:bCs/>
          <w:color w:val="auto"/>
          <w:sz w:val="32"/>
          <w:szCs w:val="32"/>
          <w:highlight w:val="none"/>
          <w:lang w:val="en-US" w:eastAsia="zh-CN"/>
        </w:rPr>
        <w:t>，全年实际支出数</w:t>
      </w:r>
      <w:r>
        <w:rPr>
          <w:rFonts w:hint="eastAsia" w:ascii="仿宋" w:hAnsi="仿宋" w:eastAsia="仿宋" w:cs="仿宋"/>
          <w:b w:val="0"/>
          <w:bCs/>
          <w:color w:val="auto"/>
          <w:sz w:val="32"/>
          <w:szCs w:val="32"/>
          <w:highlight w:val="none"/>
          <w:lang w:val="en-US" w:eastAsia="zh-CN"/>
        </w:rPr>
        <w:t>1060.84万元</w:t>
      </w:r>
      <w:r>
        <w:rPr>
          <w:rFonts w:hint="eastAsia" w:ascii="仿宋" w:hAnsi="仿宋" w:eastAsia="仿宋" w:cs="仿宋"/>
          <w:b w:val="0"/>
          <w:bCs/>
          <w:color w:val="auto"/>
          <w:sz w:val="32"/>
          <w:szCs w:val="32"/>
          <w:highlight w:val="none"/>
          <w:lang w:val="en-US" w:eastAsia="zh-CN"/>
        </w:rPr>
        <w:t>，其中：人员经费</w:t>
      </w:r>
      <w:r>
        <w:rPr>
          <w:rFonts w:hint="eastAsia" w:ascii="仿宋" w:hAnsi="仿宋" w:eastAsia="仿宋" w:cs="仿宋"/>
          <w:b w:val="0"/>
          <w:bCs/>
          <w:color w:val="auto"/>
          <w:sz w:val="32"/>
          <w:szCs w:val="32"/>
          <w:highlight w:val="none"/>
          <w:lang w:val="en-US" w:eastAsia="zh-CN"/>
        </w:rPr>
        <w:t>1038.63</w:t>
      </w:r>
      <w:r>
        <w:rPr>
          <w:rFonts w:hint="eastAsia" w:ascii="仿宋" w:hAnsi="仿宋" w:eastAsia="仿宋" w:cs="仿宋"/>
          <w:b w:val="0"/>
          <w:bCs/>
          <w:color w:val="auto"/>
          <w:sz w:val="32"/>
          <w:szCs w:val="32"/>
          <w:highlight w:val="none"/>
          <w:lang w:val="en-US" w:eastAsia="zh-CN"/>
        </w:rPr>
        <w:t>万元，公用经费</w:t>
      </w:r>
      <w:r>
        <w:rPr>
          <w:rFonts w:hint="eastAsia" w:ascii="仿宋" w:hAnsi="仿宋" w:eastAsia="仿宋" w:cs="仿宋"/>
          <w:b w:val="0"/>
          <w:bCs/>
          <w:color w:val="auto"/>
          <w:sz w:val="32"/>
          <w:szCs w:val="32"/>
          <w:highlight w:val="none"/>
          <w:lang w:val="en-US" w:eastAsia="zh-CN"/>
        </w:rPr>
        <w:t>22.21</w:t>
      </w:r>
      <w:r>
        <w:rPr>
          <w:rFonts w:hint="eastAsia" w:ascii="仿宋" w:hAnsi="仿宋" w:eastAsia="仿宋" w:cs="仿宋"/>
          <w:b w:val="0"/>
          <w:bCs/>
          <w:color w:val="auto"/>
          <w:sz w:val="32"/>
          <w:szCs w:val="32"/>
          <w:highlight w:val="none"/>
          <w:lang w:val="en-US" w:eastAsia="zh-CN"/>
        </w:rPr>
        <w:t>万元。全年预算执行率</w:t>
      </w:r>
      <w:r>
        <w:rPr>
          <w:rFonts w:hint="eastAsia" w:ascii="仿宋" w:hAnsi="仿宋" w:eastAsia="仿宋" w:cs="仿宋"/>
          <w:b w:val="0"/>
          <w:bCs/>
          <w:color w:val="auto"/>
          <w:sz w:val="32"/>
          <w:szCs w:val="32"/>
          <w:highlight w:val="none"/>
          <w:lang w:val="en-US" w:eastAsia="zh-CN"/>
        </w:rPr>
        <w:t>100.00%</w:t>
      </w:r>
      <w:r>
        <w:rPr>
          <w:rFonts w:hint="eastAsia" w:ascii="仿宋" w:hAnsi="仿宋" w:eastAsia="仿宋" w:cs="仿宋"/>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eastAsia" w:ascii="仿宋" w:hAnsi="仿宋" w:eastAsia="仿宋" w:cs="仿宋"/>
          <w:b w:val="0"/>
          <w:bCs/>
          <w:color w:val="auto"/>
          <w:sz w:val="32"/>
          <w:szCs w:val="32"/>
          <w:highlight w:val="none"/>
          <w:lang w:val="en-US" w:eastAsia="zh-CN"/>
        </w:rPr>
        <w:t>办公费、差旅费、专用材料费、工会经费、车辆运行维护费、其他交通费用等。公务用车运行维护费主要用于单位车辆加油、维修及购买车辆保险。</w:t>
      </w:r>
    </w:p>
    <w:p>
      <w:pPr>
        <w:pStyle w:val="2"/>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w:t>
      </w:r>
      <w:r>
        <w:rPr>
          <w:rFonts w:hint="eastAsia" w:ascii="仿宋" w:hAnsi="仿宋" w:eastAsia="仿宋" w:cs="仿宋"/>
          <w:color w:val="auto"/>
          <w:kern w:val="2"/>
          <w:sz w:val="32"/>
          <w:szCs w:val="32"/>
          <w:highlight w:val="none"/>
          <w:lang w:val="en-US" w:eastAsia="zh-CN"/>
        </w:rPr>
        <w:t>3</w:t>
      </w:r>
      <w:r>
        <w:rPr>
          <w:rFonts w:hint="eastAsia" w:ascii="仿宋" w:hAnsi="仿宋" w:eastAsia="仿宋" w:cs="仿宋"/>
          <w:color w:val="auto"/>
          <w:kern w:val="2"/>
          <w:sz w:val="32"/>
          <w:szCs w:val="32"/>
          <w:highlight w:val="none"/>
          <w:lang w:val="en-US" w:eastAsia="zh-CN"/>
        </w:rPr>
        <w:t>个项目，全年预算数为</w:t>
      </w:r>
      <w:r>
        <w:rPr>
          <w:rFonts w:hint="eastAsia" w:ascii="仿宋" w:hAnsi="仿宋" w:eastAsia="仿宋" w:cs="仿宋"/>
          <w:b w:val="0"/>
          <w:bCs/>
          <w:color w:val="auto"/>
          <w:sz w:val="32"/>
          <w:szCs w:val="32"/>
          <w:highlight w:val="none"/>
          <w:lang w:val="en-US" w:eastAsia="zh-CN"/>
        </w:rPr>
        <w:t>233.78</w:t>
      </w:r>
      <w:r>
        <w:rPr>
          <w:rFonts w:hint="eastAsia" w:ascii="仿宋" w:hAnsi="仿宋" w:eastAsia="仿宋" w:cs="仿宋"/>
          <w:color w:val="auto"/>
          <w:kern w:val="2"/>
          <w:sz w:val="32"/>
          <w:szCs w:val="32"/>
          <w:highlight w:val="none"/>
          <w:lang w:val="en-US" w:eastAsia="zh-CN"/>
        </w:rPr>
        <w:t>万元，全年实际支出数</w:t>
      </w:r>
      <w:r>
        <w:rPr>
          <w:rFonts w:hint="eastAsia" w:ascii="仿宋" w:hAnsi="仿宋" w:eastAsia="仿宋" w:cs="仿宋"/>
          <w:b w:val="0"/>
          <w:bCs/>
          <w:color w:val="auto"/>
          <w:sz w:val="32"/>
          <w:szCs w:val="32"/>
          <w:highlight w:val="none"/>
          <w:lang w:val="en-US" w:eastAsia="zh-CN"/>
        </w:rPr>
        <w:t>233.78</w:t>
      </w:r>
      <w:r>
        <w:rPr>
          <w:rFonts w:hint="eastAsia" w:ascii="仿宋" w:hAnsi="仿宋" w:eastAsia="仿宋" w:cs="仿宋"/>
          <w:color w:val="auto"/>
          <w:kern w:val="2"/>
          <w:sz w:val="32"/>
          <w:szCs w:val="32"/>
          <w:highlight w:val="none"/>
          <w:lang w:val="en-US" w:eastAsia="zh-CN"/>
        </w:rPr>
        <w:t>万元，执行率</w:t>
      </w:r>
      <w:r>
        <w:rPr>
          <w:rFonts w:hint="eastAsia" w:ascii="仿宋" w:hAnsi="仿宋" w:eastAsia="仿宋" w:cs="仿宋"/>
          <w:color w:val="auto"/>
          <w:kern w:val="2"/>
          <w:sz w:val="32"/>
          <w:szCs w:val="32"/>
          <w:highlight w:val="none"/>
          <w:lang w:val="en-US" w:eastAsia="zh-CN"/>
        </w:rPr>
        <w:t>100</w:t>
      </w:r>
      <w:r>
        <w:rPr>
          <w:rFonts w:hint="eastAsia" w:ascii="仿宋" w:hAnsi="仿宋" w:eastAsia="仿宋" w:cs="仿宋"/>
          <w:color w:val="auto"/>
          <w:kern w:val="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其中:上级安排项目2</w:t>
      </w:r>
      <w:r>
        <w:rPr>
          <w:rFonts w:hint="eastAsia" w:ascii="仿宋" w:hAnsi="仿宋" w:eastAsia="仿宋" w:cs="仿宋"/>
          <w:color w:val="auto"/>
          <w:kern w:val="2"/>
          <w:sz w:val="32"/>
          <w:szCs w:val="32"/>
          <w:highlight w:val="none"/>
          <w:lang w:val="en-US" w:eastAsia="zh-CN"/>
        </w:rPr>
        <w:t>个114.7</w:t>
      </w:r>
      <w:r>
        <w:rPr>
          <w:rFonts w:hint="eastAsia" w:ascii="仿宋" w:hAnsi="仿宋" w:eastAsia="仿宋" w:cs="仿宋"/>
          <w:color w:val="auto"/>
          <w:kern w:val="2"/>
          <w:sz w:val="32"/>
          <w:szCs w:val="32"/>
          <w:highlight w:val="none"/>
          <w:lang w:val="en-US" w:eastAsia="zh-CN"/>
        </w:rPr>
        <w:t>万元，本级安排项目</w:t>
      </w:r>
      <w:r>
        <w:rPr>
          <w:rFonts w:hint="eastAsia" w:ascii="仿宋" w:hAnsi="仿宋" w:eastAsia="仿宋" w:cs="仿宋"/>
          <w:color w:val="auto"/>
          <w:kern w:val="2"/>
          <w:sz w:val="32"/>
          <w:szCs w:val="32"/>
          <w:highlight w:val="none"/>
          <w:lang w:val="en-US" w:eastAsia="zh-CN"/>
        </w:rPr>
        <w:t>1个119.08</w:t>
      </w:r>
      <w:r>
        <w:rPr>
          <w:rFonts w:hint="eastAsia" w:ascii="仿宋" w:hAnsi="仿宋" w:eastAsia="仿宋" w:cs="仿宋"/>
          <w:color w:val="auto"/>
          <w:kern w:val="2"/>
          <w:sz w:val="32"/>
          <w:szCs w:val="32"/>
          <w:highlight w:val="none"/>
          <w:lang w:val="en-US" w:eastAsia="zh-CN"/>
        </w:rPr>
        <w:t>万元,其他资金安排项目</w:t>
      </w:r>
      <w:r>
        <w:rPr>
          <w:rFonts w:hint="eastAsia" w:ascii="仿宋" w:hAnsi="仿宋" w:eastAsia="仿宋" w:cs="仿宋"/>
          <w:color w:val="auto"/>
          <w:kern w:val="2"/>
          <w:sz w:val="32"/>
          <w:szCs w:val="32"/>
          <w:highlight w:val="none"/>
          <w:lang w:val="en-US" w:eastAsia="zh-CN"/>
        </w:rPr>
        <w:t>0个0</w:t>
      </w:r>
      <w:r>
        <w:rPr>
          <w:rFonts w:hint="eastAsia" w:ascii="仿宋" w:hAnsi="仿宋" w:eastAsia="仿宋" w:cs="仿宋"/>
          <w:color w:val="auto"/>
          <w:kern w:val="2"/>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8"/>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w:t>
      </w:r>
      <w:r>
        <w:rPr>
          <w:rStyle w:val="8"/>
          <w:rFonts w:hint="eastAsia" w:ascii="仿宋" w:hAnsi="仿宋" w:eastAsia="仿宋" w:cs="仿宋"/>
          <w:b w:val="0"/>
          <w:color w:val="auto"/>
          <w:spacing w:val="-4"/>
          <w:sz w:val="32"/>
          <w:szCs w:val="32"/>
          <w:highlight w:val="none"/>
          <w:lang w:val="en-US" w:eastAsia="zh-CN"/>
        </w:rPr>
        <w:t>1</w:t>
      </w:r>
      <w:r>
        <w:rPr>
          <w:rStyle w:val="8"/>
          <w:rFonts w:hint="eastAsia" w:ascii="仿宋" w:hAnsi="仿宋" w:eastAsia="仿宋" w:cs="仿宋"/>
          <w:b w:val="0"/>
          <w:color w:val="auto"/>
          <w:spacing w:val="-4"/>
          <w:sz w:val="32"/>
          <w:szCs w:val="32"/>
          <w:highlight w:val="none"/>
          <w:lang w:val="en-US" w:eastAsia="zh-CN"/>
        </w:rPr>
        <w:t>条，三级指标共</w:t>
      </w:r>
      <w:r>
        <w:rPr>
          <w:rStyle w:val="8"/>
          <w:rFonts w:hint="eastAsia" w:ascii="仿宋" w:hAnsi="仿宋" w:eastAsia="仿宋" w:cs="仿宋"/>
          <w:b w:val="0"/>
          <w:color w:val="auto"/>
          <w:spacing w:val="-4"/>
          <w:sz w:val="32"/>
          <w:szCs w:val="32"/>
          <w:highlight w:val="none"/>
          <w:lang w:val="en-US" w:eastAsia="zh-CN"/>
        </w:rPr>
        <w:t>4</w:t>
      </w:r>
      <w:r>
        <w:rPr>
          <w:rStyle w:val="8"/>
          <w:rFonts w:hint="eastAsia" w:ascii="仿宋" w:hAnsi="仿宋" w:eastAsia="仿宋" w:cs="仿宋"/>
          <w:b w:val="0"/>
          <w:color w:val="auto"/>
          <w:spacing w:val="-4"/>
          <w:sz w:val="32"/>
          <w:szCs w:val="32"/>
          <w:highlight w:val="none"/>
          <w:lang w:val="en-US" w:eastAsia="zh-CN"/>
        </w:rPr>
        <w:t>条，其中量化指标条数共</w:t>
      </w:r>
      <w:r>
        <w:rPr>
          <w:rStyle w:val="8"/>
          <w:rFonts w:hint="eastAsia" w:ascii="仿宋" w:hAnsi="仿宋" w:eastAsia="仿宋" w:cs="仿宋"/>
          <w:b w:val="0"/>
          <w:color w:val="auto"/>
          <w:spacing w:val="-4"/>
          <w:sz w:val="32"/>
          <w:szCs w:val="32"/>
          <w:highlight w:val="none"/>
          <w:lang w:val="en-US" w:eastAsia="zh-CN"/>
        </w:rPr>
        <w:t>4</w:t>
      </w:r>
      <w:r>
        <w:rPr>
          <w:rStyle w:val="8"/>
          <w:rFonts w:hint="eastAsia" w:ascii="仿宋" w:hAnsi="仿宋" w:eastAsia="仿宋" w:cs="仿宋"/>
          <w:b w:val="0"/>
          <w:color w:val="auto"/>
          <w:spacing w:val="-4"/>
          <w:sz w:val="32"/>
          <w:szCs w:val="32"/>
          <w:highlight w:val="none"/>
          <w:lang w:val="en-US" w:eastAsia="zh-CN"/>
        </w:rPr>
        <w:t>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数量指标1：法律援助补贴案件数,预期指标值为：≥200件；监控节点完成值：=164件；评价实际完成值：=200件；指标完成率：100%；成效分析：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，提高了法律援助案件结案率。</w:t>
      </w:r>
    </w:p>
    <w:p>
      <w:pPr>
        <w:pStyle w:val="2"/>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数量指标2：派驻工作队数量,预期指标值为：=2个；监控节点完成值：=2个；评价实际完成值：=2个；指标完成率：100%；成效分析：通过单位正常运转，提高了工作队派驻。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数量指标3</w:t>
      </w:r>
      <w:r>
        <w:rPr>
          <w:rStyle w:val="8"/>
          <w:rFonts w:hint="eastAsia" w:ascii="仿宋" w:hAnsi="仿宋" w:eastAsia="仿宋" w:cs="仿宋"/>
          <w:b w:val="0"/>
          <w:color w:val="auto"/>
          <w:spacing w:val="-4"/>
          <w:sz w:val="32"/>
          <w:szCs w:val="32"/>
          <w:highlight w:val="none"/>
          <w:lang w:val="en-US" w:eastAsia="zh-CN"/>
        </w:rPr>
        <w:t>：委托律师代理市政府行政应诉案件数量,预期指标值为：≥5起；监控节点完成值：=0起；评价实际完成值：=5起；指标完成率：100%；成效分析：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，完成了委托律师代理市政府行政应诉案件数量。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eastAsia"/>
          <w:color w:val="auto"/>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数量指标4：法律宣传次数，预期指标值为：≥10次；监控节点完成值：=6次；评价实际完成值：=10次；指标完成率：100%；成效分析：通过单位正常运转，完成了法律宣传次数。</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（四）指标四：社会效益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（六）指标六：服务对象满意度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ascii="黑体" w:hAnsi="黑体" w:eastAsia="黑体"/>
          <w:b w:val="0"/>
          <w:bCs w:val="0"/>
          <w:color w:val="auto"/>
          <w:spacing w:val="-4"/>
          <w:sz w:val="32"/>
          <w:szCs w:val="32"/>
          <w:highlight w:val="none"/>
        </w:rPr>
      </w:pPr>
      <w:r>
        <w:rPr>
          <w:rStyle w:val="8"/>
          <w:rFonts w:hint="eastAsia" w:ascii="黑体" w:hAnsi="黑体" w:eastAsia="黑体"/>
          <w:b w:val="0"/>
          <w:bCs w:val="0"/>
          <w:color w:val="auto"/>
          <w:spacing w:val="-4"/>
          <w:sz w:val="32"/>
          <w:szCs w:val="32"/>
          <w:highlight w:val="none"/>
          <w:lang w:val="en-US" w:eastAsia="zh-CN"/>
        </w:rPr>
        <w:t>四、</w:t>
      </w:r>
      <w:r>
        <w:rPr>
          <w:rStyle w:val="8"/>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2023年度部门整体支出绩效自评综合得分</w:t>
      </w:r>
      <w:r>
        <w:rPr>
          <w:rStyle w:val="8"/>
          <w:rFonts w:hint="eastAsia" w:ascii="仿宋" w:hAnsi="仿宋" w:eastAsia="仿宋" w:cs="仿宋"/>
          <w:b w:val="0"/>
          <w:bCs/>
          <w:color w:val="auto"/>
          <w:spacing w:val="-4"/>
          <w:sz w:val="32"/>
          <w:szCs w:val="32"/>
          <w:highlight w:val="none"/>
          <w:lang w:val="en-US" w:eastAsia="zh-CN"/>
        </w:rPr>
        <w:t>100</w:t>
      </w:r>
      <w:r>
        <w:rPr>
          <w:rStyle w:val="8"/>
          <w:rFonts w:hint="eastAsia" w:ascii="仿宋" w:hAnsi="仿宋" w:eastAsia="仿宋" w:cs="仿宋"/>
          <w:b w:val="0"/>
          <w:bCs/>
          <w:color w:val="auto"/>
          <w:spacing w:val="-4"/>
          <w:sz w:val="32"/>
          <w:szCs w:val="32"/>
          <w:highlight w:val="none"/>
          <w:lang w:val="en-US" w:eastAsia="zh-CN"/>
        </w:rPr>
        <w:t>分，评价结果为“</w:t>
      </w:r>
      <w:r>
        <w:rPr>
          <w:rStyle w:val="8"/>
          <w:rFonts w:hint="eastAsia" w:ascii="仿宋" w:hAnsi="仿宋" w:eastAsia="仿宋" w:cs="仿宋"/>
          <w:b w:val="0"/>
          <w:bCs/>
          <w:color w:val="auto"/>
          <w:spacing w:val="-4"/>
          <w:sz w:val="32"/>
          <w:szCs w:val="32"/>
          <w:highlight w:val="none"/>
          <w:lang w:val="en-US" w:eastAsia="zh-CN"/>
        </w:rPr>
        <w:t>优”</w:t>
      </w:r>
      <w:r>
        <w:rPr>
          <w:rStyle w:val="8"/>
          <w:rFonts w:hint="eastAsia" w:ascii="仿宋" w:hAnsi="仿宋" w:eastAsia="仿宋" w:cs="仿宋"/>
          <w:b w:val="0"/>
          <w:bCs/>
          <w:color w:val="auto"/>
          <w:spacing w:val="-4"/>
          <w:sz w:val="32"/>
          <w:szCs w:val="32"/>
          <w:highlight w:val="none"/>
          <w:lang w:val="en-US" w:eastAsia="zh-CN"/>
        </w:rPr>
        <w:t>。</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五、</w:t>
      </w:r>
      <w:r>
        <w:rPr>
          <w:rStyle w:val="8"/>
          <w:rFonts w:hint="eastAsia" w:ascii="黑体" w:hAnsi="黑体" w:eastAsia="黑体" w:cs="黑体"/>
          <w:b w:val="0"/>
          <w:bCs w:val="0"/>
          <w:color w:val="auto"/>
          <w:spacing w:val="-4"/>
          <w:sz w:val="32"/>
          <w:szCs w:val="32"/>
          <w:highlight w:val="none"/>
        </w:rPr>
        <w:t>存在的主要问题</w:t>
      </w:r>
      <w:r>
        <w:rPr>
          <w:rStyle w:val="8"/>
          <w:rFonts w:hint="eastAsia" w:ascii="黑体" w:hAnsi="黑体" w:eastAsia="黑体" w:cs="黑体"/>
          <w:b w:val="0"/>
          <w:bCs w:val="0"/>
          <w:color w:val="auto"/>
          <w:spacing w:val="-4"/>
          <w:sz w:val="32"/>
          <w:szCs w:val="32"/>
          <w:highlight w:val="none"/>
          <w:lang w:eastAsia="zh-CN"/>
        </w:rPr>
        <w:t>及原因分析</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color w:val="auto"/>
          <w:spacing w:val="-4"/>
          <w:kern w:val="2"/>
          <w:sz w:val="32"/>
          <w:szCs w:val="32"/>
          <w:highlight w:val="none"/>
          <w:lang w:val="en-US" w:eastAsia="zh-CN" w:bidi="ar-SA"/>
        </w:rPr>
      </w:pPr>
      <w:r>
        <w:rPr>
          <w:rStyle w:val="8"/>
          <w:rFonts w:hint="eastAsia" w:ascii="仿宋" w:hAnsi="仿宋" w:eastAsia="仿宋" w:cs="仿宋"/>
          <w:b w:val="0"/>
          <w:color w:val="auto"/>
          <w:spacing w:val="-4"/>
          <w:kern w:val="2"/>
          <w:sz w:val="32"/>
          <w:szCs w:val="32"/>
          <w:highlight w:val="none"/>
          <w:lang w:val="en-US" w:eastAsia="zh-CN" w:bidi="ar-SA"/>
        </w:rPr>
        <w:t>1.预算编制工作有待细化。预算编制不够明确和细化，预算编制的合理性需要提高，预算执行力度还要进一步加强。</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color w:val="auto"/>
          <w:spacing w:val="-4"/>
          <w:kern w:val="2"/>
          <w:sz w:val="32"/>
          <w:szCs w:val="32"/>
          <w:highlight w:val="none"/>
          <w:lang w:val="en-US" w:eastAsia="zh-CN" w:bidi="ar-SA"/>
        </w:rPr>
      </w:pPr>
      <w:r>
        <w:rPr>
          <w:rStyle w:val="8"/>
          <w:rFonts w:hint="eastAsia" w:ascii="仿宋" w:hAnsi="仿宋" w:eastAsia="仿宋" w:cs="仿宋"/>
          <w:b w:val="0"/>
          <w:color w:val="auto"/>
          <w:spacing w:val="-4"/>
          <w:kern w:val="2"/>
          <w:sz w:val="32"/>
          <w:szCs w:val="32"/>
          <w:highlight w:val="none"/>
          <w:lang w:val="en-US" w:eastAsia="zh-CN" w:bidi="ar-SA"/>
        </w:rPr>
        <w:t>2.单位管理制度仍需完善，对财务制度执行力有待加强，资金使用流程有待细化；单位领导对财务重视不够，有些工作不能做到落实到具体的人和事，财务制度管理不到位；单位财务人员业务水平有待提高。</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六、</w:t>
      </w:r>
      <w:r>
        <w:rPr>
          <w:rStyle w:val="8"/>
          <w:rFonts w:hint="eastAsia" w:ascii="黑体" w:hAnsi="黑体" w:eastAsia="黑体" w:cs="黑体"/>
          <w:b w:val="0"/>
          <w:bCs w:val="0"/>
          <w:color w:val="auto"/>
          <w:spacing w:val="-4"/>
          <w:sz w:val="32"/>
          <w:szCs w:val="32"/>
          <w:highlight w:val="none"/>
        </w:rPr>
        <w:t>改进措施和建议</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color w:val="auto"/>
          <w:spacing w:val="-4"/>
          <w:kern w:val="2"/>
          <w:sz w:val="32"/>
          <w:szCs w:val="32"/>
          <w:highlight w:val="none"/>
          <w:lang w:val="en-US" w:eastAsia="zh-CN" w:bidi="ar-SA"/>
        </w:rPr>
      </w:pPr>
      <w:r>
        <w:rPr>
          <w:rStyle w:val="8"/>
          <w:rFonts w:hint="eastAsia" w:ascii="仿宋" w:hAnsi="仿宋" w:eastAsia="仿宋" w:cs="仿宋"/>
          <w:b w:val="0"/>
          <w:color w:val="auto"/>
          <w:spacing w:val="-4"/>
          <w:kern w:val="2"/>
          <w:sz w:val="32"/>
          <w:szCs w:val="32"/>
          <w:highlight w:val="none"/>
          <w:lang w:val="en-US" w:eastAsia="zh-CN" w:bidi="ar-SA"/>
        </w:rPr>
        <w:t>1.提高预算编制的合法性，部门预算编制须符合预算法和国家相关法律、法规的规定，符合国家有关经济社会发展的各项方针、政策，在法律赋予部门的职能范围内。</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color w:val="auto"/>
          <w:spacing w:val="-4"/>
          <w:kern w:val="2"/>
          <w:sz w:val="32"/>
          <w:szCs w:val="32"/>
          <w:highlight w:val="none"/>
          <w:lang w:val="en-US" w:eastAsia="zh-CN" w:bidi="ar-SA"/>
        </w:rPr>
      </w:pPr>
      <w:r>
        <w:rPr>
          <w:rStyle w:val="8"/>
          <w:rFonts w:hint="eastAsia" w:ascii="仿宋" w:hAnsi="仿宋" w:eastAsia="仿宋" w:cs="仿宋"/>
          <w:b w:val="0"/>
          <w:color w:val="auto"/>
          <w:spacing w:val="-4"/>
          <w:kern w:val="2"/>
          <w:sz w:val="32"/>
          <w:szCs w:val="32"/>
          <w:highlight w:val="none"/>
          <w:lang w:val="en-US" w:eastAsia="zh-CN" w:bidi="ar-SA"/>
        </w:rPr>
        <w:t>2.加强财政资金使用效益跟踪“回头看”，反馈业务科室针对资金绩效运行状况，及时预控、查找资金使用和管理过程中的薄弱环节，提出纠偏措施。</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color w:val="auto"/>
          <w:spacing w:val="-4"/>
          <w:kern w:val="2"/>
          <w:sz w:val="32"/>
          <w:szCs w:val="32"/>
          <w:highlight w:val="none"/>
          <w:lang w:val="en-US" w:eastAsia="zh-CN" w:bidi="ar-SA"/>
        </w:rPr>
      </w:pPr>
      <w:r>
        <w:rPr>
          <w:rStyle w:val="8"/>
          <w:rFonts w:hint="eastAsia" w:ascii="仿宋" w:hAnsi="仿宋" w:eastAsia="仿宋" w:cs="仿宋"/>
          <w:b w:val="0"/>
          <w:color w:val="auto"/>
          <w:spacing w:val="-4"/>
          <w:kern w:val="2"/>
          <w:sz w:val="32"/>
          <w:szCs w:val="32"/>
          <w:highlight w:val="none"/>
          <w:lang w:val="en-US" w:eastAsia="zh-CN" w:bidi="ar-SA"/>
        </w:rPr>
        <w:t>3.继续加强项目实时监控，严格按照相关要求对相关项目的资金进行使用，确保资金使用及时有效。</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color w:val="auto"/>
          <w:spacing w:val="-4"/>
          <w:kern w:val="2"/>
          <w:sz w:val="32"/>
          <w:szCs w:val="32"/>
          <w:highlight w:val="none"/>
          <w:lang w:val="en-US" w:eastAsia="zh-CN" w:bidi="ar-SA"/>
        </w:rPr>
      </w:pPr>
      <w:r>
        <w:rPr>
          <w:rStyle w:val="8"/>
          <w:rFonts w:hint="eastAsia" w:ascii="仿宋" w:hAnsi="仿宋" w:eastAsia="仿宋" w:cs="仿宋"/>
          <w:b w:val="0"/>
          <w:color w:val="auto"/>
          <w:spacing w:val="-4"/>
          <w:kern w:val="2"/>
          <w:sz w:val="32"/>
          <w:szCs w:val="32"/>
          <w:highlight w:val="none"/>
          <w:lang w:val="en-US" w:eastAsia="zh-CN" w:bidi="ar-SA"/>
        </w:rPr>
        <w:t>4.继续加强项目开展进度的跟踪，提前做好预算及资金的支付计划，保证项目顺利开展的同时资金使用规范合理。</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color w:val="auto"/>
          <w:spacing w:val="-4"/>
          <w:kern w:val="2"/>
          <w:sz w:val="32"/>
          <w:szCs w:val="32"/>
          <w:highlight w:val="none"/>
          <w:lang w:val="en-US" w:eastAsia="zh-CN" w:bidi="ar-SA"/>
        </w:rPr>
      </w:pPr>
      <w:r>
        <w:rPr>
          <w:rStyle w:val="8"/>
          <w:rFonts w:hint="eastAsia" w:ascii="仿宋" w:hAnsi="仿宋" w:eastAsia="仿宋" w:cs="仿宋"/>
          <w:b w:val="0"/>
          <w:color w:val="auto"/>
          <w:spacing w:val="-4"/>
          <w:kern w:val="2"/>
          <w:sz w:val="32"/>
          <w:szCs w:val="32"/>
          <w:highlight w:val="none"/>
          <w:lang w:val="en-US" w:eastAsia="zh-CN" w:bidi="ar-SA"/>
        </w:rPr>
        <w:t>5.注重预算编制的科学性、完整性。即部门预算须遵循量入为出、收支平衡的原则，稳妥可靠，采取有效的程序和方法合理安排各项资金，达到综合预算、不偏不漏。</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七、</w:t>
      </w:r>
      <w:r>
        <w:rPr>
          <w:rStyle w:val="8"/>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300F61-FD4E-4538-9787-D5C452CAA1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1997758C-0254-4F0C-A10C-9F3E263DD604}"/>
  </w:font>
  <w:font w:name="仿宋_GB2312">
    <w:panose1 w:val="02010609030101010101"/>
    <w:charset w:val="86"/>
    <w:family w:val="modern"/>
    <w:pitch w:val="default"/>
    <w:sig w:usb0="00000001" w:usb1="080E0000" w:usb2="00000000" w:usb3="00000000" w:csb0="00040000" w:csb1="00000000"/>
    <w:embedRegular r:id="rId3" w:fontKey="{18B70605-6A6E-4928-80B7-406BAA9B4105}"/>
  </w:font>
  <w:font w:name="方正仿宋_GBK">
    <w:panose1 w:val="02000000000000000000"/>
    <w:charset w:val="86"/>
    <w:family w:val="auto"/>
    <w:pitch w:val="default"/>
    <w:sig w:usb0="A00002BF" w:usb1="38CF7CFA" w:usb2="00082016" w:usb3="00000000" w:csb0="00040001" w:csb1="00000000"/>
    <w:embedRegular r:id="rId4" w:fontKey="{7F42D5B1-4637-4DF5-99B6-17F83CE24899}"/>
  </w:font>
  <w:font w:name="楷体">
    <w:panose1 w:val="02010609060101010101"/>
    <w:charset w:val="86"/>
    <w:family w:val="modern"/>
    <w:pitch w:val="default"/>
    <w:sig w:usb0="800002BF" w:usb1="38CF7CFA" w:usb2="00000016" w:usb3="00000000" w:csb0="00040001" w:csb1="00000000"/>
    <w:embedRegular r:id="rId5" w:fontKey="{82E79EC6-04A5-4526-A9B1-29C2680864FD}"/>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0NzRiNWQ1OGViZmI1YmJlMDA3MzAwMDA2Njg4ODM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AC27E84"/>
    <w:rsid w:val="0B0F5B25"/>
    <w:rsid w:val="0BD256C9"/>
    <w:rsid w:val="0D3F0613"/>
    <w:rsid w:val="0D617282"/>
    <w:rsid w:val="0F661726"/>
    <w:rsid w:val="0F772EC6"/>
    <w:rsid w:val="0F877334"/>
    <w:rsid w:val="10182B28"/>
    <w:rsid w:val="109160DD"/>
    <w:rsid w:val="10947BCD"/>
    <w:rsid w:val="114B3E5E"/>
    <w:rsid w:val="115E3FEE"/>
    <w:rsid w:val="116B384E"/>
    <w:rsid w:val="11DD16C8"/>
    <w:rsid w:val="12355F6F"/>
    <w:rsid w:val="1270273D"/>
    <w:rsid w:val="127A77C1"/>
    <w:rsid w:val="130A20A3"/>
    <w:rsid w:val="13352CE1"/>
    <w:rsid w:val="13E07D60"/>
    <w:rsid w:val="150177FB"/>
    <w:rsid w:val="15875F52"/>
    <w:rsid w:val="15B73666"/>
    <w:rsid w:val="15C42D02"/>
    <w:rsid w:val="168A2EA6"/>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615CEF"/>
    <w:rsid w:val="1CDA72AF"/>
    <w:rsid w:val="1D632B53"/>
    <w:rsid w:val="1D7602A9"/>
    <w:rsid w:val="1DC83D3D"/>
    <w:rsid w:val="1E613949"/>
    <w:rsid w:val="1EAE0073"/>
    <w:rsid w:val="1F195A2C"/>
    <w:rsid w:val="205102FB"/>
    <w:rsid w:val="20762FC4"/>
    <w:rsid w:val="212C60E2"/>
    <w:rsid w:val="21DB6E7F"/>
    <w:rsid w:val="21DE15EF"/>
    <w:rsid w:val="23021A8B"/>
    <w:rsid w:val="2320540D"/>
    <w:rsid w:val="23254B60"/>
    <w:rsid w:val="236E0539"/>
    <w:rsid w:val="23E6478B"/>
    <w:rsid w:val="2422471A"/>
    <w:rsid w:val="24A85EE5"/>
    <w:rsid w:val="24DB72C2"/>
    <w:rsid w:val="263962DE"/>
    <w:rsid w:val="26BC694C"/>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E43832"/>
    <w:rsid w:val="2DAA6B58"/>
    <w:rsid w:val="2DB034FA"/>
    <w:rsid w:val="2E4A4A48"/>
    <w:rsid w:val="2F8715FA"/>
    <w:rsid w:val="2FB43990"/>
    <w:rsid w:val="2FC040E2"/>
    <w:rsid w:val="30143D58"/>
    <w:rsid w:val="30240D0F"/>
    <w:rsid w:val="308158E7"/>
    <w:rsid w:val="309817B5"/>
    <w:rsid w:val="30A86679"/>
    <w:rsid w:val="31505F30"/>
    <w:rsid w:val="3177520D"/>
    <w:rsid w:val="31C7249B"/>
    <w:rsid w:val="31FB7654"/>
    <w:rsid w:val="32565D7D"/>
    <w:rsid w:val="336E47B8"/>
    <w:rsid w:val="337D2302"/>
    <w:rsid w:val="33935522"/>
    <w:rsid w:val="33DE0EF4"/>
    <w:rsid w:val="3416678C"/>
    <w:rsid w:val="34486A39"/>
    <w:rsid w:val="34C13400"/>
    <w:rsid w:val="34F32864"/>
    <w:rsid w:val="35386E11"/>
    <w:rsid w:val="35612ABD"/>
    <w:rsid w:val="375B2943"/>
    <w:rsid w:val="38086A4E"/>
    <w:rsid w:val="38C32119"/>
    <w:rsid w:val="38EE054F"/>
    <w:rsid w:val="39440A0C"/>
    <w:rsid w:val="398443D3"/>
    <w:rsid w:val="398C3287"/>
    <w:rsid w:val="39A60AF6"/>
    <w:rsid w:val="3AA12D62"/>
    <w:rsid w:val="3B2319C9"/>
    <w:rsid w:val="3B5D5890"/>
    <w:rsid w:val="3BA6683D"/>
    <w:rsid w:val="3BC431AC"/>
    <w:rsid w:val="3C012639"/>
    <w:rsid w:val="3DA52B6A"/>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7B1B"/>
    <w:rsid w:val="46BF2EEE"/>
    <w:rsid w:val="47013FF5"/>
    <w:rsid w:val="484A2C8B"/>
    <w:rsid w:val="48500FEB"/>
    <w:rsid w:val="49284D7B"/>
    <w:rsid w:val="49487285"/>
    <w:rsid w:val="49543DC1"/>
    <w:rsid w:val="4A0F39E7"/>
    <w:rsid w:val="4B364032"/>
    <w:rsid w:val="4B3B68BB"/>
    <w:rsid w:val="4B443785"/>
    <w:rsid w:val="4B537C75"/>
    <w:rsid w:val="4BE53646"/>
    <w:rsid w:val="4C431ECB"/>
    <w:rsid w:val="4CC33C9F"/>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43D24BF"/>
    <w:rsid w:val="548754B8"/>
    <w:rsid w:val="54CA318A"/>
    <w:rsid w:val="55517AB0"/>
    <w:rsid w:val="57192BB8"/>
    <w:rsid w:val="5734671F"/>
    <w:rsid w:val="57423EBA"/>
    <w:rsid w:val="57813298"/>
    <w:rsid w:val="57AE7CE9"/>
    <w:rsid w:val="57BB500C"/>
    <w:rsid w:val="58753EBA"/>
    <w:rsid w:val="58E426FC"/>
    <w:rsid w:val="58FC3B2E"/>
    <w:rsid w:val="59063548"/>
    <w:rsid w:val="5A6776CD"/>
    <w:rsid w:val="5ADD1E8F"/>
    <w:rsid w:val="5AE6303A"/>
    <w:rsid w:val="5B155A7C"/>
    <w:rsid w:val="5B442B97"/>
    <w:rsid w:val="5B745BFD"/>
    <w:rsid w:val="5B977B3E"/>
    <w:rsid w:val="5C5B0B6B"/>
    <w:rsid w:val="5CB643E4"/>
    <w:rsid w:val="5D8D11F8"/>
    <w:rsid w:val="5E2D5305"/>
    <w:rsid w:val="5F1D65AC"/>
    <w:rsid w:val="5F230066"/>
    <w:rsid w:val="5F41229A"/>
    <w:rsid w:val="5F814D8D"/>
    <w:rsid w:val="5FA47678"/>
    <w:rsid w:val="5FE455B0"/>
    <w:rsid w:val="60504E56"/>
    <w:rsid w:val="60535261"/>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D052F"/>
    <w:rsid w:val="73740A39"/>
    <w:rsid w:val="73D43285"/>
    <w:rsid w:val="742B746E"/>
    <w:rsid w:val="74736F42"/>
    <w:rsid w:val="74CA7F29"/>
    <w:rsid w:val="752B1D3E"/>
    <w:rsid w:val="75913D16"/>
    <w:rsid w:val="763C0048"/>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keepLines/>
      <w:spacing w:line="560" w:lineRule="exact"/>
      <w:outlineLvl w:val="2"/>
    </w:pPr>
    <w:rPr>
      <w:b/>
      <w:bCs/>
      <w:sz w:val="32"/>
      <w:szCs w:val="32"/>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autoRedefine/>
    <w:qFormat/>
    <w:uiPriority w:val="0"/>
    <w:rPr>
      <w:b/>
      <w:bCs/>
    </w:r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 w:type="paragraph" w:styleId="11">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4</TotalTime>
  <ScaleCrop>false</ScaleCrop>
  <LinksUpToDate>false</LinksUpToDate>
  <CharactersWithSpaces>444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2024-05-13T10:12:11Z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821EFB1E6FA84DF5B42EAB64FA94BB04_13</vt:lpwstr>
  </property>
</Properties>
</file>