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rPr>
      </w:pPr>
      <w:r>
        <w:rPr>
          <w:rStyle w:val="10"/>
          <w:rFonts w:hint="eastAsia" w:ascii="黑体" w:hAnsi="黑体" w:eastAsia="黑体" w:cs="黑体"/>
          <w:b w:val="0"/>
          <w:bCs/>
          <w:color w:val="auto"/>
          <w:spacing w:val="-4"/>
          <w:sz w:val="32"/>
          <w:szCs w:val="32"/>
          <w:highlight w:val="none"/>
          <w:lang w:val="en-US" w:eastAsia="zh-CN"/>
        </w:rPr>
        <w:t>(一)</w:t>
      </w:r>
      <w:r>
        <w:rPr>
          <w:rStyle w:val="10"/>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color w:val="auto"/>
          <w:kern w:val="1"/>
          <w:sz w:val="32"/>
          <w:szCs w:val="32"/>
          <w:highlight w:val="none"/>
        </w:rPr>
        <w:t>（</w:t>
      </w:r>
      <w:r>
        <w:rPr>
          <w:rFonts w:hint="eastAsia" w:ascii="仿宋" w:hAnsi="仿宋" w:eastAsia="仿宋" w:cs="仿宋"/>
          <w:color w:val="auto"/>
          <w:kern w:val="2"/>
          <w:sz w:val="32"/>
          <w:szCs w:val="32"/>
          <w:highlight w:val="none"/>
          <w:lang w:val="en-US" w:eastAsia="zh-CN" w:bidi="ar-SA"/>
        </w:rPr>
        <w:t xml:space="preserve">1）贯彻执行党和国家的各项方针、政策、法令、法规上级人民政府关于街道工作方面的决定，制定具体的管理办法并组织实施。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（2）负责辖区内的社会管理综合治理，人民调解、法律服务工作，依照有关规定管理外来流动人员。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（3）开展社区服务、拥军优属工作，负责社区优抚、社会救济、社会福利工作，做好社区文化、科普、体育、教育工作。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（4）按照职责范围做好计划生育、爱国卫生、绿化、环境保护、劳动就业、安全生产等管理工作。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（5）配合有关部门做好防汛、防风、防火、防震、抢险和防灾救灾工作。</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（6）会同有关部门做好本辖区综治、维稳等工作；</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（7）负责辖区内市容市貌和环境卫生的日常管理工作，发动辖区单位和群众保护环境，开展爱国卫生运动；</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（8）指导和帮助居民委员会的工作，调解解决行政事务、社会管理和公共服务方面的问题，促进居民委员会的依法建设。</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（9）协助武装部门做好国防动员、民兵训练和公民服兵役工作；</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（10）维护老年人、妇女、青少年、儿童和残疾人的合法权益。</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（11）动员和领导居民及各单位、各部门开展社区建设工作；制定并实施社区建设规划和年度计划；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（12）向市党委、市政府反映居民群众的意见和要求，办理人民群众的来信来访等事项。 </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（13）做好疫情防控工作。</w:t>
      </w:r>
    </w:p>
    <w:p>
      <w:pPr>
        <w:pBdr>
          <w:top w:val="none" w:color="000000" w:sz="0" w:space="0"/>
          <w:left w:val="none" w:color="000000" w:sz="0" w:space="0"/>
          <w:bottom w:val="none" w:color="000000" w:sz="0" w:space="0"/>
          <w:right w:val="none" w:color="000000" w:sz="0" w:space="0"/>
          <w:between w:val="none" w:color="000000" w:sz="0" w:space="0"/>
        </w:pBdr>
        <w:spacing w:line="360" w:lineRule="auto"/>
        <w:ind w:firstLine="601"/>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（14）承办市党委、市政府交办的其他事项。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库尔勒市友好街道办事处单位编制数29人，实有人数29人，其中：在职27人；退休2人；离休0人。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 xml:space="preserve">1：本单位管辖社区3个，通过社区党组织惠民政策的实施，社区党建服务品牌建设社区公共事业等为民办实事的开展，确保为民办实事件数达到7件，为民办实事工作覆盖率达到100%以上，提升社区党组织服务群众能力。     </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 xml:space="preserve">2：在乡镇开展各项科普教育培训活动，提高干部及群综合素质，有效提升服务群众水平。                                                         </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 xml:space="preserve">3：保障辖区内退休人员的日常活动开展、节日慰问不少于30人次及发生重大变故时的帮扶慰问。                                                               </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4：抓好街道各社区基层党组织阵地网格阵地建设，确保基层党组织各项事业稳定有序开展。</w:t>
      </w:r>
    </w:p>
    <w:p>
      <w:pPr>
        <w:pStyle w:val="4"/>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10"/>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库尔勒市友好街道办事处</w:t>
      </w:r>
      <w:r>
        <w:rPr>
          <w:rStyle w:val="10"/>
          <w:rFonts w:hint="eastAsia" w:ascii="仿宋" w:hAnsi="仿宋" w:eastAsia="仿宋" w:cs="仿宋"/>
          <w:b w:val="0"/>
          <w:bCs/>
          <w:color w:val="auto"/>
          <w:spacing w:val="-4"/>
          <w:sz w:val="32"/>
          <w:szCs w:val="32"/>
          <w:highlight w:val="none"/>
          <w:lang w:val="en-US" w:eastAsia="zh-CN"/>
        </w:rPr>
        <w:t>单位2023年通过本部门预算支出，确保了27名在职人员的工资、津贴、补贴、社保、绩效、公积金等以及2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2023年我部门年初安排预算数为921.20万元，其中:上级安排18.54万元,本级安排902.66万元，其他资金0万元。</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921.20</w:t>
      </w:r>
      <w:r>
        <w:rPr>
          <w:rFonts w:hint="eastAsia" w:ascii="仿宋" w:hAnsi="仿宋" w:eastAsia="仿宋" w:cs="仿宋"/>
          <w:b w:val="0"/>
          <w:bCs/>
          <w:color w:val="auto"/>
          <w:sz w:val="32"/>
          <w:szCs w:val="32"/>
          <w:highlight w:val="none"/>
          <w:lang w:val="en-US" w:eastAsia="zh-CN"/>
        </w:rPr>
        <w:t>万元，年中调整数-132.13万元，调整后全年预算数</w:t>
      </w:r>
      <w:r>
        <w:rPr>
          <w:rFonts w:hint="eastAsia" w:ascii="仿宋" w:hAnsi="仿宋" w:eastAsia="仿宋" w:cs="仿宋"/>
          <w:color w:val="auto"/>
          <w:kern w:val="2"/>
          <w:sz w:val="32"/>
          <w:szCs w:val="32"/>
          <w:highlight w:val="none"/>
          <w:lang w:val="en-US" w:eastAsia="zh-CN" w:bidi="ar-SA"/>
        </w:rPr>
        <w:t>789.07</w:t>
      </w:r>
      <w:r>
        <w:rPr>
          <w:rFonts w:hint="eastAsia" w:ascii="仿宋" w:hAnsi="仿宋" w:eastAsia="仿宋" w:cs="仿宋"/>
          <w:b w:val="0"/>
          <w:bCs/>
          <w:color w:val="auto"/>
          <w:sz w:val="32"/>
          <w:szCs w:val="32"/>
          <w:highlight w:val="none"/>
          <w:lang w:val="en-US" w:eastAsia="zh-CN"/>
        </w:rPr>
        <w:t>万元，预算调整率14.34%。</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我单位2023年度部门整体支出为789.07万元，其中：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767.44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21.63</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 xml:space="preserve"> 2023年国有企业退休人员社会化管理补助资金项目</w:t>
      </w:r>
      <w:r>
        <w:rPr>
          <w:rFonts w:hint="eastAsia" w:ascii="仿宋" w:hAnsi="仿宋" w:eastAsia="仿宋" w:cs="仿宋"/>
          <w:b w:val="0"/>
          <w:bCs/>
          <w:color w:val="auto"/>
          <w:sz w:val="32"/>
          <w:szCs w:val="32"/>
          <w:highlight w:val="none"/>
          <w:lang w:val="en-US" w:eastAsia="zh-CN"/>
        </w:rPr>
        <w:t>21.63</w:t>
      </w:r>
      <w:r>
        <w:rPr>
          <w:rFonts w:hint="eastAsia" w:ascii="仿宋" w:hAnsi="仿宋" w:eastAsia="仿宋" w:cs="仿宋"/>
          <w:b w:val="0"/>
          <w:bCs w:val="0"/>
          <w:color w:val="auto"/>
          <w:kern w:val="2"/>
          <w:sz w:val="32"/>
          <w:szCs w:val="32"/>
          <w:highlight w:val="none"/>
          <w:lang w:val="en-US" w:eastAsia="zh-CN" w:bidi="ar-SA"/>
        </w:rPr>
        <w:t>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2023年我部门基本支出年初预算安排900.65万元，全年预算数767.44万元，全年实际支出数767.44万元，其中：人员经费751.69万元，公用经费15.75万元。全年预算执行率100.00%。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4"/>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2023年本单位共安排1个项目，全年预算数为</w:t>
      </w:r>
      <w:r>
        <w:rPr>
          <w:rFonts w:hint="eastAsia" w:ascii="仿宋" w:hAnsi="仿宋" w:eastAsia="仿宋" w:cs="仿宋"/>
          <w:b w:val="0"/>
          <w:bCs/>
          <w:color w:val="auto"/>
          <w:sz w:val="32"/>
          <w:szCs w:val="32"/>
          <w:highlight w:val="none"/>
          <w:lang w:val="en-US" w:eastAsia="zh-CN"/>
        </w:rPr>
        <w:t>21.63</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21.63</w:t>
      </w:r>
      <w:r>
        <w:rPr>
          <w:rFonts w:hint="eastAsia" w:ascii="仿宋" w:hAnsi="仿宋" w:eastAsia="仿宋" w:cs="仿宋"/>
          <w:color w:val="auto"/>
          <w:kern w:val="2"/>
          <w:sz w:val="32"/>
          <w:szCs w:val="32"/>
          <w:highlight w:val="none"/>
          <w:lang w:val="en-US" w:eastAsia="zh-CN"/>
        </w:rPr>
        <w:t>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其中:上级安排项目1个</w:t>
      </w:r>
      <w:r>
        <w:rPr>
          <w:rFonts w:hint="eastAsia" w:ascii="仿宋" w:hAnsi="仿宋" w:eastAsia="仿宋" w:cs="仿宋"/>
          <w:b w:val="0"/>
          <w:bCs/>
          <w:color w:val="auto"/>
          <w:sz w:val="32"/>
          <w:szCs w:val="32"/>
          <w:highlight w:val="none"/>
          <w:lang w:val="en-US" w:eastAsia="zh-CN"/>
        </w:rPr>
        <w:t>21.63</w:t>
      </w:r>
      <w:r>
        <w:rPr>
          <w:rFonts w:hint="eastAsia" w:ascii="仿宋" w:hAnsi="仿宋" w:eastAsia="仿宋" w:cs="仿宋"/>
          <w:color w:val="auto"/>
          <w:kern w:val="2"/>
          <w:sz w:val="32"/>
          <w:szCs w:val="32"/>
          <w:highlight w:val="none"/>
          <w:lang w:val="en-US" w:eastAsia="zh-CN"/>
        </w:rPr>
        <w:t>万元，本级安排项目0个0.00万元,其他资金安排项目0个0.00万元。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数量指标1：开展文化活动次数,预期指标值为：&gt;=12次；监控节点完成值：=5次；评价实际完成值：=12次；指标完成率：100.00%；成效分析：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w:t>
      </w:r>
      <w:r>
        <w:rPr>
          <w:rFonts w:hint="eastAsia" w:ascii="仿宋" w:hAnsi="仿宋" w:eastAsia="仿宋" w:cs="仿宋"/>
          <w:b w:val="0"/>
          <w:bCs/>
          <w:color w:val="auto"/>
          <w:sz w:val="32"/>
          <w:szCs w:val="32"/>
          <w:highlight w:val="none"/>
          <w:lang w:val="en-US" w:eastAsia="zh-CN"/>
        </w:rPr>
        <w:t>提高干部及群综合素质，有效提升服务群众水平。</w:t>
      </w:r>
    </w:p>
    <w:p>
      <w:pPr>
        <w:pStyle w:val="4"/>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数量指标2：为民办实事件数量,预期指标值为：&gt;=7件；监控节点完成值：=3件；评价实际完成值：=7件；指标完成率：100.00%；成效分析：通过单位正常运转，</w:t>
      </w:r>
      <w:r>
        <w:rPr>
          <w:rFonts w:hint="eastAsia" w:ascii="仿宋" w:hAnsi="仿宋" w:eastAsia="仿宋" w:cs="仿宋"/>
          <w:b w:val="0"/>
          <w:bCs/>
          <w:color w:val="auto"/>
          <w:sz w:val="32"/>
          <w:szCs w:val="32"/>
          <w:highlight w:val="none"/>
          <w:lang w:val="en-US" w:eastAsia="zh-CN"/>
        </w:rPr>
        <w:t>提升了社区党组织服务群众能力。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数量指标3：信访事项化解件数量,预期指标值为：&gt;=5件；监控节点完成值：=1件；评价实际完成值：=5件；指标完成率：100.00%；成效分析：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，有效</w:t>
      </w:r>
      <w:r>
        <w:rPr>
          <w:rFonts w:hint="eastAsia" w:ascii="仿宋" w:hAnsi="仿宋" w:eastAsia="仿宋" w:cs="仿宋"/>
          <w:color w:val="auto"/>
          <w:kern w:val="2"/>
          <w:sz w:val="32"/>
          <w:szCs w:val="32"/>
          <w:highlight w:val="none"/>
          <w:lang w:val="en-US" w:eastAsia="zh-CN" w:bidi="ar-SA"/>
        </w:rPr>
        <w:t>调解解决行政事务、社会管理和公共服务方面的问题。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10"/>
          <w:rFonts w:hint="eastAsia" w:ascii="仿宋" w:hAnsi="仿宋" w:eastAsia="仿宋" w:cs="仿宋"/>
          <w:b w:val="0"/>
          <w:color w:val="auto"/>
          <w:spacing w:val="-4"/>
          <w:sz w:val="32"/>
          <w:szCs w:val="32"/>
          <w:highlight w:val="none"/>
          <w:lang w:val="en-US" w:eastAsia="zh-CN"/>
        </w:rPr>
        <w:t>数量指标4：节日慰问人次,预期指标值为：&gt;=30人次；监控节点完成值：=15人次；评价实际完成值：=30人次；指标完成率：100.00%；成效分析：</w:t>
      </w:r>
      <w:r>
        <w:rPr>
          <w:rStyle w:val="10"/>
          <w:rFonts w:hint="eastAsia" w:ascii="仿宋" w:hAnsi="仿宋" w:eastAsia="仿宋" w:cs="仿宋"/>
          <w:b w:val="0"/>
          <w:bCs/>
          <w:color w:val="auto"/>
          <w:spacing w:val="-4"/>
          <w:sz w:val="32"/>
          <w:szCs w:val="32"/>
          <w:highlight w:val="none"/>
          <w:lang w:val="en-US" w:eastAsia="zh-CN"/>
        </w:rPr>
        <w:t>通过单位正常运转</w:t>
      </w:r>
      <w:r>
        <w:rPr>
          <w:rStyle w:val="10"/>
          <w:rFonts w:hint="eastAsia" w:ascii="仿宋" w:hAnsi="仿宋" w:eastAsia="仿宋" w:cs="仿宋"/>
          <w:b w:val="0"/>
          <w:color w:val="auto"/>
          <w:spacing w:val="-4"/>
          <w:sz w:val="32"/>
          <w:szCs w:val="32"/>
          <w:highlight w:val="none"/>
          <w:lang w:val="en-US" w:eastAsia="zh-CN"/>
        </w:rPr>
        <w:t>，改善了</w:t>
      </w:r>
      <w:r>
        <w:rPr>
          <w:rFonts w:hint="eastAsia" w:ascii="仿宋" w:hAnsi="仿宋" w:eastAsia="仿宋" w:cs="仿宋"/>
          <w:b w:val="0"/>
          <w:bCs/>
          <w:color w:val="auto"/>
          <w:sz w:val="32"/>
          <w:szCs w:val="32"/>
          <w:highlight w:val="none"/>
          <w:lang w:val="en-US" w:eastAsia="zh-CN"/>
        </w:rPr>
        <w:t>辖区内退休人员的日常活动开展、节日慰问帮扶。</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eastAsia" w:ascii="黑体" w:hAnsi="黑体" w:eastAsia="黑体" w:cs="黑体"/>
          <w:b w:val="0"/>
          <w:bCs/>
          <w:color w:val="auto"/>
          <w:spacing w:val="-4"/>
          <w:sz w:val="32"/>
          <w:szCs w:val="32"/>
          <w:highlight w:val="none"/>
          <w:lang w:val="en-US" w:eastAsia="zh-CN"/>
        </w:rPr>
      </w:pPr>
      <w:r>
        <w:rPr>
          <w:rStyle w:val="10"/>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color w:val="auto"/>
          <w:spacing w:val="-4"/>
          <w:sz w:val="32"/>
          <w:szCs w:val="32"/>
          <w:highlight w:val="none"/>
          <w:lang w:val="en-US" w:eastAsia="zh-CN"/>
        </w:rPr>
      </w:pPr>
      <w:r>
        <w:rPr>
          <w:rStyle w:val="10"/>
          <w:rFonts w:hint="eastAsia" w:ascii="仿宋" w:hAnsi="仿宋" w:eastAsia="仿宋" w:cs="仿宋"/>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ascii="黑体" w:hAnsi="黑体" w:eastAsia="黑体"/>
          <w:b w:val="0"/>
          <w:bCs w:val="0"/>
          <w:color w:val="auto"/>
          <w:spacing w:val="-4"/>
          <w:sz w:val="32"/>
          <w:szCs w:val="32"/>
          <w:highlight w:val="none"/>
        </w:rPr>
      </w:pPr>
      <w:r>
        <w:rPr>
          <w:rStyle w:val="10"/>
          <w:rFonts w:hint="eastAsia" w:ascii="黑体" w:hAnsi="黑体" w:eastAsia="黑体"/>
          <w:b w:val="0"/>
          <w:bCs w:val="0"/>
          <w:color w:val="auto"/>
          <w:spacing w:val="-4"/>
          <w:sz w:val="32"/>
          <w:szCs w:val="32"/>
          <w:highlight w:val="none"/>
          <w:lang w:val="en-US" w:eastAsia="zh-CN"/>
        </w:rPr>
        <w:t>四、</w:t>
      </w:r>
      <w:r>
        <w:rPr>
          <w:rStyle w:val="10"/>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仿宋" w:hAnsi="仿宋" w:eastAsia="仿宋" w:cs="仿宋"/>
          <w:b w:val="0"/>
          <w:bCs/>
          <w:color w:val="auto"/>
          <w:spacing w:val="-4"/>
          <w:sz w:val="32"/>
          <w:szCs w:val="32"/>
          <w:highlight w:val="none"/>
          <w:lang w:val="en-US" w:eastAsia="zh-CN"/>
        </w:rPr>
      </w:pPr>
      <w:r>
        <w:rPr>
          <w:rStyle w:val="10"/>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五、</w:t>
      </w:r>
      <w:r>
        <w:rPr>
          <w:rStyle w:val="10"/>
          <w:rFonts w:hint="eastAsia" w:ascii="黑体" w:hAnsi="黑体" w:eastAsia="黑体" w:cs="黑体"/>
          <w:b w:val="0"/>
          <w:bCs w:val="0"/>
          <w:color w:val="auto"/>
          <w:spacing w:val="-4"/>
          <w:sz w:val="32"/>
          <w:szCs w:val="32"/>
          <w:highlight w:val="none"/>
        </w:rPr>
        <w:t>存在的主要问题</w:t>
      </w:r>
      <w:r>
        <w:rPr>
          <w:rStyle w:val="10"/>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在日常绩效监控工作中存在着一定程度的“重分配、轻管理、重支出、轻绩效”的情况，造成该问题的主要原因是自身绩效理念较薄弱，单位绩效目标编制仍有缺失，需要进一步加强对资金绩效管理的重视程度。</w:t>
      </w:r>
      <w:bookmarkStart w:id="0" w:name="_GoBack"/>
      <w:bookmarkEnd w:id="0"/>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六、</w:t>
      </w:r>
      <w:r>
        <w:rPr>
          <w:rStyle w:val="10"/>
          <w:rFonts w:hint="eastAsia" w:ascii="黑体" w:hAnsi="黑体" w:eastAsia="黑体" w:cs="黑体"/>
          <w:b w:val="0"/>
          <w:bCs w:val="0"/>
          <w:color w:val="auto"/>
          <w:spacing w:val="-4"/>
          <w:sz w:val="32"/>
          <w:szCs w:val="32"/>
          <w:highlight w:val="none"/>
        </w:rPr>
        <w:t>改进措施和建议</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仿宋" w:hAnsi="仿宋" w:eastAsia="仿宋" w:cs="仿宋"/>
          <w:b w:val="0"/>
          <w:bCs w:val="0"/>
          <w:color w:val="auto"/>
          <w:spacing w:val="-4"/>
          <w:sz w:val="32"/>
          <w:szCs w:val="32"/>
          <w:highlight w:val="none"/>
          <w:lang w:val="en-US" w:eastAsia="zh-CN"/>
        </w:rPr>
      </w:pPr>
      <w:r>
        <w:rPr>
          <w:rStyle w:val="10"/>
          <w:rFonts w:hint="eastAsia" w:ascii="仿宋" w:hAnsi="仿宋" w:eastAsia="仿宋" w:cs="仿宋"/>
          <w:b w:val="0"/>
          <w:bCs w:val="0"/>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eastAsia" w:ascii="黑体" w:hAnsi="黑体" w:eastAsia="黑体" w:cs="黑体"/>
          <w:b w:val="0"/>
          <w:bCs w:val="0"/>
          <w:color w:val="auto"/>
          <w:spacing w:val="-4"/>
          <w:sz w:val="32"/>
          <w:szCs w:val="32"/>
          <w:highlight w:val="none"/>
        </w:rPr>
      </w:pPr>
      <w:r>
        <w:rPr>
          <w:rStyle w:val="10"/>
          <w:rFonts w:hint="eastAsia" w:ascii="黑体" w:hAnsi="黑体" w:eastAsia="黑体" w:cs="黑体"/>
          <w:b w:val="0"/>
          <w:bCs w:val="0"/>
          <w:color w:val="auto"/>
          <w:spacing w:val="-4"/>
          <w:sz w:val="32"/>
          <w:szCs w:val="32"/>
          <w:highlight w:val="none"/>
          <w:lang w:val="en-US" w:eastAsia="zh-CN"/>
        </w:rPr>
        <w:t>七、</w:t>
      </w:r>
      <w:r>
        <w:rPr>
          <w:rStyle w:val="10"/>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D7ED32-4B75-4EDC-A90D-3F91506C9A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2" w:fontKey="{767FB1A8-9F1D-40B3-BE8A-B427D290AC94}"/>
  </w:font>
  <w:font w:name="仿宋_GB2312">
    <w:panose1 w:val="02010609030101010101"/>
    <w:charset w:val="86"/>
    <w:family w:val="modern"/>
    <w:pitch w:val="default"/>
    <w:sig w:usb0="00000000" w:usb1="00000000" w:usb2="00000000" w:usb3="00000000" w:csb0="00000000" w:csb1="00000000"/>
    <w:embedRegular r:id="rId3" w:fontKey="{135707A2-F127-4D90-BC9B-EBA586BCB80B}"/>
  </w:font>
  <w:font w:name="楷体">
    <w:panose1 w:val="02010609060101010101"/>
    <w:charset w:val="86"/>
    <w:family w:val="modern"/>
    <w:pitch w:val="default"/>
    <w:sig w:usb0="800002BF" w:usb1="38CF7CFA" w:usb2="00000016" w:usb3="00000000" w:csb0="00040001" w:csb1="00000000"/>
    <w:embedRegular r:id="rId4" w:fontKey="{AC72E954-145B-4E2C-BB02-5401D15089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C72207"/>
    <w:rsid w:val="02F163A2"/>
    <w:rsid w:val="02FE786C"/>
    <w:rsid w:val="03341650"/>
    <w:rsid w:val="036F2FCB"/>
    <w:rsid w:val="03B2599D"/>
    <w:rsid w:val="03D35307"/>
    <w:rsid w:val="043C5F8E"/>
    <w:rsid w:val="049941F3"/>
    <w:rsid w:val="04A60F90"/>
    <w:rsid w:val="04D2103C"/>
    <w:rsid w:val="04D550AF"/>
    <w:rsid w:val="055543AE"/>
    <w:rsid w:val="060A2B37"/>
    <w:rsid w:val="06B83B39"/>
    <w:rsid w:val="06DE29E2"/>
    <w:rsid w:val="071579E5"/>
    <w:rsid w:val="07702E6D"/>
    <w:rsid w:val="07707311"/>
    <w:rsid w:val="078132CC"/>
    <w:rsid w:val="07A86AAB"/>
    <w:rsid w:val="07C65825"/>
    <w:rsid w:val="09067414"/>
    <w:rsid w:val="09170A81"/>
    <w:rsid w:val="09526CCE"/>
    <w:rsid w:val="09750C0F"/>
    <w:rsid w:val="09EC7123"/>
    <w:rsid w:val="09FB1114"/>
    <w:rsid w:val="0AC27E84"/>
    <w:rsid w:val="0B0F5B25"/>
    <w:rsid w:val="0BD256C9"/>
    <w:rsid w:val="0C915D60"/>
    <w:rsid w:val="0D3F0613"/>
    <w:rsid w:val="0D617282"/>
    <w:rsid w:val="0F661726"/>
    <w:rsid w:val="0F772EC6"/>
    <w:rsid w:val="0F877334"/>
    <w:rsid w:val="10182B28"/>
    <w:rsid w:val="106D43EE"/>
    <w:rsid w:val="109160DD"/>
    <w:rsid w:val="10947BCD"/>
    <w:rsid w:val="10EA5A3E"/>
    <w:rsid w:val="114809B7"/>
    <w:rsid w:val="114B3E5E"/>
    <w:rsid w:val="115E3FEE"/>
    <w:rsid w:val="116B384E"/>
    <w:rsid w:val="11A025A1"/>
    <w:rsid w:val="11B83D8F"/>
    <w:rsid w:val="11DD16C8"/>
    <w:rsid w:val="127A77C1"/>
    <w:rsid w:val="130A20A3"/>
    <w:rsid w:val="13352CE1"/>
    <w:rsid w:val="13E07D60"/>
    <w:rsid w:val="14720225"/>
    <w:rsid w:val="150177FB"/>
    <w:rsid w:val="15875F52"/>
    <w:rsid w:val="15B73666"/>
    <w:rsid w:val="15C42D02"/>
    <w:rsid w:val="1666200B"/>
    <w:rsid w:val="168A2EA6"/>
    <w:rsid w:val="169A1CB5"/>
    <w:rsid w:val="16D8458B"/>
    <w:rsid w:val="17D5194F"/>
    <w:rsid w:val="180A4FDB"/>
    <w:rsid w:val="1840056E"/>
    <w:rsid w:val="18AE7C99"/>
    <w:rsid w:val="192177D8"/>
    <w:rsid w:val="196A001E"/>
    <w:rsid w:val="198331C0"/>
    <w:rsid w:val="19AD1CFF"/>
    <w:rsid w:val="19C92FDD"/>
    <w:rsid w:val="19DB061A"/>
    <w:rsid w:val="19E576EB"/>
    <w:rsid w:val="19FF664E"/>
    <w:rsid w:val="1A091F78"/>
    <w:rsid w:val="1A6D6D72"/>
    <w:rsid w:val="1AB86BAD"/>
    <w:rsid w:val="1AE96D67"/>
    <w:rsid w:val="1AEB4D61"/>
    <w:rsid w:val="1C230AC0"/>
    <w:rsid w:val="1C615CEF"/>
    <w:rsid w:val="1CDA72AF"/>
    <w:rsid w:val="1D1722B1"/>
    <w:rsid w:val="1D632B53"/>
    <w:rsid w:val="1D7602A9"/>
    <w:rsid w:val="1DC83D3D"/>
    <w:rsid w:val="1E613949"/>
    <w:rsid w:val="1E7159F1"/>
    <w:rsid w:val="1EAE0073"/>
    <w:rsid w:val="1F195A2C"/>
    <w:rsid w:val="1FA140B4"/>
    <w:rsid w:val="205102FB"/>
    <w:rsid w:val="20762FC4"/>
    <w:rsid w:val="212C60E2"/>
    <w:rsid w:val="21DB6E7F"/>
    <w:rsid w:val="21DE15EF"/>
    <w:rsid w:val="21F77FBB"/>
    <w:rsid w:val="23021A8B"/>
    <w:rsid w:val="2320540D"/>
    <w:rsid w:val="23254B60"/>
    <w:rsid w:val="236E0539"/>
    <w:rsid w:val="23E6478B"/>
    <w:rsid w:val="2422471A"/>
    <w:rsid w:val="24A85EE5"/>
    <w:rsid w:val="24BB79C6"/>
    <w:rsid w:val="24DB72C2"/>
    <w:rsid w:val="26062EC3"/>
    <w:rsid w:val="263962DE"/>
    <w:rsid w:val="26E72CF4"/>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554419"/>
    <w:rsid w:val="2A6B1740"/>
    <w:rsid w:val="2A9A007E"/>
    <w:rsid w:val="2AB71864"/>
    <w:rsid w:val="2AD30362"/>
    <w:rsid w:val="2B161A0E"/>
    <w:rsid w:val="2B1D67DB"/>
    <w:rsid w:val="2B2D4A4E"/>
    <w:rsid w:val="2BCA3DF7"/>
    <w:rsid w:val="2BCE6231"/>
    <w:rsid w:val="2BFA5278"/>
    <w:rsid w:val="2C3F44FD"/>
    <w:rsid w:val="2C8903AA"/>
    <w:rsid w:val="2CD01740"/>
    <w:rsid w:val="2CE43832"/>
    <w:rsid w:val="2CF41CC7"/>
    <w:rsid w:val="2D9278AF"/>
    <w:rsid w:val="2DAA6B58"/>
    <w:rsid w:val="2DB034FA"/>
    <w:rsid w:val="2DD218DC"/>
    <w:rsid w:val="2E1C75C8"/>
    <w:rsid w:val="2E4A4A48"/>
    <w:rsid w:val="2F430CE4"/>
    <w:rsid w:val="2F527179"/>
    <w:rsid w:val="2F8715FA"/>
    <w:rsid w:val="2FB43990"/>
    <w:rsid w:val="2FC040E2"/>
    <w:rsid w:val="30143D58"/>
    <w:rsid w:val="30240D0F"/>
    <w:rsid w:val="302C5C1C"/>
    <w:rsid w:val="305E56A9"/>
    <w:rsid w:val="308158E7"/>
    <w:rsid w:val="309817B5"/>
    <w:rsid w:val="30A86679"/>
    <w:rsid w:val="30B31E99"/>
    <w:rsid w:val="30B579BF"/>
    <w:rsid w:val="30D1361D"/>
    <w:rsid w:val="31505F30"/>
    <w:rsid w:val="3177520D"/>
    <w:rsid w:val="31C7249B"/>
    <w:rsid w:val="31FB7654"/>
    <w:rsid w:val="32565D7D"/>
    <w:rsid w:val="32F50547"/>
    <w:rsid w:val="33241E50"/>
    <w:rsid w:val="336E47B8"/>
    <w:rsid w:val="337D2302"/>
    <w:rsid w:val="33935522"/>
    <w:rsid w:val="33DE0EF4"/>
    <w:rsid w:val="3416678C"/>
    <w:rsid w:val="343706EB"/>
    <w:rsid w:val="34486A39"/>
    <w:rsid w:val="346A286F"/>
    <w:rsid w:val="349679F1"/>
    <w:rsid w:val="34C13400"/>
    <w:rsid w:val="34DB19BE"/>
    <w:rsid w:val="34F32864"/>
    <w:rsid w:val="35386E11"/>
    <w:rsid w:val="35612ABD"/>
    <w:rsid w:val="36317AE8"/>
    <w:rsid w:val="36333885"/>
    <w:rsid w:val="36785717"/>
    <w:rsid w:val="375B2943"/>
    <w:rsid w:val="38086A4E"/>
    <w:rsid w:val="38C32119"/>
    <w:rsid w:val="38EE054F"/>
    <w:rsid w:val="39440A0C"/>
    <w:rsid w:val="39567866"/>
    <w:rsid w:val="398443D3"/>
    <w:rsid w:val="398C3287"/>
    <w:rsid w:val="39A60AF6"/>
    <w:rsid w:val="3AA12D62"/>
    <w:rsid w:val="3AB72586"/>
    <w:rsid w:val="3AFB2473"/>
    <w:rsid w:val="3B2319C9"/>
    <w:rsid w:val="3B5D5890"/>
    <w:rsid w:val="3BA6683D"/>
    <w:rsid w:val="3BC431AC"/>
    <w:rsid w:val="3C012639"/>
    <w:rsid w:val="3D783D46"/>
    <w:rsid w:val="3DA52B6A"/>
    <w:rsid w:val="3DAA77AB"/>
    <w:rsid w:val="3DF37D79"/>
    <w:rsid w:val="3E295549"/>
    <w:rsid w:val="3E833FCF"/>
    <w:rsid w:val="3EE3321B"/>
    <w:rsid w:val="3EE93EED"/>
    <w:rsid w:val="3F177A97"/>
    <w:rsid w:val="3F7F1854"/>
    <w:rsid w:val="3FC75019"/>
    <w:rsid w:val="3FF57BF1"/>
    <w:rsid w:val="40921BCC"/>
    <w:rsid w:val="41590DEA"/>
    <w:rsid w:val="415D5C35"/>
    <w:rsid w:val="416C231C"/>
    <w:rsid w:val="41C31810"/>
    <w:rsid w:val="41D659E7"/>
    <w:rsid w:val="42576B28"/>
    <w:rsid w:val="428A15BF"/>
    <w:rsid w:val="42BB7663"/>
    <w:rsid w:val="432A3936"/>
    <w:rsid w:val="433504EC"/>
    <w:rsid w:val="434765EB"/>
    <w:rsid w:val="43657023"/>
    <w:rsid w:val="43A3164E"/>
    <w:rsid w:val="43C43532"/>
    <w:rsid w:val="43F77637"/>
    <w:rsid w:val="44332E1A"/>
    <w:rsid w:val="444E5D09"/>
    <w:rsid w:val="44692B43"/>
    <w:rsid w:val="44BF2CE3"/>
    <w:rsid w:val="44BF6C07"/>
    <w:rsid w:val="44ED72D0"/>
    <w:rsid w:val="46024FFD"/>
    <w:rsid w:val="462C7B1B"/>
    <w:rsid w:val="46BF2EEE"/>
    <w:rsid w:val="46CE3131"/>
    <w:rsid w:val="47013FF5"/>
    <w:rsid w:val="47A45C40"/>
    <w:rsid w:val="484336AB"/>
    <w:rsid w:val="484A2C8B"/>
    <w:rsid w:val="48500FEB"/>
    <w:rsid w:val="4867383D"/>
    <w:rsid w:val="49284D7B"/>
    <w:rsid w:val="49487285"/>
    <w:rsid w:val="49543DC1"/>
    <w:rsid w:val="4A0F39E7"/>
    <w:rsid w:val="4A315EB1"/>
    <w:rsid w:val="4B364032"/>
    <w:rsid w:val="4B3B68BB"/>
    <w:rsid w:val="4B443785"/>
    <w:rsid w:val="4B537C75"/>
    <w:rsid w:val="4B7A3887"/>
    <w:rsid w:val="4BE53646"/>
    <w:rsid w:val="4C431ECB"/>
    <w:rsid w:val="4C8C5620"/>
    <w:rsid w:val="4CC33C9F"/>
    <w:rsid w:val="4CDF1BF4"/>
    <w:rsid w:val="4DC4703C"/>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39C7041"/>
    <w:rsid w:val="543D24BF"/>
    <w:rsid w:val="54484523"/>
    <w:rsid w:val="548754B8"/>
    <w:rsid w:val="54CA318A"/>
    <w:rsid w:val="55517AB0"/>
    <w:rsid w:val="56892BD1"/>
    <w:rsid w:val="57192BB8"/>
    <w:rsid w:val="5734671F"/>
    <w:rsid w:val="57423EBA"/>
    <w:rsid w:val="577933B4"/>
    <w:rsid w:val="57813298"/>
    <w:rsid w:val="57AE7CE9"/>
    <w:rsid w:val="57BB500C"/>
    <w:rsid w:val="58753EBA"/>
    <w:rsid w:val="58E426FC"/>
    <w:rsid w:val="58FC3B2E"/>
    <w:rsid w:val="59063548"/>
    <w:rsid w:val="59DB1995"/>
    <w:rsid w:val="59E7033A"/>
    <w:rsid w:val="5A054C64"/>
    <w:rsid w:val="5A6776CD"/>
    <w:rsid w:val="5ADD1E8F"/>
    <w:rsid w:val="5AE6303A"/>
    <w:rsid w:val="5B155A7C"/>
    <w:rsid w:val="5B442B97"/>
    <w:rsid w:val="5B745BFD"/>
    <w:rsid w:val="5B7E6A7C"/>
    <w:rsid w:val="5B977B3E"/>
    <w:rsid w:val="5BC16969"/>
    <w:rsid w:val="5C5B0B6B"/>
    <w:rsid w:val="5CB643E4"/>
    <w:rsid w:val="5D347D3A"/>
    <w:rsid w:val="5D414205"/>
    <w:rsid w:val="5D8D11F8"/>
    <w:rsid w:val="5E08087F"/>
    <w:rsid w:val="5E2D5305"/>
    <w:rsid w:val="5F1D65AC"/>
    <w:rsid w:val="5F230066"/>
    <w:rsid w:val="5F41229A"/>
    <w:rsid w:val="5F814D8D"/>
    <w:rsid w:val="5F9525E6"/>
    <w:rsid w:val="5FA47678"/>
    <w:rsid w:val="5FE455B0"/>
    <w:rsid w:val="60504E56"/>
    <w:rsid w:val="60535261"/>
    <w:rsid w:val="62683FE2"/>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93565D"/>
    <w:rsid w:val="67EE0E11"/>
    <w:rsid w:val="68437083"/>
    <w:rsid w:val="68DF3109"/>
    <w:rsid w:val="693F2885"/>
    <w:rsid w:val="699F5DE9"/>
    <w:rsid w:val="69AA3132"/>
    <w:rsid w:val="6A7A48B2"/>
    <w:rsid w:val="6A9776F8"/>
    <w:rsid w:val="6AAF0A00"/>
    <w:rsid w:val="6AEF34F2"/>
    <w:rsid w:val="6B234F4A"/>
    <w:rsid w:val="6B4A0729"/>
    <w:rsid w:val="6C5F0204"/>
    <w:rsid w:val="6C69186D"/>
    <w:rsid w:val="6C7D443F"/>
    <w:rsid w:val="6C8851EE"/>
    <w:rsid w:val="6CCF1622"/>
    <w:rsid w:val="6CE7035E"/>
    <w:rsid w:val="6D21370B"/>
    <w:rsid w:val="6D321474"/>
    <w:rsid w:val="6DB1246A"/>
    <w:rsid w:val="6EAE5472"/>
    <w:rsid w:val="6EDD3662"/>
    <w:rsid w:val="702F5608"/>
    <w:rsid w:val="70553DF8"/>
    <w:rsid w:val="708F2CC4"/>
    <w:rsid w:val="709444F0"/>
    <w:rsid w:val="71182116"/>
    <w:rsid w:val="71205936"/>
    <w:rsid w:val="71477CCB"/>
    <w:rsid w:val="7178018F"/>
    <w:rsid w:val="71BA40BB"/>
    <w:rsid w:val="71CD052F"/>
    <w:rsid w:val="72A921D9"/>
    <w:rsid w:val="734C0DB6"/>
    <w:rsid w:val="73740A39"/>
    <w:rsid w:val="73D43285"/>
    <w:rsid w:val="742B746E"/>
    <w:rsid w:val="74640AAD"/>
    <w:rsid w:val="74736F42"/>
    <w:rsid w:val="74CA7F29"/>
    <w:rsid w:val="752B1D3E"/>
    <w:rsid w:val="75913D16"/>
    <w:rsid w:val="763C0048"/>
    <w:rsid w:val="77135965"/>
    <w:rsid w:val="77262B54"/>
    <w:rsid w:val="772D4414"/>
    <w:rsid w:val="773A5C43"/>
    <w:rsid w:val="775947BB"/>
    <w:rsid w:val="77AD276B"/>
    <w:rsid w:val="77B87094"/>
    <w:rsid w:val="77C43C97"/>
    <w:rsid w:val="77C96E08"/>
    <w:rsid w:val="78E27C50"/>
    <w:rsid w:val="79500F4C"/>
    <w:rsid w:val="7986195D"/>
    <w:rsid w:val="79C124FE"/>
    <w:rsid w:val="79E005EE"/>
    <w:rsid w:val="7A044DC4"/>
    <w:rsid w:val="7A865511"/>
    <w:rsid w:val="7A996FD7"/>
    <w:rsid w:val="7AA20E97"/>
    <w:rsid w:val="7AAA4D40"/>
    <w:rsid w:val="7ABC4A73"/>
    <w:rsid w:val="7AC10876"/>
    <w:rsid w:val="7B2F16E9"/>
    <w:rsid w:val="7B334ED0"/>
    <w:rsid w:val="7BDA78A7"/>
    <w:rsid w:val="7C336FB7"/>
    <w:rsid w:val="7C43544C"/>
    <w:rsid w:val="7C4B6886"/>
    <w:rsid w:val="7C71236F"/>
    <w:rsid w:val="7C7B25BC"/>
    <w:rsid w:val="7C8D2B6B"/>
    <w:rsid w:val="7D360B0D"/>
    <w:rsid w:val="7D44147C"/>
    <w:rsid w:val="7D55069E"/>
    <w:rsid w:val="7D670C49"/>
    <w:rsid w:val="7D711B45"/>
    <w:rsid w:val="7DE976FD"/>
    <w:rsid w:val="7DF82266"/>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ind w:firstLine="880" w:firstLineChars="200"/>
    </w:pPr>
  </w:style>
  <w:style w:type="paragraph" w:styleId="3">
    <w:name w:val="Body Text First Indent"/>
    <w:basedOn w:val="2"/>
    <w:next w:val="1"/>
    <w:qFormat/>
    <w:uiPriority w:val="0"/>
    <w:pPr>
      <w:ind w:firstLine="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409</Words>
  <Characters>422</Characters>
  <Lines>9</Lines>
  <Paragraphs>2</Paragraphs>
  <TotalTime>3</TotalTime>
  <ScaleCrop>false</ScaleCrop>
  <LinksUpToDate>false</LinksUpToDate>
  <CharactersWithSpaces>444</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cp:lastModifiedBy>
  <cp:lastPrinted>2024-03-04T11:32:00Z</cp:lastPrinted>
  <dcterms:modified xsi:type="dcterms:W3CDTF">2024-05-08T09:26:49Z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7B718A08F4AD449EB4F3ABBB2F254500_13</vt:lpwstr>
  </property>
</Properties>
</file>